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25.09.2026  |  7 Studien  |  ncd.m-vf.de</w:t>
      </w:r>
    </w:p>
    <w:p>
      <w:pPr>
        <w:pStyle w:val="Heading1"/>
      </w:pPr>
      <w:r>
        <w:t>Aufgenommen am 25.09.2026</w:t>
      </w:r>
    </w:p>
    <w:p>
      <w:pPr>
        <w:pStyle w:val="Heading2"/>
      </w:pPr>
      <w:r>
        <w:t>Neutrophile und Lymphozyten vorhersagen Adipositas-assoziierte CKD bei Älteren</w:t>
      </w:r>
    </w:p>
    <w:p>
      <w:r>
        <w:rPr>
          <w:i/>
          <w:color w:val="666666"/>
          <w:sz w:val="18"/>
        </w:rPr>
        <w:t>Zhu B et al.  ·  Ren Fail  ·  24.09.2026  ·  PMID 42785974</w:t>
      </w:r>
    </w:p>
    <w:p>
      <w:r>
        <w:t>Querschnittsanalyse von 15.000+ älteren Erwachsenen (65–85 J.) in Shanghai: Erhöhte Neutrophile und Lymphozyten sowie niedrigeres Verhältnis Thrombozyt-zu-Lymphozyt wurden unabhängig mit CKD bei Adipösen assoziiert.</w:t>
      </w:r>
    </w:p>
    <w:p>
      <w:r>
        <w:rPr>
          <w:b/>
        </w:rPr>
        <w:t xml:space="preserve">Ergebnis: </w:t>
      </w:r>
      <w:r>
        <w:t>Bei adipösen Teilnehmern: erhöhte Neutrophile aOR 1,42 (95% CI 1,07–1,90) für höchstes vs. niedriges Tertil, erhöhte Lymphozyten aOR 1,53 (95% CI 1,16–2,01); Thrombozyten-Lymphozyten-Verhältnis aOR 0,70 (95% CI 0,53–0,92) – diese Routineblutuntersuchungen könnten frühe Risikoschichtung adipositas-assoziierter CKD ermöglichen.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vergleichbar mit Sozialversicherungssystemen; Blutungsparameter sind Routinemarkierungen</w:t>
      </w:r>
    </w:p>
    <w:p>
      <w:r>
        <w:rPr>
          <w:color w:val="5A7D3A"/>
          <w:sz w:val="18"/>
        </w:rPr>
        <w:t>https://pubmed.ncbi.nlm.nih.gov/42785974/</w:t>
      </w:r>
    </w:p>
    <w:p>
      <w:pPr>
        <w:pStyle w:val="Heading2"/>
      </w:pPr>
      <w:r>
        <w:t>Patient-Provider-Partnerschaft erhöht Advance-Care-Planning-Bereitschaft bei CKD-Patienten</w:t>
      </w:r>
    </w:p>
    <w:p>
      <w:r>
        <w:rPr>
          <w:i/>
          <w:color w:val="666666"/>
          <w:sz w:val="18"/>
        </w:rPr>
        <w:t>Hsu JR et al.  ·  Appl Nurs Res  ·  27.08.2026  ·  PMID 42785824</w:t>
      </w:r>
    </w:p>
    <w:p>
      <w:r>
        <w:t>Querschnittsstudie an 218 nichtdialysepflichtigen CKD-Patienten: Patient-Provider-Partnerschaft war stärkster unabhängiger Prädiktor der Bereitschaft zu Advance Care Planning (ACP), nicht aber Krankheitsstadium oder Nierenfunktion.</w:t>
      </w:r>
    </w:p>
    <w:p>
      <w:r>
        <w:rPr>
          <w:b/>
        </w:rPr>
        <w:t xml:space="preserve">Ergebnis: </w:t>
      </w:r>
      <w:r>
        <w:t>Patient-Provider-Partnerschaft erklärte 12,7 % der Varianz in ACP-Bereitschaft (vs. 6,1 % bei Demografie allein); höheres Alter und stärkere Partnerschaft waren assoziiert mit erhöhter Bereitschaft. ACP-Bereitschaft insgesamt niedrig bis moderat, besonders beim initialen Gespräch mit Fachkräften.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Taiwan, ambulante Nephrologie; Übertragbarkeit auf Deutschland hängt von Arzt-Patient-Kommunikation ab</w:t>
      </w:r>
    </w:p>
    <w:p>
      <w:r>
        <w:rPr>
          <w:color w:val="5A7D3A"/>
          <w:sz w:val="18"/>
        </w:rPr>
        <w:t>https://pubmed.ncbi.nlm.nih.gov/42785824/</w:t>
      </w:r>
    </w:p>
    <w:p>
      <w:pPr>
        <w:pStyle w:val="Heading2"/>
      </w:pPr>
      <w:r>
        <w:t>Antihypertensive Medikation zeigt minimale Assoziation mit Lebensqualität bei CKD-Jugendlichen</w:t>
      </w:r>
    </w:p>
    <w:p>
      <w:r>
        <w:rPr>
          <w:i/>
          <w:color w:val="666666"/>
          <w:sz w:val="18"/>
        </w:rPr>
        <w:t>Botdorf M et al.  ·  Qual Life Res  ·  24.09.2026  ·  PMID 42782549</w:t>
      </w:r>
    </w:p>
    <w:p>
      <w:r>
        <w:t>Querschnittsanalyse von 395 Jugendlichen (8–21 J.) mit CKD und Hypertonie an 15 US-Zentren: Über 95 % berichten positive Versorgungserfahrungen; antihypertensive Medikamentenlast zeigte nur schwache Assoziation mit Lebensqualität, während körperliche Symptombelastung hoch ist.</w:t>
      </w:r>
    </w:p>
    <w:p>
      <w:r>
        <w:rPr>
          <w:b/>
        </w:rPr>
        <w:t xml:space="preserve">Ergebnis: </w:t>
      </w:r>
      <w:r>
        <w:t>Mehrere Medikamente (23 % der Kohorte) assoziiert mit leicht niedrigerem globalen Gesundheitswert (B –2,6; 95% CI –4,9 bis –0,3); keine Assoziationen mit anderen Lebensqualitätsdimensionen. Jugendliche berichten gesamthaft niedrigere QoL als allgemeine Bevölkerung, besonders in globalem Gesundheitswert und Müdigkeit.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spezialisierte Pädiatrie; Lebensqualitätsmessung übertragbar, Medikamentenlasten können variieren</w:t>
      </w:r>
    </w:p>
    <w:p>
      <w:r>
        <w:rPr>
          <w:color w:val="5A7D3A"/>
          <w:sz w:val="18"/>
        </w:rPr>
        <w:t>https://pubmed.ncbi.nlm.nih.gov/42782549/</w:t>
      </w:r>
    </w:p>
    <w:p>
      <w:pPr>
        <w:pStyle w:val="Heading2"/>
      </w:pPr>
      <w:r>
        <w:t>Mehrdimensionales Risiko-Screening identifiziert High-Risk-Gruppe mit 41 % aller Adverse Events bei älteren Patienten mit Mehrfacherkrankung</w:t>
      </w:r>
    </w:p>
    <w:p>
      <w:r>
        <w:rPr>
          <w:i/>
          <w:color w:val="666666"/>
          <w:sz w:val="18"/>
        </w:rPr>
        <w:t>Zhou MM et al.  ·  Front Public Health  ·  09.09.2026  ·  PMID 42780304</w:t>
      </w:r>
    </w:p>
    <w:p>
      <w:r>
        <w:t>Retrospektive Entwicklung und interne Validierung eines nomographischen Vorhersagemodells für 12-Monatsereignisse (ungeplante Hospitalisierung, ≥2 Notfallbesuche, funktionaler Niedergang, Mortalität) bei 690 älteren Erwachsenen (≥60 J.) mit Mehrfacherkrankung in China; 7 Prädiktoren identifiziert.</w:t>
      </w:r>
    </w:p>
    <w:p>
      <w:r>
        <w:rPr>
          <w:b/>
        </w:rPr>
        <w:t xml:space="preserve">Ergebnis: </w:t>
      </w:r>
      <w:r>
        <w:t>Modell zeigte gute Diskriminierung (AUC 0,847 Derivation, 0,831 bootstrap-validiert, 0,819 temporal); 41,2 % niedrig-, 42,0 % intermediär-, 16,8 % hochrisiko. Die hochrisiko-Gruppe (16,8 %) machte 41,1 % aller Ereignisse aus. Szenaroanalyse: modellgesteuerte Stratifizierung könnte Adverse Events um 25,3 % reduzieren.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tertiäre Klinik; externe Validierung in primärer/sekundärer Versorgung erforderlich; Risiko-Alert und Monitoring-Stratifizierung übertragbar</w:t>
      </w:r>
    </w:p>
    <w:p>
      <w:r>
        <w:rPr>
          <w:color w:val="5A7D3A"/>
          <w:sz w:val="18"/>
        </w:rPr>
        <w:t>https://pubmed.ncbi.nlm.nih.gov/42780304/</w:t>
      </w:r>
    </w:p>
    <w:p>
      <w:pPr>
        <w:pStyle w:val="Heading2"/>
      </w:pPr>
      <w:r>
        <w:t>Triglycerid-Glucose-Waist-to-Height-Ratio vorhersagt neu auftretende Mehrfacherkrankung</w:t>
      </w:r>
    </w:p>
    <w:p>
      <w:r>
        <w:rPr>
          <w:i/>
          <w:color w:val="666666"/>
          <w:sz w:val="18"/>
        </w:rPr>
        <w:t>Shao Z et al.  ·  Cardiovasc Diabetol  ·  24.08.2026  ·  PMID 42778926</w:t>
      </w:r>
    </w:p>
    <w:p>
      <w:r>
        <w:t>Prospektive Kohortenanalyse von 4 nationalen Studien (CHARLS, ELSA, HRS, NHANES): TyG-WHtR (kombiniert Insulinresistenz und zentrale Adipositas) zeigte nichtlineare Dosis-Wirkungs-Assoziationen mit neuer Mehrfacherkrankung; Inflexionspunkte bei 5,92–6,69 je Kohorte.</w:t>
      </w:r>
    </w:p>
    <w:p>
      <w:r>
        <w:rPr>
          <w:b/>
        </w:rPr>
        <w:t xml:space="preserve">Ergebnis: </w:t>
      </w:r>
      <w:r>
        <w:t>Höchste vs. niedrigste TyG-WHtR-Quartile assoziiert mit incident multimorbidity: HR 1,87 (95% CI 1,59–2,21) in CHARLS, 1,67 (1,30–2,15) in ELSA, 1,57 (1,08–2,29) in HRS; TyG-WHtR hatte größte AUC in beiden Querschnittsstichproben und zwei Längsschnittkohorten.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England, USA; Mehrfacherkrankung ist Regelfall; provisorischer Risiko-Alert ca. 5–7 benötigt externe Validierung</w:t>
      </w:r>
    </w:p>
    <w:p>
      <w:r>
        <w:rPr>
          <w:color w:val="5A7D3A"/>
          <w:sz w:val="18"/>
        </w:rPr>
        <w:t>https://pubmed.ncbi.nlm.nih.gov/42778926/</w:t>
      </w:r>
    </w:p>
    <w:p>
      <w:pPr>
        <w:pStyle w:val="Heading2"/>
      </w:pPr>
      <w:r>
        <w:t>Rauchen und chronische Erkrankungen: Versorgungsungleichheit bei vulnerablen Populationen</w:t>
      </w:r>
    </w:p>
    <w:p>
      <w:r>
        <w:rPr>
          <w:i/>
          <w:color w:val="666666"/>
          <w:sz w:val="18"/>
        </w:rPr>
        <w:t>Higgins ST  ·  Prev Med  ·  25.10.2025  ·  PMID 42777124</w:t>
      </w:r>
    </w:p>
    <w:p>
      <w:r>
        <w:t>Editorischer Überblick zu 13 Fachabhandlungen einer US-Konferenz 2024 über Schnittstellen zwischen Tabakgebrauch, anderen Süchten, chronischen Krankheiten und Gesundheitsungleichheiten; Rauchen bleibt führende vermeidbare Todesursache in den USA (ca. 450.000 Tote/Jahr).</w:t>
      </w:r>
    </w:p>
    <w:p>
      <w:r>
        <w:rPr>
          <w:b/>
        </w:rPr>
        <w:t xml:space="preserve">Ergebnis: </w:t>
      </w:r>
      <w:r>
        <w:t>Die Sonderausgabe zeigt überproportionale Auswirkungen von Rauchen in vulnerablen Populationen, Verflechtungen mit weiteren Abhängigkeiten, Mehrfacherkrankungen und Gesundheitsungleichheiten; dokumentiert klinische und regulatorische Interventionen zur Reduktion und Prävention assoziierter Gesundheitsschäden.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regulatorische und klinische Strategien sind teilweise übertragbar, strukturelle Unterschiede erheblich</w:t>
      </w:r>
    </w:p>
    <w:p>
      <w:r>
        <w:rPr>
          <w:color w:val="5A7D3A"/>
          <w:sz w:val="18"/>
        </w:rPr>
        <w:t>https://pubmed.ncbi.nlm.nih.gov/42777124/</w:t>
      </w:r>
    </w:p>
    <w:p>
      <w:pPr>
        <w:pStyle w:val="Heading2"/>
      </w:pPr>
      <w:r>
        <w:t>Physiotherapie in der Territorialversorgung verbessert Kontinuität chronischer Erkrankungen</w:t>
      </w:r>
    </w:p>
    <w:p>
      <w:r>
        <w:rPr>
          <w:i/>
          <w:color w:val="666666"/>
          <w:sz w:val="18"/>
        </w:rPr>
        <w:t>Piacenza A et al.  ·  Ig Sanita Pubbl  ·  Juli 2026  ·  PMID 42776156</w:t>
      </w:r>
    </w:p>
    <w:p>
      <w:r>
        <w:t>Narrative Analyse zur Neugestaltung italienischer Rehabilitationspfade: Das Ministerialekret 77/2022 verlangt mehr direkte Verantwortung von Physiotherapeuten für Kontinuität, während bisherige Vorschriften fragmentierte Übergänge erzwingen; Pilotprojekte zeigen Machbarkeit und positive Effekte auf funktionelle Erholung und Ressourcennutzung.</w:t>
      </w:r>
    </w:p>
    <w:p>
      <w:r>
        <w:rPr>
          <w:b/>
        </w:rPr>
        <w:t xml:space="preserve">Ergebnis: </w:t>
      </w:r>
      <w:r>
        <w:t>Internationale Modelle und italienische Pilotprojekte belegen, dass physiotherapeutengeleitete Bewertung und Monitoring sowie einheitliche, zeitlich aktualisierte Rehabilitationsprojekte die Patientenzufriedenheit erhöhen und die Ressourcenallokation verbessern – die fragmentierte Regelpraxis führt zu verzögertem Therapiestart und unzureichender Physiotherapie-Integration.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vergleichbares Sozialversicherungssystem; Implementierung an Versorgungsstruktur und Regulierung gebunden</w:t>
      </w:r>
    </w:p>
    <w:p>
      <w:r>
        <w:rPr>
          <w:color w:val="5A7D3A"/>
          <w:sz w:val="18"/>
        </w:rPr>
        <w:t>https://pubmed.ncbi.nlm.nih.gov/42776156/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2026-09-25T06:00:00Z</dcterms:created>
  <dcterms:modified xsi:type="dcterms:W3CDTF">2026-09-25T06:00:00Z</dcterms:modified>
  <cp:category/>
</cp:coreProperties>
</file>