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01.09.2026  |  6 Studien  |  ncd.m-vf.de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ICS/LAMA/LABA senkte kardiovaskuläre Ereignisse bei COPD um 52 % gegenüber LAMA/LABA</w:t>
      </w:r>
    </w:p>
    <w:p>
      <w:r>
        <w:rPr>
          <w:i/>
          <w:color w:val="666666"/>
          <w:sz w:val="18"/>
        </w:rPr>
        <w:t>Wang YQ et al.  ·  Int J Chron Obstruct Pulmon Dis  ·  26.08.2026  ·  PMID 42670477</w:t>
      </w:r>
    </w:p>
    <w:p>
      <w:r>
        <w:t>Retrospektive Kohortenstudie mit deutschen Krankenkassendaten untersuchte, ob Triple-Therapie (ICS/LAMA/LABA) gegenüber Doppel-Therapie (LAMA/LABA) bei COPD-Patienten major adverse cardiovascular events (MACEs) reduziert.</w:t>
      </w:r>
    </w:p>
    <w:p>
      <w:r>
        <w:rPr>
          <w:b/>
        </w:rPr>
        <w:t xml:space="preserve">Ergebnis: </w:t>
      </w:r>
      <w:r>
        <w:t>Über 20,5 Monate: 102 MACEs insgesamt (19,2 %); LAMA/LABA 22 % vs. ICS/LAMA/LABA 17 % (adjustierte HR 0,481; 95%-KI 0,302–0,766; p=0,002). Bei hohem kardiovaskulärem Risiko war die Risikoreduktion noch stärker (HR 0,435; p&lt;0,001). Das Ergebnis unterstreicht den kardioprotektiven Zusatzeffekt von ICS in der Erhaltungstherapie.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Versicherungssystem und COPD-Patient:innen vergleichbar mit Gesundheitssystem</w:t>
      </w:r>
    </w:p>
    <w:p>
      <w:r>
        <w:rPr>
          <w:color w:val="5A7D3A"/>
          <w:sz w:val="18"/>
        </w:rPr>
        <w:t>https://pubmed.ncbi.nlm.nih.gov/42670477/</w:t>
      </w:r>
    </w:p>
    <w:p>
      <w:pPr>
        <w:pStyle w:val="Heading2"/>
      </w:pPr>
      <w:r>
        <w:t>GLP-1-Rezeptoragonisten senken kardiovaskuläre Ereignisse bei Dialysepatienten mit Herzinsuffizienz um 28 %</w:t>
      </w:r>
    </w:p>
    <w:p>
      <w:r>
        <w:rPr>
          <w:i/>
          <w:color w:val="666666"/>
          <w:sz w:val="18"/>
        </w:rPr>
        <w:t>Liu PY et al.  ·  Nat Commun  ·  30.07.2026  ·  PMID 42669711</w:t>
      </w:r>
    </w:p>
    <w:p>
      <w:r>
        <w:t>Emulierte Zielstudie mit US-amerikanischem elektronischem Gesundheitsaktenverbund (TriNetX) verglich GLP-1-Rezeptoragonisten (GLP-1RA) versus DPP-4-Inhibitoren (DPP-4i) bei dialysepflichtigen Diabetespatienten mit Herzinsuffizienz hinsichtlich ischämischer kardiovaskulärer Ereignisse und Herzinsuffizienzexazerbationen.</w:t>
      </w:r>
    </w:p>
    <w:p>
      <w:r>
        <w:rPr>
          <w:b/>
        </w:rPr>
        <w:t xml:space="preserve">Ergebnis: </w:t>
      </w:r>
      <w:r>
        <w:t>GLP-1RA vs. DPP-4i: Primärer kombinierter Outcome (ischämische Events + HF-Exazerbationen) 31,7 % vs. 41,4 % (HR 0,72; 95%-KI 0,64–0,82; p&lt;0,0001). Konsistente Reduktionen bei ischämischen Events (HR 0,74), HF-Exazerbationen (HR 0,76), Gesamtmortalität (HR 0,68). Ergebnis in Sensitivitätsanalysen und Subgruppen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aus elektronischen Akten; Übertragbarkeit auf Deutschland begrenzt durch andere Versorgungsstrukturen</w:t>
      </w:r>
    </w:p>
    <w:p>
      <w:r>
        <w:rPr>
          <w:color w:val="5A7D3A"/>
          <w:sz w:val="18"/>
        </w:rPr>
        <w:t>https://pubmed.ncbi.nlm.nih.gov/42669711/</w:t>
      </w:r>
    </w:p>
    <w:p>
      <w:pPr>
        <w:pStyle w:val="Heading2"/>
      </w:pPr>
      <w:r>
        <w:t>FGF-23 als Prognosemarker für CKD-Progression und kardiovaskuläre Ereignisse validiert</w:t>
      </w:r>
    </w:p>
    <w:p>
      <w:r>
        <w:rPr>
          <w:i/>
          <w:color w:val="666666"/>
          <w:sz w:val="18"/>
        </w:rPr>
        <w:t>Hsu JW et al.  ·  PeerJ  ·  24.08.2026  ·  PMID 42668972</w:t>
      </w:r>
    </w:p>
    <w:p>
      <w:r>
        <w:t>Systematische Übersichtsarbeit und Metaanalyse von 12 prospektiven Kohortenstudien (21.042 Patienten mit CKD Stadium 1–5) untersuchte die Vorhersagekraft von Fibroblast-Growth-Factor-23 (FGF-23) für Nierenfunktionsverschlechterung, Nierenversagen, kardiovaskuläre Ereignisse und Sterblichkeit.</w:t>
      </w:r>
    </w:p>
    <w:p>
      <w:r>
        <w:rPr>
          <w:b/>
        </w:rPr>
        <w:t xml:space="preserve">Ergebnis: </w:t>
      </w:r>
      <w:r>
        <w:t>Erhöhte FGF-23-Spiegel assoziiert mit eGFR-Rückgang (Mittelwertdifferenz −17,83 mL/min/1,73m²). Bei leichter bis mittelschwerer CKD: Jede 10 RU/mL FGF-23-Steigerung erhöhte Nierenversagensrisiko um 1,7 % (HR 1,01; 95%-KI 1,01–1,02). Bei fortgeschrittener CKD (höchstes vs. niedrigstes Quartil): 2,32-fach erhöhtes Nierenversagensrisiko (95%-KI 1,80–2,98). Kardiovaskuläre Events (HR 1,72), Herzinsuffizienz (HR 2,14), Gesamtmortalität (HR 1,61) signifikant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Metaanalyse mit internationalen Studien; Biomarker-Stratifizierung ist international anwendbar</w:t>
      </w:r>
    </w:p>
    <w:p>
      <w:r>
        <w:rPr>
          <w:color w:val="5A7D3A"/>
          <w:sz w:val="18"/>
        </w:rPr>
        <w:t>https://pubmed.ncbi.nlm.nih.gov/42668972/</w:t>
      </w:r>
    </w:p>
    <w:p>
      <w:pPr>
        <w:pStyle w:val="Heading2"/>
      </w:pPr>
      <w:r>
        <w:t>Bessere Schlafqualität assoziiert mit 36 % weniger Müdigkeit bei Hämodialysepatienten</w:t>
      </w:r>
    </w:p>
    <w:p>
      <w:r>
        <w:rPr>
          <w:i/>
          <w:color w:val="666666"/>
          <w:sz w:val="18"/>
        </w:rPr>
        <w:t>Chen G et al.  ·  Sleep Breath  ·  29.08.2026  ·  PMID 42667469</w:t>
      </w:r>
    </w:p>
    <w:p>
      <w:r>
        <w:t>Querschnittstudie bei 249 Hämodialysepatienten in China untersuchte die Assoziation multidimensionaler Schlafgesundheit (RU_SATED 2.0) mit Müdigkeit (Fatigue Scale-14) unter Adjustierung für Alter, Lebensstil und laborchemische Marker.</w:t>
      </w:r>
    </w:p>
    <w:p>
      <w:r>
        <w:rPr>
          <w:b/>
        </w:rPr>
        <w:t xml:space="preserve">Ergebnis: </w:t>
      </w:r>
      <w:r>
        <w:t>Multidimensionale Schlafgesundheit signifikant assoziiert mit Gesamtmüdigkeit (B = −0,36; 95%-KI −0,50 bis −0,21; p&lt;0,001), körperliche Müdigkeit (B = −0,22; p&lt;0,001), mentale Müdigkeit (B = −0,13; p&lt;0,001). Altersmoderation signifikant (B = 0,02; p=0,017). Bessere Schlafgesundheit war mit niedrigeren Müdigkeitswerten assoziiert; älter Patienten zeigten schwächere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China-Daten; Schlaf-Müdigkeit-Assoziation dialysepflicht-spezifisch, international relevant für Patient:innen-zentierte Ergebnisse</w:t>
      </w:r>
    </w:p>
    <w:p>
      <w:r>
        <w:rPr>
          <w:color w:val="5A7D3A"/>
          <w:sz w:val="18"/>
        </w:rPr>
        <w:t>https://pubmed.ncbi.nlm.nih.gov/42667469/</w:t>
      </w:r>
    </w:p>
    <w:p>
      <w:pPr>
        <w:pStyle w:val="Heading2"/>
      </w:pPr>
      <w:r>
        <w:t>Pharmakogenetisches Tacrolimus-Dosierungsmanagement bei Nierenhochrisikopatienten im Spanienverfügbar (TRANSPGx-Studie)</w:t>
      </w:r>
    </w:p>
    <w:p>
      <w:r>
        <w:rPr>
          <w:i/>
          <w:color w:val="666666"/>
          <w:sz w:val="18"/>
        </w:rPr>
        <w:t>Seco-Meseguer E et al.  ·  BMJ Open  ·  03.08.2026  ·  PMID 42547238</w:t>
      </w:r>
    </w:p>
    <w:p>
      <w:r>
        <w:t>Multizentrisches, adaptives Phase-IV-Protokoll in Spanien prüft, ob präemptive Genotypisierung für Tacrolimus-Dosierung versus Standardversorgung bei Patienten mit chronischer Nierenerkrankung vor Nierentransplantation die Erreichung von Tacrolimus-Zielplasmakonzentrationen verbessert.</w:t>
      </w:r>
    </w:p>
    <w:p>
      <w:r>
        <w:rPr>
          <w:b/>
        </w:rPr>
        <w:t xml:space="preserve">Ergebnis: </w:t>
      </w:r>
      <w:r>
        <w:t>Laufendes RCT mit Zielgröße 114 Patienten; Primärer Endpunkt: Erreichen von Tacrolimus-Zielkonzentrationen nach Transplantation. Rekrutierung geplant über 12 Monate mit 6-monatiger Nachverfolgung. Studie ist ethisch genehmigt (La Paz 2024.740) und registriert (EU CT 2024-516596-32-00).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Gesundheitssystem, vergleichbar mit Deutschland in Koordination und sozialer Krankenversicherung</w:t>
      </w:r>
    </w:p>
    <w:p>
      <w:r>
        <w:rPr>
          <w:color w:val="5A7D3A"/>
          <w:sz w:val="18"/>
        </w:rPr>
        <w:t>https://pubmed.ncbi.nlm.nih.gov/42547238/</w:t>
      </w:r>
    </w:p>
    <w:p>
      <w:pPr>
        <w:pStyle w:val="Heading2"/>
      </w:pPr>
      <w:r>
        <w:t>ME/CFS zeigt geschlechtsspezifische Unterschiede in Immun- und Darmsymptomen, Menopause moduliert Immunantwort</w:t>
      </w:r>
    </w:p>
    <w:p>
      <w:r>
        <w:rPr>
          <w:i/>
          <w:color w:val="666666"/>
          <w:sz w:val="18"/>
        </w:rPr>
        <w:t>Habermann-Horstmeier L et al.  ·  J Transl Med  ·  27.07.2026  ·  PMID 42522006</w:t>
      </w:r>
    </w:p>
    <w:p>
      <w:r>
        <w:t>Querschnittsstudie mit 748 Erwachsenen (608 Frauen, 137 Männer) mit medizinischer ME/CFS-Diagnose untersuchte mittels Faktorenanalyse und Strukturgleichungsmodellierung die Latentstruktur von Immun- und Darmsymptomen nach Geschlecht und Menopausenstatus.</w:t>
      </w:r>
    </w:p>
    <w:p>
      <w:r>
        <w:rPr>
          <w:b/>
        </w:rPr>
        <w:t xml:space="preserve">Ergebnis: </w:t>
      </w:r>
      <w:r>
        <w:t>Frauen: Immun- und Darmsymptome bilden zwei distinkte aber korrelierte Cluster (tetrachorische ρ = 0,47–0,60), EFA unterstützt Zwei-Faktor-Lösung. Männer: Alle vier Symptome laden auf einen integrierten Gut/Immun-Faktor (ρ = 0,43–0,68; one-factor-Modell CFI = 0,981, RMSEA = 0,074). Frauen: Prämenopausale berichten häufiger Grippesymptome als postmenopausale (Unterschied signifikant); Darmsymptome und Lebensmittelintoleranzen bleiben stabil. Empfinden von Infektionsanfälligkeit dominantester 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internationale Patient:innen; Geschlechtsabhängige Phänotypisierung relevant für ME/CFS-Management</w:t>
      </w:r>
    </w:p>
    <w:p>
      <w:r>
        <w:rPr>
          <w:color w:val="5A7D3A"/>
          <w:sz w:val="18"/>
        </w:rPr>
        <w:t>https://pubmed.ncbi.nlm.nih.gov/42522006/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