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14.10.2026  |  6 Studien  |  ncd.m-vf.de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Arbeitsinklusion verbessert Therapietreue bei chronischen Erkrankungen</w:t>
      </w:r>
    </w:p>
    <w:p>
      <w:r>
        <w:rPr>
          <w:i/>
          <w:color w:val="666666"/>
          <w:sz w:val="18"/>
        </w:rPr>
        <w:t>Aalbers E et al.  ·  PLoS One  ·  13.10.2026  ·  PMID 42868134</w:t>
      </w:r>
    </w:p>
    <w:p>
      <w:r>
        <w:t>Niederländische Querschnittsstudie mit 309 erwerbstätigen Personen mit chronischen Erkrankungen und Medikamenteneinnahme untersuchte, wie Arbeitsmerkmale die Therapietreue beeinflussen.</w:t>
      </w:r>
    </w:p>
    <w:p>
      <w:r>
        <w:rPr>
          <w:b/>
        </w:rPr>
        <w:t xml:space="preserve">Ergebnis: </w:t>
      </w:r>
      <w:r>
        <w:t>Therapietreue betrug 56%. Arbeitsinklusion war unabhängig mit besserer Adhärenz assoziiert (AOR 1,50; 95%-KI 1,00–2,25; p=0,049). Moderate körperliche Arbeitsbelastung zeigte paradoxe schützende Assoziation (AOR 0,49; 95%-KI 0,26–0,92; p=0,026). Praktische Arbeitsmerkmale wie Stundenanzahl oder Vertragstyp waren nicht signifikant mit Adhärenz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Versicherungssystem vergleichbar mit Deutschland; Frage der Arbeitsintegration für chronisch Kranke universell relevant.</w:t>
      </w:r>
    </w:p>
    <w:p>
      <w:r>
        <w:rPr>
          <w:color w:val="5A7D3A"/>
          <w:sz w:val="18"/>
        </w:rPr>
        <w:t>https://pubmed.ncbi.nlm.nih.gov/42868134/</w:t>
      </w:r>
    </w:p>
    <w:p>
      <w:pPr>
        <w:pStyle w:val="Heading2"/>
      </w:pPr>
      <w:r>
        <w:t>Kardiovaskuläre Mehrfacherkrankung verschärft Krankenhausergebnisse bei COPD-Exazerbation</w:t>
      </w:r>
    </w:p>
    <w:p>
      <w:r>
        <w:rPr>
          <w:i/>
          <w:color w:val="666666"/>
          <w:sz w:val="18"/>
        </w:rPr>
        <w:t>Fu Y et al.  ·  Int J Chron Obstruct Pulmon Dis  ·  07.10.2026  ·  PMID 42865926</w:t>
      </w:r>
    </w:p>
    <w:p>
      <w:r>
        <w:t>Chinesische Rückwärtskohorte mit 3.684 Aufnahmen von 2.281 COPD-Patienten (2015–2024) untersuchte den Einfluss kardiovaskulärer Komorbiditäten auf Krankenhausverweildauer und Wiederaufnahmen.</w:t>
      </w:r>
    </w:p>
    <w:p>
      <w:r>
        <w:rPr>
          <w:b/>
        </w:rPr>
        <w:t xml:space="preserve">Ergebnis: </w:t>
      </w:r>
      <w:r>
        <w:t>71,7% hatten mindestens eine kardiovaskuläre Erkrankung. Nach vollständiger Adjustierung: 2 kardiovaskuläre Erkrankungen erhöhten verlängerte Verweildauer (≥14 Tage) OR 1,60 (95%-KI 1,18–2,16); ≥3 Erkrankungen OR 1,95 (95%-KI 1,30–2,93; p&lt;0,001 Trend). 1-Jahres-Wiederaufnahmerate stieg mit Komorbidität (HR 1,38 für 1; 1,42 für 2; 1,68 für ≥3 Erkrankungen; p=0,006). HTN+IHD+PAD höchstes Risiko (OR 2,53). Kardiovaskuläre Mehrfacherkrankung ist unabhängiger Risikofaktor für Hospitalisierungsergebnisse bei AECOPD.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Mehrfacherkrankung und klinische Ergebnisse in ähnlicher Versorgungsstruktur messbar.</w:t>
      </w:r>
    </w:p>
    <w:p>
      <w:r>
        <w:rPr>
          <w:color w:val="5A7D3A"/>
          <w:sz w:val="18"/>
        </w:rPr>
        <w:t>https://pubmed.ncbi.nlm.nih.gov/42865926/</w:t>
      </w:r>
    </w:p>
    <w:p>
      <w:pPr>
        <w:pStyle w:val="Heading2"/>
      </w:pPr>
      <w:r>
        <w:t>Sozialverschreibung wirkt durch Teilnahme, nicht bloße Überweisung</w:t>
      </w:r>
    </w:p>
    <w:p>
      <w:r>
        <w:rPr>
          <w:i/>
          <w:color w:val="666666"/>
          <w:sz w:val="18"/>
        </w:rPr>
        <w:t>Huang M et al.  ·  Front Public Health  ·  28.09.2026  ·  PMID 42865730</w:t>
      </w:r>
    </w:p>
    <w:p>
      <w:r>
        <w:t>Bayesianische Re-Analyse von 10 randomisierten Studien (4.840 Teilnehmer) zur Sozialverschreibung (Social Prescribing) bei chronischen Erkrankungen untersuchte, ob Empfehlung oder Programmteilnahme den Nutzen erklärt.</w:t>
      </w:r>
    </w:p>
    <w:p>
      <w:r>
        <w:rPr>
          <w:b/>
        </w:rPr>
        <w:t xml:space="preserve">Ergebnis: </w:t>
      </w:r>
      <w:r>
        <w:t>Intention-to-treat-Effekt auf körperliche Aktivität: OR 1,31 (95%-CrI 1,07–1,67; posterior probability 0,991). Kein konsistenter Dosis-Response-Effekt (Slope -1,29; 95%-CrI -6,17 bis 3,48). Hohe Programmteilnahme zeigte zusätzlichen Benefit von 0,26 klinisch bedeutsamen Einheiten (95%-CrI -0,07 bis 0,63; posterior probability 0,940). Positive Effekte über körperliche Aktivität, Körpergewicht, Blutdruck, psychisches Wohlbefinden, Lebensqualität. Erfolgreiche Teilnahme – nicht bloße Überweisung – ist primärer Wirkmechanismus.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europäische und kanadische Studien; Konzept Social Prescribing mit Partizipation über Systeme hinweg relevant.</w:t>
      </w:r>
    </w:p>
    <w:p>
      <w:r>
        <w:rPr>
          <w:color w:val="5A7D3A"/>
          <w:sz w:val="18"/>
        </w:rPr>
        <w:t>https://pubmed.ncbi.nlm.nih.gov/42865730/</w:t>
      </w:r>
    </w:p>
    <w:p>
      <w:pPr>
        <w:pStyle w:val="Heading2"/>
      </w:pPr>
      <w:r>
        <w:t>Strukturiertes Trainungsprogramm verbessert Lungenfunktion bei COPD</w:t>
      </w:r>
    </w:p>
    <w:p>
      <w:r>
        <w:rPr>
          <w:i/>
          <w:color w:val="666666"/>
          <w:sz w:val="18"/>
        </w:rPr>
        <w:t>Cederberg A et al.  ·  Respir Res  ·  12.10.2026  ·  PMID 42864666</w:t>
      </w:r>
    </w:p>
    <w:p>
      <w:r>
        <w:t>Schwedische prospektive Interventionsstudie mit 62 COPD-Patienten evaluierte 12 Wochen ambulantes Kraft- und Ausdauertraining (3×/Woche) auf Lungenfunktion, Belastbarkeit und Symptombelastung.</w:t>
      </w:r>
    </w:p>
    <w:p>
      <w:r>
        <w:rPr>
          <w:b/>
        </w:rPr>
        <w:t xml:space="preserve">Ergebnis: </w:t>
      </w:r>
      <w:r>
        <w:t>Impulse-Oszillometrie zeigte signifikante Verbesserungen: R5 Δ=-0,75 z-Score (p=0,001), R5-R20 Δ=-0,18 z-Score (p=0,007), Fres Δ=-0,33 Hz (p=0,022), AX Δ=-0,05 kPa·s⁻¹ (p=0,042). 6-Minuten-Gehtest verbesserte sich um 15 m (p=0,002), 1-Minuten-Sit-to-Stand um 3 Wiederholungen (p&lt;0,0001). CAT-Score sank um 1,0 Punkt (p=0,014), CCQ um 0,1 (p=0,011). Spirometrie zeigte nur kleine FVC-Zunahme. Verbesserung der peripheren Atemwegsphysiologie ohne signifikante Spirometrieänderung.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Primärversorgung; strukturiertes Trainingskonzept für Praxen und Reha übertragbar.</w:t>
      </w:r>
    </w:p>
    <w:p>
      <w:r>
        <w:rPr>
          <w:color w:val="5A7D3A"/>
          <w:sz w:val="18"/>
        </w:rPr>
        <w:t>https://pubmed.ncbi.nlm.nih.gov/42864666/</w:t>
      </w:r>
    </w:p>
    <w:p>
      <w:pPr>
        <w:pStyle w:val="Heading2"/>
      </w:pPr>
      <w:r>
        <w:t>ME/CFS bei jungen Menschen: Unmet Needs in Versorgung und Betreuung</w:t>
      </w:r>
    </w:p>
    <w:p>
      <w:r>
        <w:rPr>
          <w:i/>
          <w:color w:val="666666"/>
          <w:sz w:val="18"/>
        </w:rPr>
        <w:t>Kircher A et al.  ·  BMC Public Health  ·  29.09.2026  ·  PMID 42864639</w:t>
      </w:r>
    </w:p>
    <w:p>
      <w:r>
        <w:t>Qualitative deutsche Studie mit 14 Patienten (12–25 Jahre) und 18 Eltern (Fokusgruppen und Tagebuch) identifizierte unerfüllte Versorgungsbedarfe bei ME/CFS.</w:t>
      </w:r>
    </w:p>
    <w:p>
      <w:r>
        <w:rPr>
          <w:b/>
        </w:rPr>
        <w:t xml:space="preserve">Ergebnis: </w:t>
      </w:r>
      <w:r>
        <w:t>Patienten benannten vier zentrale unerfüllte Bedarfe: (1) nicht alleine gelassen werden mit der Krankheit, (2) Flexibilität und Verständnis von Gesundheitsanbietern, (3) weniger Erklärungsdruck gegenüber anderen, (4) Anerkennung des Familieneinsatzes als Lückenbüßer. Eltern identifizierten parallel vier Themen: nicht alleine sein, krankheitsgerechte Versorgung, Wissen und Verständnis für ME/CFS, Handlungskompetenz. Bedarfe von Patienten und Eltern überlappten deutlich und zeigen Bedarf für bedarfsadaptierte Versorgungsstrukturen.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Studie; direkter Versorgungsbezug für Ausgestaltung von ME/CFS-Programmen in Deutschland.</w:t>
      </w:r>
    </w:p>
    <w:p>
      <w:r>
        <w:rPr>
          <w:color w:val="5A7D3A"/>
          <w:sz w:val="18"/>
        </w:rPr>
        <w:t>https://pubmed.ncbi.nlm.nih.gov/42864639/</w:t>
      </w:r>
    </w:p>
    <w:p>
      <w:pPr>
        <w:pStyle w:val="Heading2"/>
      </w:pPr>
      <w:r>
        <w:t>Sequenzielle Tyrosinkinase-Inhibitor-Therapie bei resistenter chronischer myeloischer Leukämie</w:t>
      </w:r>
    </w:p>
    <w:p>
      <w:r>
        <w:rPr>
          <w:i/>
          <w:color w:val="666666"/>
          <w:sz w:val="18"/>
        </w:rPr>
        <w:t>Gugliotta G et al.  ·  Clin Lymphoma Myeloma Leuk  ·  24.07.2026  ·  PMID 42608256</w:t>
      </w:r>
    </w:p>
    <w:p>
      <w:r>
        <w:t>Italienische Real-World-Kohortenstudie mit 69 CML-Patienten in chronischer Phase untersuchte Ergebnisse nach Wechsel auf Zweitlinien-TKI bei Versagen von Nilotinib oder Dasatinib.</w:t>
      </w:r>
    </w:p>
    <w:p>
      <w:r>
        <w:rPr>
          <w:b/>
        </w:rPr>
        <w:t xml:space="preserve">Ergebnis: </w:t>
      </w:r>
      <w:r>
        <w:t>Medianer Zeitpunkt zum Wechsel: 15 Monate. Ponatinib am häufigsten eingesetzt (68%). Als beste Molekülresponse: 78% erreichten BCR::ABL1IS &lt;1%. 3-Jahres-Rate für MR3: 69,4% (95%-KI 53,2–84,2%). 30% benötigten nach median 9 Monaten Drittlinien-Therapie, meist wegen Resistenz (81%); von diesen erreichten 50% BCR::ABL1IS &lt;1%. 9% zur Stammzelltransplantation; 7% Blastentransformation (alle starben). 5-Jahres-progressionsfreies und Gesamtüberleben: 87% (95%-KI 67,1–95,2%) und 83% (95%-KI 61,7–93%).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ähnliche Versorgungsstrukturen und Dokumentation wie Deutschland; real-world Wirk­lichkeit von Sequenztherapien.</w:t>
      </w:r>
    </w:p>
    <w:p>
      <w:r>
        <w:rPr>
          <w:color w:val="5A7D3A"/>
          <w:sz w:val="18"/>
        </w:rPr>
        <w:t>https://pubmed.ncbi.nlm.nih.gov/42608256/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