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NCD und chronische Krankheiten</w:t>
      </w:r>
    </w:p>
    <w:p>
      <w:r>
        <w:rPr>
          <w:i/>
          <w:color w:val="666666"/>
          <w:sz w:val="18"/>
        </w:rPr>
        <w:t>Stand: 11.10.2026  |  6 Studien  |  ncd.m-vf.de</w:t>
      </w:r>
    </w:p>
    <w:p>
      <w:pPr>
        <w:pStyle w:val="Heading1"/>
      </w:pPr>
      <w:r>
        <w:t>Aufgenommen am 11.10.2026</w:t>
      </w:r>
    </w:p>
    <w:p>
      <w:pPr>
        <w:pStyle w:val="Heading2"/>
      </w:pPr>
      <w:r>
        <w:t>Urin-Dipstick-Test verbessert CKD-Screening durch Albumin-Kreatinin-Ratio</w:t>
      </w:r>
    </w:p>
    <w:p>
      <w:r>
        <w:rPr>
          <w:i/>
          <w:color w:val="666666"/>
          <w:sz w:val="18"/>
        </w:rPr>
        <w:t>Samaan F et al.  ·  BMC Nephrol  ·  03.09.2026  ·  PMID 42855677</w:t>
      </w:r>
    </w:p>
    <w:p>
      <w:r>
        <w:t>Brasilianische Pilotvalidierungsstudie an 410 Erwachsenen mit ≥1 CKD-Risikofaktor; Vergleich von zwei kommerziellen Urin-Dipsticks (Gesamtprotein vs. Albumin-Kreatinin-Ratio) gegen Referenzstandard quantitative UACR.</w:t>
      </w:r>
    </w:p>
    <w:p>
      <w:r>
        <w:rPr>
          <w:b/>
        </w:rPr>
        <w:t xml:space="preserve">Ergebnis: </w:t>
      </w:r>
      <w:r>
        <w:t>Albumin-Kreatinin-Dipstick (S12) zeigte höhere Sensitivität als Gesamtprotein-Dipstick (S10) für UACR ≥30 mg/g: 95% (95%-CI 92–98%) vs. 64% (57–71%; p&lt;0,001), für UACR 30–300 mg/g 56% vs. 36% (p=0,009), für UACR &gt;300 mg/g 95% vs. 79% (p=0,001). Hochrechnung auf 777.096 jährliche Routinetests: Ersatz würde 12.045 falsch-negative Fälle (86%) mit UACR ≥30 mg/g verhindern.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Brasilien, private Krankenversicherung; Screening-Ansatz auf primärversorgende Strukturen übertragbar</w:t>
      </w:r>
    </w:p>
    <w:p>
      <w:r>
        <w:rPr>
          <w:color w:val="5A7D3A"/>
          <w:sz w:val="18"/>
        </w:rPr>
        <w:t>https://pubmed.ncbi.nlm.nih.gov/42855677/</w:t>
      </w:r>
    </w:p>
    <w:p>
      <w:pPr>
        <w:pStyle w:val="Heading2"/>
      </w:pPr>
      <w:r>
        <w:t>Semaglutid plus Dapagliflozin senkt HbA1c und Proteinurie bei Diabetes und CKD</w:t>
      </w:r>
    </w:p>
    <w:p>
      <w:r>
        <w:rPr>
          <w:i/>
          <w:color w:val="666666"/>
          <w:sz w:val="18"/>
        </w:rPr>
        <w:t>Gong C et al.  ·  Medicine (Baltimore)  ·  09.10.2026  ·  PMID 42854065</w:t>
      </w:r>
    </w:p>
    <w:p>
      <w:r>
        <w:t>Retrospektive chinesische Beobachtungsstudie an 126 Patienten mit Typ-2-Diabetes und CKD; Vergleich von Monotherapien (Semaglutid oder Dapagliflozin) mit Kombinationstherapie über 8 Wochen; Messung von Glukoseindizes, Nierenfunktion und Entzündungsmarkern.</w:t>
      </w:r>
    </w:p>
    <w:p>
      <w:r>
        <w:rPr>
          <w:b/>
        </w:rPr>
        <w:t xml:space="preserve">Ergebnis: </w:t>
      </w:r>
      <w:r>
        <w:t>Kombinationstherapie zeigte signifikant stärkere Reduktionen: HbA1c -1,8% (Kombination) vs. -1,2% (Monotherapie), 24-h-Proteinurie -0,42 g/Tag (Kombination) vs. -0,28 g/Tag (Monotherapie), IL-6 und CRP stärker gesenkt. Klinische Ansprechrate höher in Kombinationsgruppe. Keine erhöhten Nebenwirkungen nach 8 Wochen. Befunde begrenzt durch retrospektives Design und kurze Beobachtungsdauer.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ähnliche Mehrfacherkrankungen; kurze Beobachtung, längerfristige Effekte unklar</w:t>
      </w:r>
    </w:p>
    <w:p>
      <w:r>
        <w:rPr>
          <w:color w:val="5A7D3A"/>
          <w:sz w:val="18"/>
        </w:rPr>
        <w:t>https://pubmed.ncbi.nlm.nih.gov/42854065/</w:t>
      </w:r>
    </w:p>
    <w:p>
      <w:pPr>
        <w:pStyle w:val="Heading2"/>
      </w:pPr>
      <w:r>
        <w:t>Lungenvolumenreduktion bei Antikoagulation sicher durchführbar</w:t>
      </w:r>
    </w:p>
    <w:p>
      <w:r>
        <w:rPr>
          <w:i/>
          <w:color w:val="666666"/>
          <w:sz w:val="18"/>
        </w:rPr>
        <w:t>Aleem MS et al.  ·  COPD  ·  27.09.2026  ·  PMID 42852569</w:t>
      </w:r>
    </w:p>
    <w:p>
      <w:r>
        <w:t>Retrospektive US-Datenbankanalyse der National Inpatient Sample (2016–2023) an 16.340 gewichteten Bronchoskopie-Hospitalisierungen mit Lungenvolumenreduktion; 7,8% erhielten chronische Antikoagulation; Vergleich von Blutungs- und anderen Komplikationen.</w:t>
      </w:r>
    </w:p>
    <w:p>
      <w:r>
        <w:rPr>
          <w:b/>
        </w:rPr>
        <w:t xml:space="preserve">Ergebnis: </w:t>
      </w:r>
      <w:r>
        <w:t>Antikoagulierte Patienten: Hämothorax 2,7% vs. 1,1% (nicht-antikoaguliert), Lungenblutung 7,1% vs. 4,7%, jedoch nach multivariater Analyse kein signifikanter unabhängiger Unterschied. Keine signifikanten Unterschiede in Mortalität, Pneumothorax oder Krankenhausverweildauer. Die Studie zeigt, dass Lungenvolumenreduktion auch bei antikoagulierten COPD-Patienten mit vergleichbaren Kurzzeitergebnissen durchführbar ist.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USA-Krankenhauskodierungsdaten; Procedere übertragbar, Finanzierungsstrukturen unterscheiden sich</w:t>
      </w:r>
    </w:p>
    <w:p>
      <w:r>
        <w:rPr>
          <w:color w:val="5A7D3A"/>
          <w:sz w:val="18"/>
        </w:rPr>
        <w:t>https://pubmed.ncbi.nlm.nih.gov/42852569/</w:t>
      </w:r>
    </w:p>
    <w:p>
      <w:pPr>
        <w:pStyle w:val="Heading2"/>
      </w:pPr>
      <w:r>
        <w:t>Symptombelastung und Exazerbationen prägen Lebensqualität bei Alpha-1-Antitrypsinmangel</w:t>
      </w:r>
    </w:p>
    <w:p>
      <w:r>
        <w:rPr>
          <w:i/>
          <w:color w:val="666666"/>
          <w:sz w:val="18"/>
        </w:rPr>
        <w:t>Aljama C et al.  ·  Pulmonology  ·  07.10.2026  ·  PMID 42841174</w:t>
      </w:r>
    </w:p>
    <w:p>
      <w:r>
        <w:t>Europäische Querschnittsstudie aus dem EARCO-Register an 1710 Pi*ZZ-Patienten; Messung der gesundheitsbezogenen Lebensqualität (EQ-5D); Identifikation von Faktoren, die Lebensqualität beeinflussen.</w:t>
      </w:r>
    </w:p>
    <w:p>
      <w:r>
        <w:rPr>
          <w:b/>
        </w:rPr>
        <w:t xml:space="preserve">Ergebnis: </w:t>
      </w:r>
      <w:r>
        <w:t>Mittleres EQ-5D-Index 0,82±0,22; Patienten mit COPD hatten signifikant schlechtere Werte (0,75±0,24 vs. 0,90±0,16; p&lt;0,001). In multivariater Analyse: höhere Symptombelastung (CAT, mMRC), Langzeitsauerstofftherapie, Arbeitslosigkeit, Exazerbationen, Bronchiektasen und niedrigeres Bildungsniveau waren unabhängig mit schlechterer Lebensqualität assoziiert. Symptombelastung und Exazerbationen waren stärkere Determinanten der Lebensqualität als Lungenfunktion allein.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Multizenterstudie (Spanien, Schweden, UK, Dänemark, Schweiz, Portugal, Italien, Frankreich, Tschechien), vergleichbare Gesundheitssysteme</w:t>
      </w:r>
    </w:p>
    <w:p>
      <w:r>
        <w:rPr>
          <w:color w:val="5A7D3A"/>
          <w:sz w:val="18"/>
        </w:rPr>
        <w:t>https://pubmed.ncbi.nlm.nih.gov/42841174/</w:t>
      </w:r>
    </w:p>
    <w:p>
      <w:pPr>
        <w:pStyle w:val="Heading2"/>
      </w:pPr>
      <w:r>
        <w:t>KRT verbesserte Überleben bei über 80-jährigen mit fortgeschrittener Nierenerkrankung</w:t>
      </w:r>
    </w:p>
    <w:p>
      <w:r>
        <w:rPr>
          <w:i/>
          <w:color w:val="666666"/>
          <w:sz w:val="18"/>
        </w:rPr>
        <w:t>Gómez-Rojas I et al.  ·  J Nephrol  ·  10.10.2026  ·  PMID 42634179</w:t>
      </w:r>
    </w:p>
    <w:p>
      <w:r>
        <w:t>Spanische Multizenterstudie an 492 Patienten über 80 Jahren mit eGFR &lt;15 mL/min/1,73 m², die konservative Therapie oder Nierenersatztherapie erhielten; Vergleich von Sterblichkeit und Krankenhausaufenthalten.</w:t>
      </w:r>
    </w:p>
    <w:p>
      <w:r>
        <w:rPr>
          <w:b/>
        </w:rPr>
        <w:t xml:space="preserve">Ergebnis: </w:t>
      </w:r>
      <w:r>
        <w:t>262 Patienten (53,3%) wählten konservative Therapie, 230 (46,7%) begannen Nierenersatztherapie. Konservative Therapie war unabhängig mit höherer Mortalität assoziiert (HR 2,554; p&lt;0,001). Bei geplanter (nicht dringlicher) Nierenersatztherapie bessere Prognose als bei dringlicher Einleitung. Bei erwarteter Überlebensdauer &lt;12 Monate ähnliche Ergebnisse in beiden Gruppen. Die Studie zeigt, dass strukturierte Nierenersatztherapie auch bei sehr alten Patienten mit fortgeschrittener CKD Überlebensvorteil bringt, sofern nicht dringlich eingeleitet.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Klinikdaten, vergleichbares Versicherungssystem zur deutschen Versorgung</w:t>
      </w:r>
    </w:p>
    <w:p>
      <w:r>
        <w:rPr>
          <w:color w:val="5A7D3A"/>
          <w:sz w:val="18"/>
        </w:rPr>
        <w:t>https://pubmed.ncbi.nlm.nih.gov/42634179/</w:t>
      </w:r>
    </w:p>
    <w:p>
      <w:pPr>
        <w:pStyle w:val="Heading2"/>
      </w:pPr>
      <w:r>
        <w:t>Self-Management bei Nierenerkrankung: Hürden im NHS-System</w:t>
      </w:r>
    </w:p>
    <w:p>
      <w:r>
        <w:rPr>
          <w:i/>
          <w:color w:val="666666"/>
          <w:sz w:val="18"/>
        </w:rPr>
        <w:t>Patel NA et al.  ·  J Nephrol  ·  10.10.2026  ·  PMID 42598916</w:t>
      </w:r>
    </w:p>
    <w:p>
      <w:r>
        <w:t>Qualitative Studie mit 42 UK-Fachkräften des NHS zu deren Sicht auf Self-Management-Unterstützung bei Nierenerkrankung; Erkundung von Barrieren und Ressourcenbedarf in der Routinepraxis.</w:t>
      </w:r>
    </w:p>
    <w:p>
      <w:r>
        <w:rPr>
          <w:b/>
        </w:rPr>
        <w:t xml:space="preserve">Ergebnis: </w:t>
      </w:r>
      <w:r>
        <w:t>Vier übergeordnete Themen identifiziert: (1) Unzureichende Unterstützung durch NHS-Struktur für Self-Management, (2) Notwendigkeit personalisierter Ansätze, (3) Mangel an zugänglichen Self-Management-Ressourcen, (4) Forderung nach Gesundheitsgerechtigkeit. Fachkräfte berichten, dass strukturierte, evidenzbasierte Interventionen für Self-Management fehlen und dass individuelle Bedürfnisse nicht adäquat berücksichtigt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NHS-System; Koordinierungsprobleme sind übertragbar auf deutsche Praxen</w:t>
      </w:r>
    </w:p>
    <w:p>
      <w:r>
        <w:rPr>
          <w:color w:val="5A7D3A"/>
          <w:sz w:val="18"/>
        </w:rPr>
        <w:t>https://pubmed.ncbi.nlm.nih.gov/42598916/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NCD und chronische Krankheiten</dc:title>
  <dc:subject/>
  <dc:creator>Monitor Versorgungsforschung</dc:creator>
  <cp:keywords/>
  <dc:description>generated by python-docx</dc:description>
  <cp:lastModifiedBy/>
  <cp:revision>1</cp:revision>
  <dcterms:created xsi:type="dcterms:W3CDTF">2026-10-11T06:00:00Z</dcterms:created>
  <dcterms:modified xsi:type="dcterms:W3CDTF">2026-10-11T06:00:00Z</dcterms:modified>
  <cp:category/>
</cp:coreProperties>
</file>