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NCD und chronische Krankheiten</w:t>
      </w:r>
    </w:p>
    <w:p>
      <w:r>
        <w:rPr>
          <w:i/>
          <w:color w:val="666666"/>
          <w:sz w:val="18"/>
        </w:rPr>
        <w:t>Stand: 21.10.2026  |  359 Studien  |  ncd.m-vf.de</w:t>
      </w:r>
    </w:p>
    <w:p>
      <w:pPr>
        <w:pStyle w:val="Heading1"/>
      </w:pPr>
      <w:r>
        <w:t>Aufgenommen am 21.10.2026</w:t>
      </w:r>
    </w:p>
    <w:p>
      <w:pPr>
        <w:pStyle w:val="Heading2"/>
      </w:pPr>
      <w:r>
        <w:t>COPD-Phänotypen nach Entzündungsmuster identifiziert: vier klinisch relevante Subgruppen</w:t>
      </w:r>
    </w:p>
    <w:p>
      <w:r>
        <w:rPr>
          <w:i/>
          <w:color w:val="666666"/>
          <w:sz w:val="18"/>
        </w:rPr>
        <w:t>Wang Q et al.  ·  Int J Chron Obstruct Pulmon Dis  ·  15.10.2026  ·  PMID 42899181</w:t>
      </w:r>
    </w:p>
    <w:p>
      <w:r>
        <w:t>Chinesische Studie an 319 stabilen COPD-Patienten identifizierte vier Phänotypen mittels Clusteranalyse von Zytokinen und Atemwegsverengung und korrelierte diese mit CT-Befunden, klinischen Symptomen und Exazerbationen.</w:t>
      </w:r>
    </w:p>
    <w:p>
      <w:r>
        <w:rPr>
          <w:b/>
        </w:rPr>
        <w:t xml:space="preserve">Ergebnis: </w:t>
      </w:r>
      <w:r>
        <w:t>Cluster 1 (Schwer-niedrige Entzündung): niedrigste Zytokine, höchste Symptomen, schwerste Atemwegsverengung, ausgeprägtestes Emphysem. Cluster 2 (Mild-niedrig): geringe Symptomen, erhaltene Lungenfunktion. Cluster 3 (Moderat-erhöht): mittlere Entzündung und Symptomen. Cluster 4 (Sehr hohe Entzündung): deutlich erhöhte Zytokine, erhaltene Lungenfunktion, aber massive Atemwegsraum-Verdickung und häufige Exazerbationen. Diese Phänotypisierung offenbarte eine Dissoziation zwischen systemischer Entzündung und Krankheitsschweregrad, was individualisierte Therapie ermöglicht.</w:t>
      </w:r>
    </w:p>
    <w:p>
      <w:r>
        <w:rPr>
          <w:b/>
          <w:sz w:val="19"/>
        </w:rPr>
        <w:t xml:space="preserve">Übertragbarkeit: </w:t>
      </w:r>
      <w:r>
        <w:rPr>
          <w:sz w:val="19"/>
        </w:rPr>
        <w:t>China, aber Phänotypisierungskonzept unabhängig von Gesundheitssystem übertragbar</w:t>
      </w:r>
    </w:p>
    <w:p>
      <w:r>
        <w:rPr>
          <w:color w:val="5A7D3A"/>
          <w:sz w:val="18"/>
        </w:rPr>
        <w:t>https://pubmed.ncbi.nlm.nih.gov/42899181/</w:t>
      </w:r>
    </w:p>
    <w:p>
      <w:pPr>
        <w:pStyle w:val="Heading2"/>
      </w:pPr>
      <w:r>
        <w:t>DECAF-Score überlegen: 95,6 % Spezifität für Mortalitätsprognose bei COPD-Exazerbation</w:t>
      </w:r>
    </w:p>
    <w:p>
      <w:r>
        <w:rPr>
          <w:i/>
          <w:color w:val="666666"/>
          <w:sz w:val="18"/>
        </w:rPr>
        <w:t>Gode R et al.  ·  BMC Pulm Med  ·  23.07.2026  ·  PMID 42897561</w:t>
      </w:r>
    </w:p>
    <w:p>
      <w:r>
        <w:t>Türkische Klinikkohorte verglich zwei Prognosescores (HALP und DECAF) bei 499 Patienten mit akuter COPD-Exazerbation zur Vorhersage 30-Tage-Krankenhaussterblichkeit mittels ROC-Analyse und logistischer Regression.</w:t>
      </w:r>
    </w:p>
    <w:p>
      <w:r>
        <w:rPr>
          <w:b/>
        </w:rPr>
        <w:t xml:space="preserve">Ergebnis: </w:t>
      </w:r>
      <w:r>
        <w:t>63 Patienten (12,6 %) starben innerhalb 30 Tage. DECAF-Score zeigte überlegene Diskriminierung (AUC 0,932) gegenüber HALP (AUC 0,724; p&lt;0,001). Bei DECAF ≥4 betrugen Sensitivität 76,2 %, Spezifität 95,6 %, negativer prädiktiver Wert 96,5 %. HALP bot nur begrenzte prognostische Information. DECAF bleibt robuster und klinisch anwendbarer Prädiktor für Kurzzeitergebnisse im Notfalleinsatz.</w:t>
      </w:r>
    </w:p>
    <w:p>
      <w:r>
        <w:rPr>
          <w:b/>
          <w:sz w:val="19"/>
        </w:rPr>
        <w:t xml:space="preserve">Übertragbarkeit: </w:t>
      </w:r>
      <w:r>
        <w:rPr>
          <w:sz w:val="19"/>
        </w:rPr>
        <w:t>Türkische Notfallmedizin, Score international validiert und einsetzbar</w:t>
      </w:r>
    </w:p>
    <w:p>
      <w:r>
        <w:rPr>
          <w:color w:val="5A7D3A"/>
          <w:sz w:val="18"/>
        </w:rPr>
        <w:t>https://pubmed.ncbi.nlm.nih.gov/42897561/</w:t>
      </w:r>
    </w:p>
    <w:p>
      <w:pPr>
        <w:pStyle w:val="Heading2"/>
      </w:pPr>
      <w:r>
        <w:t>Messinstrument für Therapieunsicherheit bei Dialysepatienten validiert</w:t>
      </w:r>
    </w:p>
    <w:p>
      <w:r>
        <w:rPr>
          <w:i/>
          <w:color w:val="666666"/>
          <w:sz w:val="18"/>
        </w:rPr>
        <w:t>Gündoğan R et al.  ·  BMC Nephrol  ·  23.07.2026  ·  PMID 42897558</w:t>
      </w:r>
    </w:p>
    <w:p>
      <w:r>
        <w:t>Türkische Validierungsstudie entwickelte eine reliable und valide Skala (UC-D&amp;TS) zur Messung von Unsicherheit über Erkrankung und Behandlung bei 155 Dialysepatienten, angewendet um den Zusammenhang zwischen Unsicherheit, Adhärenz und psychosozialem Wohlbefinden zu untersuchen.</w:t>
      </w:r>
    </w:p>
    <w:p>
      <w:r>
        <w:rPr>
          <w:b/>
        </w:rPr>
        <w:t xml:space="preserve">Ergebnis: </w:t>
      </w:r>
      <w:r>
        <w:t>Die Skala zeigte hohe interne Konsistenz (Cronbach α = 0,872), eine vier-Faktoren-Struktur, die 59,13 % der Varianz erklärte, und exzellente Test-Retest-Reliabilität (r = 0,986). Messmodell passte akzeptabel (χ²/df = 1,77; CFI = 0,94). Das Instrument ist einsatzreif für klinische Praxis und Forschung zur Rolle von Unsicherheit bei Therapietreue und psychischem Wohlbefinden von Dialysepatienten.</w:t>
      </w:r>
    </w:p>
    <w:p>
      <w:r>
        <w:rPr>
          <w:b/>
          <w:sz w:val="19"/>
        </w:rPr>
        <w:t xml:space="preserve">Übertragbarkeit: </w:t>
      </w:r>
      <w:r>
        <w:rPr>
          <w:sz w:val="19"/>
        </w:rPr>
        <w:t>Validierungsstudie an türkischer Population; Instrument für internationale Verwendung adaptierbar</w:t>
      </w:r>
    </w:p>
    <w:p>
      <w:r>
        <w:rPr>
          <w:color w:val="5A7D3A"/>
          <w:sz w:val="18"/>
        </w:rPr>
        <w:t>https://pubmed.ncbi.nlm.nih.gov/42897558/</w:t>
      </w:r>
    </w:p>
    <w:p>
      <w:pPr>
        <w:pStyle w:val="Heading2"/>
      </w:pPr>
      <w:r>
        <w:t>Südafrika: Hypertonie und Diabetes verdoppelt – Mehrfacherkrankung bei älteren Frauen am höchsten</w:t>
      </w:r>
    </w:p>
    <w:p>
      <w:r>
        <w:rPr>
          <w:i/>
          <w:color w:val="666666"/>
          <w:sz w:val="18"/>
        </w:rPr>
        <w:t>Chironda CT et al.  ·  BMC Public Health  ·  23.07.2026  ·  PMID 42897543</w:t>
      </w:r>
    </w:p>
    <w:p>
      <w:r>
        <w:t>Südafrikanische Verbal-Autopsy-Studie an 5.892 Verstorbenen analysierte Trends chronischer Erkrankungen und Multimorbidität-Cluster über 11 Jahre mittels Clusteranalyse und latenter Klassenanalyse, um epidemiologischen Wandel in ländlicher Region zu dokumentieren.</w:t>
      </w:r>
    </w:p>
    <w:p>
      <w:r>
        <w:rPr>
          <w:b/>
        </w:rPr>
        <w:t xml:space="preserve">Ergebnis: </w:t>
      </w:r>
      <w:r>
        <w:t>Hypertonie stieg von 25 % (2012) auf über 50 % (2022), Diabetes von 10 % auf 25 %. Tuberkulose fiel von 23 % auf 11 %, HIV-Prävalenz schwankte um 20 %. Multimorbidität (≥2 Erkrankungen) wuchs, Komplexmultimorbidität (≥3) verdoppelte sich von 8 % (2012) auf 15 % (2019). Cluster verschwanden progressiv vom HIV/TB-Muster zu kardio-metabolischen Mustern (Hypertonie-Diabetes). Ältere Erwachsene (≥65 Jahre) und Frauen trugen höchste Multimorbidität-Last. Dies zeigt: ländliche Bevölkerung unterliegt Epidemiologischem Übergang; Versorgung muss Nichtübertragbare Krankheiten priorisieren und Mehrfacherkrankungen adressieren.</w:t>
      </w:r>
    </w:p>
    <w:p>
      <w:r>
        <w:rPr>
          <w:b/>
          <w:sz w:val="19"/>
        </w:rPr>
        <w:t xml:space="preserve">Übertragbarkeit: </w:t>
      </w:r>
      <w:r>
        <w:rPr>
          <w:sz w:val="19"/>
        </w:rPr>
        <w:t>Südafrika, ländliches Setting; epidemiologischer Wandel global relevant, Gesundheitssysteme unterschiedlich</w:t>
      </w:r>
    </w:p>
    <w:p>
      <w:r>
        <w:rPr>
          <w:color w:val="5A7D3A"/>
          <w:sz w:val="18"/>
        </w:rPr>
        <w:t>https://pubmed.ncbi.nlm.nih.gov/42897543/</w:t>
      </w:r>
    </w:p>
    <w:p>
      <w:pPr>
        <w:pStyle w:val="Heading2"/>
      </w:pPr>
      <w:r>
        <w:t>Nierentransplantation senkt Kosten dramatisch: Krankenhauskosten 82 % niedriger als bei Dialyse</w:t>
      </w:r>
    </w:p>
    <w:p>
      <w:r>
        <w:rPr>
          <w:i/>
          <w:color w:val="666666"/>
          <w:sz w:val="18"/>
        </w:rPr>
        <w:t>Santamaria R et al.  ·  BMC Nephrol  ·  22.07.2026  ·  PMID 42897541</w:t>
      </w:r>
    </w:p>
    <w:p>
      <w:r>
        <w:t>Spanische Kohortenstudie verglich Gesundheitskosten und Krankenhausnutzung bei 588 Patienten mit Dialyse oder Nierentransplantation über zwei Jahre, gemessen an Hospitalisierungen, schwerwiegenden kardiovaskulären Ereignissen und Mortalität.</w:t>
      </w:r>
    </w:p>
    <w:p>
      <w:r>
        <w:rPr>
          <w:b/>
        </w:rPr>
        <w:t xml:space="preserve">Ergebnis: </w:t>
      </w:r>
      <w:r>
        <w:t>Durchschnittliche Jahreskosten für Dialysepatienten betrugen 25.410 €, für Transplantierte 4.473 €. Bei Dialysepatienten waren schwerwiegende kardiovaskuläre Ereignisse 3,2-mal häufiger (276,3 vs. 85,9 pro 1000 Patientenjahre), Hospitalisierungsrate 1,3-mal höher (245,7 vs. 183,0 pro 1000), Sterblichkeit 7,1-mal höher (253,8 vs. 35,6). Hospitalisierungen verursachten 72,4 % der Dialysekosten, bei Transplantation nur 39,8 %. Die Ergebnisse bestätigen Transplantation als kosteneffektivste Therapie chronischer Nierenfunktionsstörung.</w:t>
      </w:r>
    </w:p>
    <w:p>
      <w:r>
        <w:rPr>
          <w:b/>
          <w:sz w:val="19"/>
        </w:rPr>
        <w:t xml:space="preserve">Übertragbarkeit: </w:t>
      </w:r>
      <w:r>
        <w:rPr>
          <w:sz w:val="19"/>
        </w:rPr>
        <w:t>Spanisches Gesundheitssystem, vergleichbar mit deutschem Versicherungsmodell</w:t>
      </w:r>
    </w:p>
    <w:p>
      <w:r>
        <w:rPr>
          <w:color w:val="5A7D3A"/>
          <w:sz w:val="18"/>
        </w:rPr>
        <w:t>https://pubmed.ncbi.nlm.nih.gov/42897541/</w:t>
      </w:r>
    </w:p>
    <w:p>
      <w:pPr>
        <w:pStyle w:val="Heading2"/>
      </w:pPr>
      <w:r>
        <w:t>Schlafmangel erhöht Multimorbidität-Risiko um 375 %: Studie an postmenopausalen Frauen</w:t>
      </w:r>
    </w:p>
    <w:p>
      <w:r>
        <w:rPr>
          <w:i/>
          <w:color w:val="666666"/>
          <w:sz w:val="18"/>
        </w:rPr>
        <w:t>Xu J et al.  ·  BMC Public Health  ·  24.07.2026  ·  PMID 42897539</w:t>
      </w:r>
    </w:p>
    <w:p>
      <w:r>
        <w:t>Chinesische Längsschnittstudie an 2.859 postmenopausalen Frauen aus der CHARLS-Kohorte identifizierte Schlafmuster (Group-Based Trajectory Modeling) und untersuchte deren Assoziation mit kardio-renal-metabolischer Mehrfacherkrankung (kardiovaskulär, Niere, Stoffwechsel) über mittlere zwei Jahre Nachbeobachtung.</w:t>
      </w:r>
    </w:p>
    <w:p>
      <w:r>
        <w:rPr>
          <w:b/>
        </w:rPr>
        <w:t xml:space="preserve">Ergebnis: </w:t>
      </w:r>
      <w:r>
        <w:t>Drei Schlafmuster wurden identifiziert: normal-stabil (33,9 %), normal-fluktuierend abnehmend (52,0 %), kurz-rapide abnehmend (14,1 %). Während Nachbeobachtung entwickelten 108 Frauen (3,8 %) Multimorbidität. Gegenüber normal-stabil-Gruppe: normal-fluktuierend-abnehmend erhöhte Multimorbidität-Risiko um 130 % (OR 2,30; 95%KI 1,35–3,91), kurz-rapide-abnehmend um 275 % (OR 3,75; 95%KI 1,99–7,07). Effekte blieben in Subgruppen- und Sensitivitätsanalysen stabil. Stable ausreichende Schlafdauer ist protektiver Faktor gegen Multimorbidität.</w:t>
      </w:r>
    </w:p>
    <w:p>
      <w:r>
        <w:rPr>
          <w:b/>
          <w:sz w:val="19"/>
        </w:rPr>
        <w:t xml:space="preserve">Übertragbarkeit: </w:t>
      </w:r>
      <w:r>
        <w:rPr>
          <w:sz w:val="19"/>
        </w:rPr>
        <w:t>China; Phänomen biologisch universal, präventiventiver Ansatz systemunabhängig</w:t>
      </w:r>
    </w:p>
    <w:p>
      <w:r>
        <w:rPr>
          <w:color w:val="5A7D3A"/>
          <w:sz w:val="18"/>
        </w:rPr>
        <w:t>https://pubmed.ncbi.nlm.nih.gov/42897539/</w:t>
      </w:r>
    </w:p>
    <w:p>
      <w:pPr>
        <w:pStyle w:val="Heading1"/>
      </w:pPr>
      <w:r>
        <w:t>Aufgenommen am 20.10.2026</w:t>
      </w:r>
    </w:p>
    <w:p>
      <w:pPr>
        <w:pStyle w:val="Heading2"/>
      </w:pPr>
      <w:r>
        <w:t>Atherogenic-Frailty-Index sagt kardio-metabole Mehrfacherkrankung voraus: kumulative Last und Trajektorien</w:t>
      </w:r>
    </w:p>
    <w:p>
      <w:r>
        <w:rPr>
          <w:i/>
          <w:color w:val="666666"/>
          <w:sz w:val="18"/>
        </w:rPr>
        <w:t>Wu H et al.  ·  J Glob Health  ·  19.10.2026  ·  PMID 42895260</w:t>
      </w:r>
    </w:p>
    <w:p>
      <w:r>
        <w:t>Prospektive nationale chinesische Kohortenstudie (CHARLS) an 4.157 Erwachsenen ≥45 Jahren ohne baseline-Mehrfacherkrankung zur Assoziation von kumulativer Exposition und Longitudinal-Trajektorien eines kombinierten atherogenic-frailty-Index (AIP-FI) mit neu auftretender kardio-metaboler Mehrfacherkrankung.</w:t>
      </w:r>
    </w:p>
    <w:p>
      <w:r>
        <w:rPr>
          <w:b/>
        </w:rPr>
        <w:t xml:space="preserve">Ergebnis: </w:t>
      </w:r>
      <w:r>
        <w:t>Über 8,5 Jahre Nachverfolgung traten 612 neue Mehrfacherkrankungs-Fälle auf. Höherer baseline und kumulativer AIP-FI waren signifikant mit erhöhtem Mehrfacherkrankungs-Risiko assoziiert; kumulativer Effekt war stärker (adjustierte HR pro SD: 1,46; 95%-KI 1,38–1,54). Höchstes Quartil vs. niedrigstes: HR 3,95 (95%-KI 2,95–5,29). Hoch-stabile AIP-FI-Gruppen zeigten höchstes Risiko. AIP-FI hatte überlegene Vorhersageleistung (AUC 71,17%) mit verbesserter Reklassifikation (NRI 0,157).</w:t>
      </w:r>
    </w:p>
    <w:p>
      <w:r>
        <w:rPr>
          <w:b/>
          <w:sz w:val="19"/>
        </w:rPr>
        <w:t xml:space="preserve">Übertragbarkeit: </w:t>
      </w:r>
      <w:r>
        <w:rPr>
          <w:sz w:val="19"/>
        </w:rPr>
        <w:t>China, nationales Register, aber Mehrfacherkrankungs-Konzept und Biomarker-Ansatz europäisch relevant</w:t>
      </w:r>
    </w:p>
    <w:p>
      <w:r>
        <w:rPr>
          <w:color w:val="5A7D3A"/>
          <w:sz w:val="18"/>
        </w:rPr>
        <w:t>https://pubmed.ncbi.nlm.nih.gov/42895260/</w:t>
      </w:r>
    </w:p>
    <w:p>
      <w:pPr>
        <w:pStyle w:val="Heading2"/>
      </w:pPr>
      <w:r>
        <w:t>CKD als Kardio-Nieren-Stoffwechsel-Kontinuum: neue Phänotypen für Risikostratifikation</w:t>
      </w:r>
    </w:p>
    <w:p>
      <w:r>
        <w:rPr>
          <w:i/>
          <w:color w:val="666666"/>
          <w:sz w:val="18"/>
        </w:rPr>
        <w:t>Valtuille RA et al.  ·  Panminerva Med  ·  Sept. 2026  ·  PMID 42895046</w:t>
      </w:r>
    </w:p>
    <w:p>
      <w:r>
        <w:t>Narrative Übersichtsarbeit zu CKD als systemische Erkrankung mit mehreren Filtrationphänotypen, Entzündung und kardiovaskulärer Vulnerabilität; Integration von Nierenbiomarkern in Risikoprädiktion.</w:t>
      </w:r>
    </w:p>
    <w:p>
      <w:r>
        <w:rPr>
          <w:b/>
        </w:rPr>
        <w:t xml:space="preserve">Ergebnis: </w:t>
      </w:r>
      <w:r>
        <w:t>Neuartige Filtrationphänotypen (Kreatinin-Cystatin-C-basierte eGFR-Kategorien) verbessern klassisches Staging. Simulation an 5.000 virtuellen Patienten zeigt nicht-lineare, synergetische Effekte von eGFR, Albuminurie, Alter, Hypertonie, Diabetes und Lipidstörungen auf kardiovaskuläres Risiko. SGLT2-Inhibitoren, Finerenon und GLP-1-Agonisten bieten Multisystemvorteile.</w:t>
      </w:r>
    </w:p>
    <w:p>
      <w:r>
        <w:rPr>
          <w:b/>
          <w:sz w:val="19"/>
        </w:rPr>
        <w:t xml:space="preserve">Übertragbarkeit: </w:t>
      </w:r>
      <w:r>
        <w:rPr>
          <w:sz w:val="19"/>
        </w:rPr>
        <w:t>Europäische Fachliteratur, kontinuum-basierter Ansatz übertragbar auf deutsches DMP-System</w:t>
      </w:r>
    </w:p>
    <w:p>
      <w:r>
        <w:rPr>
          <w:color w:val="5A7D3A"/>
          <w:sz w:val="18"/>
        </w:rPr>
        <w:t>https://pubmed.ncbi.nlm.nih.gov/42895046/</w:t>
      </w:r>
    </w:p>
    <w:p>
      <w:pPr>
        <w:pStyle w:val="Heading2"/>
      </w:pPr>
      <w:r>
        <w:t>Osteoporose bei COPD: Erkenntnislücke zwischen Wissen und klinischer Praxis</w:t>
      </w:r>
    </w:p>
    <w:p>
      <w:r>
        <w:rPr>
          <w:i/>
          <w:color w:val="666666"/>
          <w:sz w:val="18"/>
        </w:rPr>
        <w:t>Siraj RA et al.  ·  Int J Chron Obstruct Pulmon Dis  ·  14.10.2026  ·  PMID 42894800</w:t>
      </w:r>
    </w:p>
    <w:p>
      <w:r>
        <w:t>Nationale Cross-sectional-Befragung von 977 saudi-arabischen Fachleuten (Hausärzte, Pneumologen, Intensivmediziner) zu Wahrnehmung, Selbstsicherheit und Routinetätigkeit bei Osteoporoserisiko-Assessment bei COPD-Patienten.</w:t>
      </w:r>
    </w:p>
    <w:p>
      <w:r>
        <w:rPr>
          <w:b/>
        </w:rPr>
        <w:t xml:space="preserve">Ergebnis: </w:t>
      </w:r>
      <w:r>
        <w:t>61% berichteten routinemäßiges Osteoporose-Risiko-Screening, aber Umsetzung war inkonsistent; Hauptbarrieren waren Priorisierung respiratorischer Symptome (58,9%), fehlende Klinik-Protokolle (55,1%), begrenzte Konsultationszeit (51,1%) und limitierter Ressourcenzugang (51,1%). Pulmonologen (aOR 1,53), höhere Patientenzahl (10–30 monatlich; aOR 1,70), formale Ausbildung (aOR 1,45) und Selbsteinschätzung (aOR 1,71) waren unabhängig assoziiert mit routinemäßigem Assessment.</w:t>
      </w:r>
    </w:p>
    <w:p>
      <w:r>
        <w:rPr>
          <w:b/>
          <w:sz w:val="19"/>
        </w:rPr>
        <w:t xml:space="preserve">Übertragbarkeit: </w:t>
      </w:r>
      <w:r>
        <w:rPr>
          <w:sz w:val="19"/>
        </w:rPr>
        <w:t>Saudi-Arabien, aber Barrieren-Struktur und Interventionsmöglichkeiten auf deutsches Mehrfacherkrankungs-Screening übertragbar</w:t>
      </w:r>
    </w:p>
    <w:p>
      <w:r>
        <w:rPr>
          <w:color w:val="5A7D3A"/>
          <w:sz w:val="18"/>
        </w:rPr>
        <w:t>https://pubmed.ncbi.nlm.nih.gov/42894800/</w:t>
      </w:r>
    </w:p>
    <w:p>
      <w:pPr>
        <w:pStyle w:val="Heading2"/>
      </w:pPr>
      <w:r>
        <w:t>Neutrophil-Lymphozyten-Ratio bei COPD: Assoziation mit beschleunigtem Lungenfunktionsverlust</w:t>
      </w:r>
    </w:p>
    <w:p>
      <w:r>
        <w:rPr>
          <w:i/>
          <w:color w:val="666666"/>
          <w:sz w:val="18"/>
        </w:rPr>
        <w:t>Xue H et al.  ·  Int J Chron Obstruct Pulmon Dis  ·  14.10.2026  ·  PMID 42894652</w:t>
      </w:r>
    </w:p>
    <w:p>
      <w:r>
        <w:t>Retrospektive Einzelzentrum-Kohortenstudie mit wiederholter Spirometrie zur Assoziation zwischen Ausgangswert des Neutrophil-Lymphozyten-Quotienten (NLR) und jährlicher FEV1-Veränderung bei klinisch stabiler COPD.</w:t>
      </w:r>
    </w:p>
    <w:p>
      <w:r>
        <w:rPr>
          <w:b/>
        </w:rPr>
        <w:t xml:space="preserve">Ergebnis: </w:t>
      </w:r>
      <w:r>
        <w:t>Bei 640 Patienten (2.525 Beobachtungen, Median 22 Monate) war höherer baseline-NLR (pro Verdopplung) nach Schweregrad-Anpassung mit zusätzlichem FEV1-Rückgang von 8,26 mL/Jahr verbunden (95%-KI 2,29–14,23; p=0,0068). Assoziation war modellabhängig und etablierte weder Kausalität noch individuellen Vorhersagewert.</w:t>
      </w:r>
    </w:p>
    <w:p>
      <w:r>
        <w:rPr>
          <w:b/>
          <w:sz w:val="19"/>
        </w:rPr>
        <w:t xml:space="preserve">Übertragbarkeit: </w:t>
      </w:r>
      <w:r>
        <w:rPr>
          <w:sz w:val="19"/>
        </w:rPr>
        <w:t>China (Einzelzentrum), retrograd strukturiert; Entzündungsmarker-Ansatz auf deutsches COPD-Monitoring übertragbar</w:t>
      </w:r>
    </w:p>
    <w:p>
      <w:r>
        <w:rPr>
          <w:color w:val="5A7D3A"/>
          <w:sz w:val="18"/>
        </w:rPr>
        <w:t>https://pubmed.ncbi.nlm.nih.gov/42894652/</w:t>
      </w:r>
    </w:p>
    <w:p>
      <w:pPr>
        <w:pStyle w:val="Heading2"/>
      </w:pPr>
      <w:r>
        <w:t>Asthma-COPD-Überlappung: erhöhte Exazerbationsrate bei Mehrfacherkrankung</w:t>
      </w:r>
    </w:p>
    <w:p>
      <w:r>
        <w:rPr>
          <w:i/>
          <w:color w:val="666666"/>
          <w:sz w:val="18"/>
        </w:rPr>
        <w:t>Athlin Å et al.  ·  Scand J Prim Health Care  ·  18.10.2026  ·  PMID 42894311</w:t>
      </w:r>
    </w:p>
    <w:p>
      <w:r>
        <w:t>Schwedische Kohortenstudie mit Patienten aus Primär- und Sekundärversorgung zur Häufigkeit und Auswirkung von Asthma-COPD-Überlappung auf Exazerbationen, Symptombelastung und Mortalität.</w:t>
      </w:r>
    </w:p>
    <w:p>
      <w:r>
        <w:rPr>
          <w:b/>
        </w:rPr>
        <w:t xml:space="preserve">Ergebnis: </w:t>
      </w:r>
      <w:r>
        <w:t>22% (2005) bzw. 9% (2014) der COPD-Patienten hatten komorbides Asthma; diese zeigten erhöhtes Exazerbationsrisiko (OR 1,58–2,20, p≤0,02), ohne signifikante Unterschiede in der Symptombelastung. Mortalität war nur in der 2014-Kohorte niedriger (HR 0,67, p=0,02). Reduktion der Asthma-COPD-Überlappung deutet auf verbesserte Diagnostik hin.</w:t>
      </w:r>
    </w:p>
    <w:p>
      <w:r>
        <w:rPr>
          <w:b/>
          <w:sz w:val="19"/>
        </w:rPr>
        <w:t xml:space="preserve">Übertragbarkeit: </w:t>
      </w:r>
      <w:r>
        <w:rPr>
          <w:sz w:val="19"/>
        </w:rPr>
        <w:t>Schweden, ambulante/stationäre Struktur vergleichbar mit Deutschland, 17 Jahre Verlauf</w:t>
      </w:r>
    </w:p>
    <w:p>
      <w:r>
        <w:rPr>
          <w:color w:val="5A7D3A"/>
          <w:sz w:val="18"/>
        </w:rPr>
        <w:t>https://pubmed.ncbi.nlm.nih.gov/42894311/</w:t>
      </w:r>
    </w:p>
    <w:p>
      <w:pPr>
        <w:pStyle w:val="Heading2"/>
      </w:pPr>
      <w:r>
        <w:t>CRP-Triglyzerid-Glukose-Index sagt kardio-metabole Mehrfacherkrankung postmenopausaler Frauen voraus</w:t>
      </w:r>
    </w:p>
    <w:p>
      <w:r>
        <w:rPr>
          <w:i/>
          <w:color w:val="666666"/>
          <w:sz w:val="18"/>
        </w:rPr>
        <w:t>Wang L et al.  ·  BMC Cardiovasc Disord  ·  22.07.2026  ·  PMID 42894124</w:t>
      </w:r>
    </w:p>
    <w:p>
      <w:r>
        <w:t>Prospektive nationale chinesische Kohortenstudie an 2.972 postmenopausalen Frauen (≥45 Jahre) ohne baseline-Mehrfacherkrankung (Median-Nachverfolgung 103,5 Monate) zur Assoziation eines kombinierten Entzündungs-Stoffwechsel-Index (CTI) mit neu auftretender kardio-metaboler Mehrfacherkrankung.</w:t>
      </w:r>
    </w:p>
    <w:p>
      <w:r>
        <w:rPr>
          <w:b/>
        </w:rPr>
        <w:t xml:space="preserve">Ergebnis: </w:t>
      </w:r>
      <w:r>
        <w:t>395 Teilnehmer (13,3%) entwickelten neue Mehrfacherkrankung. Jede 1-Punkt-CTI-Erhöhung: Risiko +95% (HR 1,95; 95%-KI 1,66–2,30). Höchstes vs. niedrigstes Quartil: HR 3,91 (95%-KI 2,62–5,82, p-Trend &lt;0,001). CTI-AUC 0,649 überlegen gegenüber TyG (0,616), CRP (0,612) und TG (0,582). Nomogramm (6 LASSO-Variablen) zeigte akzeptable Diskrimination (AUC Training 0,742, Validierung 0,703).</w:t>
      </w:r>
    </w:p>
    <w:p>
      <w:r>
        <w:rPr>
          <w:b/>
          <w:sz w:val="19"/>
        </w:rPr>
        <w:t xml:space="preserve">Übertragbarkeit: </w:t>
      </w:r>
      <w:r>
        <w:rPr>
          <w:sz w:val="19"/>
        </w:rPr>
        <w:t>China, nationales Langzeit-Panel, Entzündungs-Metabolit-Profil für deutsches Präventivscreening adaptierbar</w:t>
      </w:r>
    </w:p>
    <w:p>
      <w:r>
        <w:rPr>
          <w:color w:val="5A7D3A"/>
          <w:sz w:val="18"/>
        </w:rPr>
        <w:t>https://pubmed.ncbi.nlm.nih.gov/42894124/</w:t>
      </w:r>
    </w:p>
    <w:p>
      <w:pPr>
        <w:pStyle w:val="Heading1"/>
      </w:pPr>
      <w:r>
        <w:t>Aufgenommen am 19.10.2026</w:t>
      </w:r>
    </w:p>
    <w:p>
      <w:pPr>
        <w:pStyle w:val="Heading2"/>
      </w:pPr>
      <w:r>
        <w:t>Hämoglobin-Zielbereich 105-125 g/L erhöhte Sterblichkeit bei Hämodialysepatienten nicht</w:t>
      </w:r>
    </w:p>
    <w:p>
      <w:r>
        <w:rPr>
          <w:i/>
          <w:color w:val="666666"/>
          <w:sz w:val="18"/>
        </w:rPr>
        <w:t>Birnie K et al.  ·  Pharmacoepidemiol Drug Saf  ·  Nov. 2026  ·  PMID 42893801</w:t>
      </w:r>
    </w:p>
    <w:p>
      <w:r>
        <w:t>Elektronische Patientendaten aus 10 englischen Nierenzentren (2004-2016) verglichen mittels Target-Trial-Emulation verschiedene Hämoglobin-Zielwerte unter standardisierter Darbepoetindosierung.</w:t>
      </w:r>
    </w:p>
    <w:p>
      <w:r>
        <w:rPr>
          <w:b/>
        </w:rPr>
        <w:t xml:space="preserve">Ergebnis: </w:t>
      </w:r>
      <w:r>
        <w:t>Bei 8.628 Patienten (Medianalter 66 Jahre) zeigten sich für 105-125 g/L vs. 95-115 g/L Hazard Ratio 0,92 (95% KI 0,75-1,12), für &gt;125 g/L vs. 95-115 g/L HR 1,20 (95% KI 0,94-1,54). Ein moderat erhöhtes Ziel war nicht mit erhöhter Mortalität assoziiert, während Werte über 125 g/L das Mortalitätsrisiko möglicherweise steigern.</w:t>
      </w:r>
    </w:p>
    <w:p>
      <w:r>
        <w:rPr>
          <w:b/>
          <w:sz w:val="19"/>
        </w:rPr>
        <w:t xml:space="preserve">Übertragbarkeit: </w:t>
      </w:r>
      <w:r>
        <w:rPr>
          <w:sz w:val="19"/>
        </w:rPr>
        <w:t>UK-Nierenzentren mit vollständiger elektronischer Dokumentation, übertragbar auf Deutschland.</w:t>
      </w:r>
    </w:p>
    <w:p>
      <w:r>
        <w:rPr>
          <w:color w:val="5A7D3A"/>
          <w:sz w:val="18"/>
        </w:rPr>
        <w:t>https://pubmed.ncbi.nlm.nih.gov/42893801/</w:t>
      </w:r>
    </w:p>
    <w:p>
      <w:pPr>
        <w:pStyle w:val="Heading2"/>
      </w:pPr>
      <w:r>
        <w:t>COPD-Last in Asien stieg 2009-2023 um 41 Prozent trotz sinkender altersstandardisierter Raten</w:t>
      </w:r>
    </w:p>
    <w:p>
      <w:r>
        <w:rPr>
          <w:i/>
          <w:color w:val="666666"/>
          <w:sz w:val="18"/>
        </w:rPr>
        <w:t>Luo Q et al.  ·  Int J Chron Obstruct Pulmon Dis  ·  13.10.2026  ·  PMID 42893247</w:t>
      </w:r>
    </w:p>
    <w:p>
      <w:r>
        <w:t>Global Burden of Disease 2023 Analyse für 48 asiatische Länder (2009-2023) quantifizierte Inzidenz, Prävalenz, Todesfälle und DALYs mit Fokus auf demografische Treiber und Ungleichheit nach Sozio-demografischem Index.</w:t>
      </w:r>
    </w:p>
    <w:p>
      <w:r>
        <w:rPr>
          <w:b/>
        </w:rPr>
        <w:t xml:space="preserve">Ergebnis: </w:t>
      </w:r>
      <w:r>
        <w:t>Inzidenzfälle stiegen von 7,74 auf 10,75 Millionen (+38,9%), Prävalenz von 91,88 auf 129,76 Millionen (+41,2%), Todesfälle von 2,11 auf 2,63 Millionen (+24,8%). Altersstandardisierte Raten sanken jedoch in 34-43 der 48 Standorte. Von 522.061 zusätzlichen Todesfällen waren 345.084 auf Bevölkerungswachstum und 933.776 auf Alterung zurückzuführen. Sozioökonomische Konzentration der Todesfalllasten verschärfte sich (SII -69,90 auf -87,22).</w:t>
      </w:r>
    </w:p>
    <w:p>
      <w:r>
        <w:rPr>
          <w:b/>
          <w:sz w:val="19"/>
        </w:rPr>
        <w:t xml:space="preserve">Übertragbarkeit: </w:t>
      </w:r>
      <w:r>
        <w:rPr>
          <w:sz w:val="19"/>
        </w:rPr>
        <w:t>Asien, zeigt versorgungspolitischen Handlungsbedarf durch demografische Lasten unabhängig von Epidemiologie-Verbesserungen.</w:t>
      </w:r>
    </w:p>
    <w:p>
      <w:r>
        <w:rPr>
          <w:color w:val="5A7D3A"/>
          <w:sz w:val="18"/>
        </w:rPr>
        <w:t>https://pubmed.ncbi.nlm.nih.gov/42893247/</w:t>
      </w:r>
    </w:p>
    <w:p>
      <w:pPr>
        <w:pStyle w:val="Heading2"/>
      </w:pPr>
      <w:r>
        <w:t>Niedriges gewichtsadjustiertes Muskelvolumen fördert COPD-Exazerbationen bei niedrigem BMI</w:t>
      </w:r>
    </w:p>
    <w:p>
      <w:r>
        <w:rPr>
          <w:i/>
          <w:color w:val="666666"/>
          <w:sz w:val="18"/>
        </w:rPr>
        <w:t>Zhang Y et al.  ·  Int J Chron Obstruct Pulmon Dis  ·  13.10.2026  ·  PMID 42893075</w:t>
      </w:r>
    </w:p>
    <w:p>
      <w:r>
        <w:t>Querschnittstudie mit 419 COPD-Patienten untersuchte Assoziation zwischen Körperzusammensetzung (traditionell versus gewichtsadjustiert) und häufigen Exazerbationen (≥2 moderat oder ≥1 schwer im Vorjahr).</w:t>
      </w:r>
    </w:p>
    <w:p>
      <w:r>
        <w:rPr>
          <w:b/>
        </w:rPr>
        <w:t xml:space="preserve">Ergebnis: </w:t>
      </w:r>
      <w:r>
        <w:t>Niedriges ASM/BMI war mit häufigen Exazerbationen assoziiert (bereinigtes OR 1,74; 95% KI 1,07-2,87), besonders stark bei BMI &lt;24 kg/m² (aOR 5,66; 95% KI 2,22-17,66). Traditionelle Höhenindizes zeigten keine signifikante Assoziation (aOR 1,52; 95% KI 0,96-2,41).</w:t>
      </w:r>
    </w:p>
    <w:p>
      <w:r>
        <w:rPr>
          <w:b/>
          <w:sz w:val="19"/>
        </w:rPr>
        <w:t xml:space="preserve">Übertragbarkeit: </w:t>
      </w:r>
      <w:r>
        <w:rPr>
          <w:sz w:val="19"/>
        </w:rPr>
        <w:t>China, relevant für Versorgungspraxis: Muskelabbau als therapeutischer Angriffspunkt.</w:t>
      </w:r>
    </w:p>
    <w:p>
      <w:r>
        <w:rPr>
          <w:color w:val="5A7D3A"/>
          <w:sz w:val="18"/>
        </w:rPr>
        <w:t>https://pubmed.ncbi.nlm.nih.gov/42893075/</w:t>
      </w:r>
    </w:p>
    <w:p>
      <w:pPr>
        <w:pStyle w:val="Heading2"/>
      </w:pPr>
      <w:r>
        <w:t>Sehbehinderung reduziert Medikamentenadhärenz bei älteren Chronikern um bis zu 85 Prozent</w:t>
      </w:r>
    </w:p>
    <w:p>
      <w:r>
        <w:rPr>
          <w:i/>
          <w:color w:val="666666"/>
          <w:sz w:val="18"/>
        </w:rPr>
        <w:t>Shen Q et al.  ·  Med Sci Monit  ·  18.10.2026  ·  PMID 42892708</w:t>
      </w:r>
    </w:p>
    <w:p>
      <w:r>
        <w:t>Querschnittsstudie mit 100 Patienten &gt;60 Jahren an geriatrischer Klinik untersuchte Assoziation zwischen Grad der Sehbehinderung und Medikamentenadhärenz bei chronischen Erkrankungen mittels MMAS-8 Skala.</w:t>
      </w:r>
    </w:p>
    <w:p>
      <w:r>
        <w:rPr>
          <w:b/>
        </w:rPr>
        <w:t xml:space="preserve">Ergebnis: </w:t>
      </w:r>
      <w:r>
        <w:t>MMAS-8 Scores sanken von 7,32 (Normalsicht) auf 4,29 bei schwerer Sehbehinderung. Niedrige Adhärenz stieg von 3,7% (normal) auf 45,0% (mild), 71,4% (moderat) und 88,9% (schwer). Bereinigte Odds Ratios: milde Behinderung OR 3,45 (95% KI 1,18-10,13), moderate OR 8,72 (95% KI 2,94-25,83), schwere OR 16,45 (95% KI 4,21-64,23) versus Normalsicht.</w:t>
      </w:r>
    </w:p>
    <w:p>
      <w:r>
        <w:rPr>
          <w:b/>
          <w:sz w:val="19"/>
        </w:rPr>
        <w:t xml:space="preserve">Übertragbarkeit: </w:t>
      </w:r>
      <w:r>
        <w:rPr>
          <w:sz w:val="19"/>
        </w:rPr>
        <w:t>China, patientenschutzrelevant: Sehbehinderung als unerkanntes Adhärenzrisiko in der Praxis.</w:t>
      </w:r>
    </w:p>
    <w:p>
      <w:r>
        <w:rPr>
          <w:color w:val="5A7D3A"/>
          <w:sz w:val="18"/>
        </w:rPr>
        <w:t>https://pubmed.ncbi.nlm.nih.gov/42892708/</w:t>
      </w:r>
    </w:p>
    <w:p>
      <w:pPr>
        <w:pStyle w:val="Heading2"/>
      </w:pPr>
      <w:r>
        <w:t>CFTR-I556V-Variant erhöht COPD-Risiko um 96 Prozent nach Adjustierung</w:t>
      </w:r>
    </w:p>
    <w:p>
      <w:r>
        <w:rPr>
          <w:i/>
          <w:color w:val="666666"/>
          <w:sz w:val="18"/>
        </w:rPr>
        <w:t>Xu H et al.  ·  Int J Chron Obstruct Pulmon Dis  ·  11.10.2026  ·  PMID 42889849</w:t>
      </w:r>
    </w:p>
    <w:p>
      <w:r>
        <w:t>Klinische und experimentelle Studie mit 208 COPD-Patienten und 100 Kontrollen identifizierte CFTR-Genvarianten und untersuchte Auswirkungen der I556V-Variante auf ROS und Mitochondrienfunktion sowie Lungenparameter nach Zigarettenrauch in transgenen Mäusen.</w:t>
      </w:r>
    </w:p>
    <w:p>
      <w:r>
        <w:rPr>
          <w:b/>
        </w:rPr>
        <w:t xml:space="preserve">Ergebnis: </w:t>
      </w:r>
      <w:r>
        <w:t>I556V-Variante zeigte signifikante COPD-Assoziation (P=0,045), mit 2,12-fach erhöhtem Risiko (OR 2,12; 95% KI 1,16-3,86), nach Adjustierung für Alter, Geschlecht und Rauchen OR 1,96 (95% KI 1,01-3,81, +96%). In Mäusen führte I556V zu 23,03% erhöhter Atemwegswanddicke und 48,40% erhöhter Kollagenablagerung nach CS-Exposition mit exazerbierter Inflammation.</w:t>
      </w:r>
    </w:p>
    <w:p>
      <w:r>
        <w:rPr>
          <w:b/>
          <w:sz w:val="19"/>
        </w:rPr>
        <w:t xml:space="preserve">Übertragbarkeit: </w:t>
      </w:r>
      <w:r>
        <w:rPr>
          <w:sz w:val="19"/>
        </w:rPr>
        <w:t>China, Grundlage für genetische Stratifizierung und präventive Interventionen in Hochrisikopopulationen.</w:t>
      </w:r>
    </w:p>
    <w:p>
      <w:r>
        <w:rPr>
          <w:color w:val="5A7D3A"/>
          <w:sz w:val="18"/>
        </w:rPr>
        <w:t>https://pubmed.ncbi.nlm.nih.gov/42889849/</w:t>
      </w:r>
    </w:p>
    <w:p>
      <w:pPr>
        <w:pStyle w:val="Heading2"/>
      </w:pPr>
      <w:r>
        <w:t>Nilotinib senkt neurodegenerative Erkrankungen bei CML-Patienten um 63 Prozent</w:t>
      </w:r>
    </w:p>
    <w:p>
      <w:r>
        <w:rPr>
          <w:i/>
          <w:color w:val="666666"/>
          <w:sz w:val="18"/>
        </w:rPr>
        <w:t>Wittström F et al.  ·  Alzheimers Dement  ·  Okt. 2026  ·  PMID 42860391</w:t>
      </w:r>
    </w:p>
    <w:p>
      <w:r>
        <w:t>Schwedische populationsbasierte Kohortenstudie (2005-2024) verglich Inzidenz neurodegenerativer Erkrankungen bei 1.322 CML-Patienten unter verschiedenen Tyrosinkinasehemmern versus gematcht gesunde Vergleicher.</w:t>
      </w:r>
    </w:p>
    <w:p>
      <w:r>
        <w:rPr>
          <w:b/>
        </w:rPr>
        <w:t xml:space="preserve">Ergebnis: </w:t>
      </w:r>
      <w:r>
        <w:t>Bei 1.188 Imatinib-Nutzern (41 neurodegenerative Events) HR 0,98 (95% KI 0,71-1,36), bei 541 Dasatinib-Nutzern (15 Events) HR 1,18 (95% KI 0,68-2,03), bei 390 Nilotinib-Nutzern (5 Events) HR 0,37 (95% KI 0,15-0,90). Nur Nilotinib zeigte statistisch signifikante Assoziation mit reduzierter neurodegenerativer Erkrankung.</w:t>
      </w:r>
    </w:p>
    <w:p>
      <w:r>
        <w:rPr>
          <w:b/>
          <w:sz w:val="19"/>
        </w:rPr>
        <w:t xml:space="preserve">Übertragbarkeit: </w:t>
      </w:r>
      <w:r>
        <w:rPr>
          <w:sz w:val="19"/>
        </w:rPr>
        <w:t>Skandinavische Kohortendaten mit Universalversicherung, begrenzte Übertragbarkeit wegen Selektionseffekte bei Wirkstoffwahl.</w:t>
      </w:r>
    </w:p>
    <w:p>
      <w:r>
        <w:rPr>
          <w:color w:val="5A7D3A"/>
          <w:sz w:val="18"/>
        </w:rPr>
        <w:t>https://pubmed.ncbi.nlm.nih.gov/42860391/</w:t>
      </w:r>
    </w:p>
    <w:p>
      <w:pPr>
        <w:pStyle w:val="Heading1"/>
      </w:pPr>
      <w:r>
        <w:t>Aufgenommen am 18.10.2026</w:t>
      </w:r>
    </w:p>
    <w:p>
      <w:pPr>
        <w:pStyle w:val="Heading2"/>
      </w:pPr>
      <w:r>
        <w:t>COPD mit erhöhtem Pulsdruck verdoppelt Herzinfarktrisiko in Alter</w:t>
      </w:r>
    </w:p>
    <w:p>
      <w:r>
        <w:rPr>
          <w:i/>
          <w:color w:val="666666"/>
          <w:sz w:val="18"/>
        </w:rPr>
        <w:t>Liu G et al.  ·  Int J Chron Obstruct Pulmon Dis  ·  12.10.2026  ·  PMID 42891288</w:t>
      </w:r>
    </w:p>
    <w:p>
      <w:r>
        <w:t>Prospektive Kohortenstudie an 4183 älteren Chinesen (≥60 Jahre) mit 7-Jahres-Nachverfolgung zum Risiko kardiovaskulärer Ereignisse bei Mehrfacherkrankung (COPD und vaskuläres Altern).</w:t>
      </w:r>
    </w:p>
    <w:p>
      <w:r>
        <w:rPr>
          <w:b/>
        </w:rPr>
        <w:t xml:space="preserve">Ergebnis: </w:t>
      </w:r>
      <w:r>
        <w:t>COPD allein (HR 1,15, 95%-KI 0,84–1,57) und erhöhter Pulsdruck allein (HR 0,93, 95%-KI 0,70–1,25) waren nicht mit kardiovaskulären Ereignissen assoziiert. Beide zusammen zeigten HR 1,86 (95%-KI 1,26–2,76), primär getrieben durch Herzerkrankungen (HR 2,80, 95%-KI 1,94–4,05), nicht Schlaganfälle (HR 0,84, 95%-KI 0,43–1,65). Für Mortalität: HR 2,05 (95%-KI 1,54–2,73) bei beiden Expositionen vs. weder Exposition.</w:t>
      </w:r>
    </w:p>
    <w:p>
      <w:r>
        <w:rPr>
          <w:b/>
          <w:sz w:val="19"/>
        </w:rPr>
        <w:t xml:space="preserve">Übertragbarkeit: </w:t>
      </w:r>
      <w:r>
        <w:rPr>
          <w:sz w:val="19"/>
        </w:rPr>
        <w:t>China, Bevölkerungsstichprobe; Mehrfacherkrankung zentral, strukturelle Vergleichbarkeit begrenzt</w:t>
      </w:r>
    </w:p>
    <w:p>
      <w:r>
        <w:rPr>
          <w:color w:val="5A7D3A"/>
          <w:sz w:val="18"/>
        </w:rPr>
        <w:t>https://pubmed.ncbi.nlm.nih.gov/42891288/</w:t>
      </w:r>
    </w:p>
    <w:p>
      <w:pPr>
        <w:pStyle w:val="Heading2"/>
      </w:pPr>
      <w:r>
        <w:t>COPD-assoziierte Herzinsuffizienz stieg weltweit um 40%, Projektion bis 2050 weiter aufwärts</w:t>
      </w:r>
    </w:p>
    <w:p>
      <w:r>
        <w:rPr>
          <w:i/>
          <w:color w:val="666666"/>
          <w:sz w:val="18"/>
        </w:rPr>
        <w:t>Liu C et al.  ·  Int J Chron Obstruct Pulmon Dis  ·  12.10.2026  ·  PMID 42891260</w:t>
      </w:r>
    </w:p>
    <w:p>
      <w:r>
        <w:t>Systematische Analyse der Global Burden of Disease Study 2021 zu Prävalenz und Krankheitslast von COPD-assoziierter Herzinsuffizienz 1990–2021 mit Bayes'scher Projektion bis 2050 nach Geschlecht, Alter, Region und SDI-Kategorie.</w:t>
      </w:r>
    </w:p>
    <w:p>
      <w:r>
        <w:rPr>
          <w:b/>
        </w:rPr>
        <w:t xml:space="preserve">Ergebnis: </w:t>
      </w:r>
      <w:r>
        <w:t>2021: 3,61 Mio. Fälle COPD-assoziierte Herzinsuffizienz (1,4-facher Anstieg seit 1990). Altersstandarisierte Prävalenzrate und Years Lived with Disability stiegen insgesamt. Absolute Fälle stiegen in beiden Geschlechtern; altersstandarisierte Raten fielen bei Männern, stiegen bei Frauen. Lastspitze Alter 70–74 Jahre. Nur High-SDI-Regionen zeigten steigende altersstandarisierte Raten; Osteuropa fiel deutlich. Projektion 2022–2050: Anhaltender Anstieg altersstandarisierter Prävalenz und Krankheitslast, leicht höher bei Frauen.</w:t>
      </w:r>
    </w:p>
    <w:p>
      <w:r>
        <w:rPr>
          <w:b/>
          <w:sz w:val="19"/>
        </w:rPr>
        <w:t xml:space="preserve">Übertragbarkeit: </w:t>
      </w:r>
      <w:r>
        <w:rPr>
          <w:sz w:val="19"/>
        </w:rPr>
        <w:t>Globale GBD-Daten, Mehrfacherkrankung zentral, strukturelle Übertragbarkeit begrenzt</w:t>
      </w:r>
    </w:p>
    <w:p>
      <w:r>
        <w:rPr>
          <w:color w:val="5A7D3A"/>
          <w:sz w:val="18"/>
        </w:rPr>
        <w:t>https://pubmed.ncbi.nlm.nih.gov/42891260/</w:t>
      </w:r>
    </w:p>
    <w:p>
      <w:pPr>
        <w:pStyle w:val="Heading2"/>
      </w:pPr>
      <w:r>
        <w:t>CIDP in Saudi-Arabien: 89% erreichten klinische Besserung, 42% Relapse nach 11 Monaten</w:t>
      </w:r>
    </w:p>
    <w:p>
      <w:r>
        <w:rPr>
          <w:i/>
          <w:color w:val="666666"/>
          <w:sz w:val="18"/>
        </w:rPr>
        <w:t>Alhammad RM et al.  ·  Front Neurol  ·  01.10.2026  ·  PMID 42890075</w:t>
      </w:r>
    </w:p>
    <w:p>
      <w:r>
        <w:t>Multizentrische retrospektive Kohorte von 36 Patienten (18 m, 18 w) mit CIDP aus 5 Krankenhäusern in Saudi-Arabien (2014–2025) zur Charakterisierung Demografie, Klinik, Elektrophysiologie und Therapieergebnisse.</w:t>
      </w:r>
    </w:p>
    <w:p>
      <w:r>
        <w:rPr>
          <w:b/>
        </w:rPr>
        <w:t xml:space="preserve">Ergebnis: </w:t>
      </w:r>
      <w:r>
        <w:t>33 CIDP, 3 mögliche CIDP, Onset-Alter Durchschnitt 33 Jahre (Erwachsene: 40 Jahre). Typisch CIDP 72%, distal 8%, motorisch-dominiert 8%, multifokal 8%. Primär IVIG (42%) oder orale Steroide (33%) zur Erhaltung. Über 55 Monate: 89% erreichten mittlere Besserung im INCAT-Score (3,7-Punkte-Änderung) und 83% im MRCSS (11,9-Punkte-Änderung, p&lt;0,001). Relapse bei 42% nach mittleren 11 Monaten, meist durch suboptimale Therapie oder Nichtkompliance.</w:t>
      </w:r>
    </w:p>
    <w:p>
      <w:r>
        <w:rPr>
          <w:b/>
          <w:sz w:val="19"/>
        </w:rPr>
        <w:t xml:space="preserve">Übertragbarkeit: </w:t>
      </w:r>
      <w:r>
        <w:rPr>
          <w:sz w:val="19"/>
        </w:rPr>
        <w:t>Saudi-Arabien, multizentrische klinische Kohortendaten; regionales Benchmark für künftige Studien</w:t>
      </w:r>
    </w:p>
    <w:p>
      <w:r>
        <w:rPr>
          <w:color w:val="5A7D3A"/>
          <w:sz w:val="18"/>
        </w:rPr>
        <w:t>https://pubmed.ncbi.nlm.nih.gov/42890075/</w:t>
      </w:r>
    </w:p>
    <w:p>
      <w:pPr>
        <w:pStyle w:val="Heading2"/>
      </w:pPr>
      <w:r>
        <w:t>Hohes Parathormon vor Transplantation sagte persistierende Hyperparathyreose voraus</w:t>
      </w:r>
    </w:p>
    <w:p>
      <w:r>
        <w:rPr>
          <w:i/>
          <w:color w:val="666666"/>
          <w:sz w:val="18"/>
        </w:rPr>
        <w:t>Lam KH et al.  ·  Medicine (Baltimore)  ·  16.10.2026  ·  PMID 42888627</w:t>
      </w:r>
    </w:p>
    <w:p>
      <w:r>
        <w:t>Prospektive Kohorte von 104 Patienten mit Nierenterminalstadium nach Nierentransplantation zur Identifikation von Risikofaktoren für persistierende Hyperparathyreose (PTH ≥150 pg/mL) 6 Monate nach Transplantation.</w:t>
      </w:r>
    </w:p>
    <w:p>
      <w:r>
        <w:rPr>
          <w:b/>
        </w:rPr>
        <w:t xml:space="preserve">Ergebnis: </w:t>
      </w:r>
      <w:r>
        <w:t>Prävalenz persistierende Hyperparathyreose: 58,65%. Patienten mit persistierender Hyperparathyreose hatten signifikant höhere Baseline-PTH (Median 489 vs. 273 pg/mL, p&lt;0,001) und alkalische Phosphatase (Median 102,0 vs. 89,5 U/L, p=0,025). Längere Dialysedauer war assoziiert (Median 2,0 vs. 1,0 Jahre, p&lt;0,001). Höheres Baseline-PTH war unabhängig assoziiert mit persistierender Hyperparathyreose; Dialysedauer nur signifikant ≥1 Jahr.</w:t>
      </w:r>
    </w:p>
    <w:p>
      <w:r>
        <w:rPr>
          <w:b/>
          <w:sz w:val="19"/>
        </w:rPr>
        <w:t xml:space="preserve">Übertragbarkeit: </w:t>
      </w:r>
      <w:r>
        <w:rPr>
          <w:sz w:val="19"/>
        </w:rPr>
        <w:t>Vietnam, prospektive Klinikdaten; strukturelle Vergleichbarkeit eingeschränkt</w:t>
      </w:r>
    </w:p>
    <w:p>
      <w:r>
        <w:rPr>
          <w:color w:val="5A7D3A"/>
          <w:sz w:val="18"/>
        </w:rPr>
        <w:t>https://pubmed.ncbi.nlm.nih.gov/42888627/</w:t>
      </w:r>
    </w:p>
    <w:p>
      <w:pPr>
        <w:pStyle w:val="Heading2"/>
      </w:pPr>
      <w:r>
        <w:t>Medicare Advantage verschärft Zugang zu Nierendialyse und Transplantation</w:t>
      </w:r>
    </w:p>
    <w:p>
      <w:r>
        <w:rPr>
          <w:i/>
          <w:color w:val="666666"/>
          <w:sz w:val="18"/>
        </w:rPr>
        <w:t>Tyler DA et al.  ·  Health Serv Res  ·  Okt. 2026  ·  PMID 42888180</w:t>
      </w:r>
    </w:p>
    <w:p>
      <w:r>
        <w:t>Qualitative Studie mit 48 Interviews (56 Teilnehmende) aus Krankenversicherungsplänen, Dialyseanbieter und Nierenprogrammen in USA zur Versorgungszugang bei Nierenschädigung Terminal (ESRD) unter Medicare Advantage seit 2021.</w:t>
      </w:r>
    </w:p>
    <w:p>
      <w:r>
        <w:rPr>
          <w:b/>
        </w:rPr>
        <w:t xml:space="preserve">Ergebnis: </w:t>
      </w:r>
      <w:r>
        <w:t>Perspektiven divergierten zwischen Organisationen: Große Dialyseanbieter berichteten keine Zugangsbarrieren, kleine Anbieter beschrieben, dass Patienten zu weiter entfernten In-Network-Einrichtungen fahren mussten. Patienten waren sich Netzwerk-Restriktionen nicht bewusst. Versicherer beschrieben Beschränkungen auf «Centers of Excellence» für Transplantation; andere Teilnehmende berichteten, diese Restriktionen behinderten Transplantationszugang. Zusatzleistungen wurden von Führungskräften als wertvoll dargestellt, von Frontpersonal aber als weniger umfassend als angekündigt beschrieben.</w:t>
      </w:r>
    </w:p>
    <w:p>
      <w:r>
        <w:rPr>
          <w:b/>
          <w:sz w:val="19"/>
        </w:rPr>
        <w:t xml:space="preserve">Übertragbarkeit: </w:t>
      </w:r>
      <w:r>
        <w:rPr>
          <w:sz w:val="19"/>
        </w:rPr>
        <w:t>USA, Medicare Advantage; Übertragbarkeit auf deutsche Versichertenversorgung gering</w:t>
      </w:r>
    </w:p>
    <w:p>
      <w:r>
        <w:rPr>
          <w:color w:val="5A7D3A"/>
          <w:sz w:val="18"/>
        </w:rPr>
        <w:t>https://pubmed.ncbi.nlm.nih.gov/42888180/</w:t>
      </w:r>
    </w:p>
    <w:p>
      <w:pPr>
        <w:pStyle w:val="Heading2"/>
      </w:pPr>
      <w:r>
        <w:t>IL-6-Spiegeldynamik, nicht Baseline, zeigte Ansprechen auf B-Zell-Therapie bei MS</w:t>
      </w:r>
    </w:p>
    <w:p>
      <w:r>
        <w:rPr>
          <w:i/>
          <w:color w:val="666666"/>
          <w:sz w:val="18"/>
        </w:rPr>
        <w:t>Kölsche T et al.  ·  BMC Neurol  ·  21.08.2026  ·  PMID 42629559</w:t>
      </w:r>
    </w:p>
    <w:p>
      <w:r>
        <w:t>Retrospektive Kohortenstudie an 73 MS-Patienten (30 schubförmig-remittierend, 43 primär progredient) unter Ocrelizumab zur Validierung von Baseline-IL-6 und longitudinalen IL-6-Spiegeln als Biomarker für Therapieerfolg über 24 Monate.</w:t>
      </w:r>
    </w:p>
    <w:p>
      <w:r>
        <w:rPr>
          <w:b/>
        </w:rPr>
        <w:t xml:space="preserve">Ergebnis: </w:t>
      </w:r>
      <w:r>
        <w:t>Baseline-IL-6 unterschied sich nicht zwischen MS-Patienten und gesunden Kontrollen (p=0,178). Baseline-IL-6 war kein unabhängiger Prädiktor für Krankheitsaktivität (HR 1,83, 95%-KI 0,73–4,61, p=0,989). Longitudinal: Patienten, die NEDA-3 (No Evidence of Disease Activity) erhielten, zeigten 50% IL-6-Reduktion nach 12 Monaten (mittlere Änderung −1,30 pg/mL, p=0,0318); Verlust von NEDA-3 ging mit stabilen IL-6-Werten einher (0,09 pg/mL). Schlussfolgerung: Dynamische IL-6-Spiegel, nicht statische Baseline, reflektieren Therapieantwort besser.</w:t>
      </w:r>
    </w:p>
    <w:p>
      <w:r>
        <w:rPr>
          <w:b/>
          <w:sz w:val="19"/>
        </w:rPr>
        <w:t xml:space="preserve">Übertragbarkeit: </w:t>
      </w:r>
      <w:r>
        <w:rPr>
          <w:sz w:val="19"/>
        </w:rPr>
        <w:t>Deutschland (Düsseldorf), klinische Routinedaten MS-Zentren, vergleichbares System</w:t>
      </w:r>
    </w:p>
    <w:p>
      <w:r>
        <w:rPr>
          <w:color w:val="5A7D3A"/>
          <w:sz w:val="18"/>
        </w:rPr>
        <w:t>https://pubmed.ncbi.nlm.nih.gov/42629559/</w:t>
      </w:r>
    </w:p>
    <w:p>
      <w:pPr>
        <w:pStyle w:val="Heading1"/>
      </w:pPr>
      <w:r>
        <w:t>Aufgenommen am 17.10.2026</w:t>
      </w:r>
    </w:p>
    <w:p>
      <w:pPr>
        <w:pStyle w:val="Heading2"/>
      </w:pPr>
      <w:r>
        <w:t>Nierentransplantation verbessert Lebensqualität deutlich auch in Ländern mit niedrigem Einkommen</w:t>
      </w:r>
    </w:p>
    <w:p>
      <w:r>
        <w:rPr>
          <w:i/>
          <w:color w:val="666666"/>
          <w:sz w:val="18"/>
        </w:rPr>
        <w:t>Jafry NH et al.  ·  Exp Clin Transplant  ·  Sept. 2026  ·  PMID 42885702</w:t>
      </w:r>
    </w:p>
    <w:p>
      <w:r>
        <w:t>Querschnittstudie mit 205 erwachsenen Nierentransplantatempfängern (≥1 Jahr nach Transplantation) in Pakistan zu gesundheitsbezogener Lebensqualität mittels SF-36.</w:t>
      </w:r>
    </w:p>
    <w:p>
      <w:r>
        <w:rPr>
          <w:b/>
        </w:rPr>
        <w:t xml:space="preserve">Ergebnis: </w:t>
      </w:r>
      <w:r>
        <w:t>SF-36-Durchschnittswert 99,5±4,81 (hohe Lebensqualität). Körperfunktion 96,8±8,5 und soziale Funktion 95,5±15,7 besonders hoch; Allgemeingesundheitswahrnehmung niedriger (82,5±22,5). Männliche Patienten hatten bessere körperliche Funktion als weibliche (p=0,031). Strukturierte Transplantprogramme wirksam auch unter Ressourcenmangel; geschlechtsspezifische Nachsorge empfohlen.</w:t>
      </w:r>
    </w:p>
    <w:p>
      <w:r>
        <w:rPr>
          <w:b/>
          <w:sz w:val="19"/>
        </w:rPr>
        <w:t xml:space="preserve">Übertragbarkeit: </w:t>
      </w:r>
      <w:r>
        <w:rPr>
          <w:sz w:val="19"/>
        </w:rPr>
        <w:t>Pakistan; begrenzt auf ähnlich strukturierte Gesundheitssysteme ohne Versicherungsschutz</w:t>
      </w:r>
    </w:p>
    <w:p>
      <w:r>
        <w:rPr>
          <w:color w:val="5A7D3A"/>
          <w:sz w:val="18"/>
        </w:rPr>
        <w:t>https://pubmed.ncbi.nlm.nih.gov/42885702/</w:t>
      </w:r>
    </w:p>
    <w:p>
      <w:pPr>
        <w:pStyle w:val="Heading2"/>
      </w:pPr>
      <w:r>
        <w:t>Polypharmaka-Intensität erhöht Funktionsbehinderung bei Mehrfacherkrankung: 5-Jahres-Longitudinalstudie in China</w:t>
      </w:r>
    </w:p>
    <w:p>
      <w:r>
        <w:rPr>
          <w:i/>
          <w:color w:val="666666"/>
          <w:sz w:val="18"/>
        </w:rPr>
        <w:t>Wang QC et al.  ·  Geriatr Gerontol Int  ·  Okt. 2026  ·  PMID 42885111</w:t>
      </w:r>
    </w:p>
    <w:p>
      <w:r>
        <w:t>Längsschnittstudie mit 7.477 chinesischen Teilnehmern ≥45 Jahren mit ≥2 chronischen Erkrankungen (CHARLS 2015–2020) zum Zusammenhang zwischen multimorbidity-adjusted pharmacotherapy intensity (MA-PI) und funktioneller Behinderung.</w:t>
      </w:r>
    </w:p>
    <w:p>
      <w:r>
        <w:rPr>
          <w:b/>
        </w:rPr>
        <w:t xml:space="preserve">Ergebnis: </w:t>
      </w:r>
      <w:r>
        <w:t>2020: 33,5% mit ADL-Behinderung, 22,8% mit incident ADL-Behinderung, 26,3% mit Hospitalisierung. Höhere MA-PI (Q3 vs. Q1): OR 1,21 (95%-KI 1,01–1,44) für ADL-Behinderung; Q4: OR 1,28 (95%-KI 1,07–1,53). Incident disability ohne Baseline-Behinderung: Q4 OR 1,32 (95%-KI 1,06–1,64). Hospitalisierung Q3/Q4: OR 1,24/1,29. MA-PI kann Überbehandlung und Funktionsverlust in der Population identifizieren.</w:t>
      </w:r>
    </w:p>
    <w:p>
      <w:r>
        <w:rPr>
          <w:b/>
          <w:sz w:val="19"/>
        </w:rPr>
        <w:t xml:space="preserve">Übertragbarkeit: </w:t>
      </w:r>
      <w:r>
        <w:rPr>
          <w:sz w:val="19"/>
        </w:rPr>
        <w:t>China; Mehrfacherkrankung und Polypharmaka-Problematik universal, Übertragung auf deutsche Kohorte sinnvoll</w:t>
      </w:r>
    </w:p>
    <w:p>
      <w:r>
        <w:rPr>
          <w:color w:val="5A7D3A"/>
          <w:sz w:val="18"/>
        </w:rPr>
        <w:t>https://pubmed.ncbi.nlm.nih.gov/42885111/</w:t>
      </w:r>
    </w:p>
    <w:p>
      <w:pPr>
        <w:pStyle w:val="Heading2"/>
      </w:pPr>
      <w:r>
        <w:t>Mehrfacherkrankung im Krankenhaus: Was erschwert Entscheidungen bei komplexen Patienten</w:t>
      </w:r>
    </w:p>
    <w:p>
      <w:r>
        <w:rPr>
          <w:i/>
          <w:color w:val="666666"/>
          <w:sz w:val="18"/>
        </w:rPr>
        <w:t>Pretorius S et al.  ·  BMC Med  ·  16.10.2026  ·  PMID 42881454</w:t>
      </w:r>
    </w:p>
    <w:p>
      <w:r>
        <w:t>Qualitative Studie mit 40 Klinikstaffmitarbeitern in England zu Entscheidungsfindung bei hospitalisierten Patienten mit Mehrfacherkrankung.</w:t>
      </w:r>
    </w:p>
    <w:p>
      <w:r>
        <w:rPr>
          <w:b/>
        </w:rPr>
        <w:t xml:space="preserve">Ergebnis: </w:t>
      </w:r>
      <w:r>
        <w:t>Personalentscheidungen werden durch komplexe Patientenprofile, Systemdruck und inflexible Strukturen behindert. Ärzte nutzen Heuristiken und relationale Strategien zur Risikominderung, berichten aber, dass compensatory work allein unzureichend ist. Systemische Änderungen – bessere Gemeindeversorgung, generalistisches Fachwissen, flexible Versorgungspfade – könnten helfen.</w:t>
      </w:r>
    </w:p>
    <w:p>
      <w:r>
        <w:rPr>
          <w:b/>
          <w:sz w:val="19"/>
        </w:rPr>
        <w:t xml:space="preserve">Übertragbarkeit: </w:t>
      </w:r>
      <w:r>
        <w:rPr>
          <w:sz w:val="19"/>
        </w:rPr>
        <w:t>England, NHS-System; übertragbar auf deutsche Kliniken mit ähnlicher Spezialisierungslogik</w:t>
      </w:r>
    </w:p>
    <w:p>
      <w:r>
        <w:rPr>
          <w:color w:val="5A7D3A"/>
          <w:sz w:val="18"/>
        </w:rPr>
        <w:t>https://pubmed.ncbi.nlm.nih.gov/42881454/</w:t>
      </w:r>
    </w:p>
    <w:p>
      <w:pPr>
        <w:pStyle w:val="Heading2"/>
      </w:pPr>
      <w:r>
        <w:t>Patientenerfahrung mit Mehrfacherkrankung im Krankenhaus: Spezialisierung als Hindernis</w:t>
      </w:r>
    </w:p>
    <w:p>
      <w:r>
        <w:rPr>
          <w:i/>
          <w:color w:val="666666"/>
          <w:sz w:val="18"/>
        </w:rPr>
        <w:t>Bellass S et al.  ·  BMC Med  ·  16.10.2026  ·  PMID 42881406</w:t>
      </w:r>
    </w:p>
    <w:p>
      <w:r>
        <w:t>Qualitative Studie mit 44 hospitalisierten Patienten (44 mit 2–11 Erkrankungen) in England zu deren Versorgungserfahrung.</w:t>
      </w:r>
    </w:p>
    <w:p>
      <w:r>
        <w:rPr>
          <w:b/>
        </w:rPr>
        <w:t xml:space="preserve">Ergebnis: </w:t>
      </w:r>
      <w:r>
        <w:t>Patienten erleben Krankenhaus als Spezialistenumgebung, die auf Einzelerkrankungen ausgerichtet ist. Positive Versorgung hängt von Alignment zwischen Kliniker- und Patientenwissen ab. Organisatorische Barrieren gegen holistische Betreuung wahrgenommen. Empfehlung: Einbezug von Patient-Expertise in Entscheidungsprozesse; flexibles Servicedesign erforderlich.</w:t>
      </w:r>
    </w:p>
    <w:p>
      <w:r>
        <w:rPr>
          <w:b/>
          <w:sz w:val="19"/>
        </w:rPr>
        <w:t xml:space="preserve">Übertragbarkeit: </w:t>
      </w:r>
      <w:r>
        <w:rPr>
          <w:sz w:val="19"/>
        </w:rPr>
        <w:t>England, NHS-Universitätskliniken; Struktur- und Koordinationsprobleme vergleichbar mit deutschen Klinikabläufen</w:t>
      </w:r>
    </w:p>
    <w:p>
      <w:r>
        <w:rPr>
          <w:color w:val="5A7D3A"/>
          <w:sz w:val="18"/>
        </w:rPr>
        <w:t>https://pubmed.ncbi.nlm.nih.gov/42881406/</w:t>
      </w:r>
    </w:p>
    <w:p>
      <w:pPr>
        <w:pStyle w:val="Heading2"/>
      </w:pPr>
      <w:r>
        <w:t>Atemmuskelkraft prognostiziert Symptomverschlechterung bei COPD besser als Standard-Spirometrie</w:t>
      </w:r>
    </w:p>
    <w:p>
      <w:r>
        <w:rPr>
          <w:i/>
          <w:color w:val="666666"/>
          <w:sz w:val="18"/>
        </w:rPr>
        <w:t>Niu M et al.  ·  Clin Respir J  ·  Okt. 2026  ·  PMID 42878658</w:t>
      </w:r>
    </w:p>
    <w:p>
      <w:r>
        <w:t>Retrospektive Kohortenstudie mit 203 stabilen COPD-Patienten zur Vorhersage klinisch signifikanter CAT-Score-Verschlechterung (≥2 Punkte/12 Monate) mittels Atemmuskelkraft.</w:t>
      </w:r>
    </w:p>
    <w:p>
      <w:r>
        <w:rPr>
          <w:b/>
        </w:rPr>
        <w:t xml:space="preserve">Ergebnis: </w:t>
      </w:r>
      <w:r>
        <w:t>62 Patienten (30,5%) erlebten CAT-Verschlechterung. Niedrigere FEV₁%-Vorhersage, maximale inspiratorische Druckfunktion (MIP) und Zwerchfellverdickungsfraktion (DTF) waren protektiv. Modell mit MIP/DTF: AUC 0,873 (95%-KI 0,822–0,924), nach Optimismus-Korrektur 0,859. MIP/DTF erhöhten AUC von 0,801 auf 0,873 (NRI 0,527, IDI 0,058). Externe Validierung erforderlich.</w:t>
      </w:r>
    </w:p>
    <w:p>
      <w:r>
        <w:rPr>
          <w:b/>
          <w:sz w:val="19"/>
        </w:rPr>
        <w:t xml:space="preserve">Übertragbarkeit: </w:t>
      </w:r>
      <w:r>
        <w:rPr>
          <w:sz w:val="19"/>
        </w:rPr>
        <w:t>China; Atemmuskelprüfung in allen Ländern möglich, Übertragbarkeit des Prognose-Modells offen</w:t>
      </w:r>
    </w:p>
    <w:p>
      <w:r>
        <w:rPr>
          <w:color w:val="5A7D3A"/>
          <w:sz w:val="18"/>
        </w:rPr>
        <w:t>https://pubmed.ncbi.nlm.nih.gov/42878658/</w:t>
      </w:r>
    </w:p>
    <w:p>
      <w:pPr>
        <w:pStyle w:val="Heading2"/>
      </w:pPr>
      <w:r>
        <w:t>Akutes Nierenschädigungssyndrom nach akutem Nierenversagen: 45,6% entwickeln Chronizität innerhalb von 90 Tagen</w:t>
      </w:r>
    </w:p>
    <w:p>
      <w:r>
        <w:rPr>
          <w:i/>
          <w:color w:val="666666"/>
          <w:sz w:val="18"/>
        </w:rPr>
        <w:t>Hu S et al.  ·  Ren Fail  ·  15.10.2026  ·  PMID 42876246</w:t>
      </w:r>
    </w:p>
    <w:p>
      <w:r>
        <w:t>Retrospektive Kohortenstudie mit 23.868 erwachsenen Patienten nach mindestens einer AKI-Episode (2015–2024) in China zur Inzidenz und Prognose des Acute Kidney Disease (AKD).</w:t>
      </w:r>
    </w:p>
    <w:p>
      <w:r>
        <w:rPr>
          <w:b/>
        </w:rPr>
        <w:t xml:space="preserve">Ergebnis: </w:t>
      </w:r>
      <w:r>
        <w:t>10.884 von 23.868 Patienten (45,6%) entwickelten AKD. Unabhängige Risikofaktoren: hohes Alter, Hypertonie, Herzinsuffizienz, Zirrhose, Diuretikagebrauch, höheres AKI-Stadium, Dialyse-Bedarf. Unter 6.597 Patienten ohne vorbestehende CKD entwickelten 19,8% de novo CKD (HR 1,92; 95%-KI 1,70–2,17). Frühe Erkennung und Zielinterventionen für Risikopatienten essenziell.</w:t>
      </w:r>
    </w:p>
    <w:p>
      <w:r>
        <w:rPr>
          <w:b/>
          <w:sz w:val="19"/>
        </w:rPr>
        <w:t xml:space="preserve">Übertragbarkeit: </w:t>
      </w:r>
      <w:r>
        <w:rPr>
          <w:sz w:val="19"/>
        </w:rPr>
        <w:t>China; Datengründung und Risikofaktoren auf nicht-europäische Population bezogen</w:t>
      </w:r>
    </w:p>
    <w:p>
      <w:r>
        <w:rPr>
          <w:color w:val="5A7D3A"/>
          <w:sz w:val="18"/>
        </w:rPr>
        <w:t>https://pubmed.ncbi.nlm.nih.gov/42876246/</w:t>
      </w:r>
    </w:p>
    <w:p>
      <w:pPr>
        <w:pStyle w:val="Heading2"/>
      </w:pPr>
      <w:r>
        <w:t>Antivirale Therapie bei HBV-HCC untergenutzt: 3- und 5-Jahres-Überlebensraten um 20% höher mit Behandlung</w:t>
      </w:r>
    </w:p>
    <w:p>
      <w:r>
        <w:rPr>
          <w:i/>
          <w:color w:val="666666"/>
          <w:sz w:val="18"/>
        </w:rPr>
        <w:t>Kudaravalli S et al.  ·  J Viral Hepat  ·  Nov. 2026  ·  PMID 42876044</w:t>
      </w:r>
    </w:p>
    <w:p>
      <w:r>
        <w:t>Systematischer Review und Meta-Analyse von 78 Studien (68.243 Patienten, 2006–2024) zur Nutzung von Nukleosid(t)id-Analoga und Überleben bei HBV-assoziiertem hepatozellulärem Karzinom.</w:t>
      </w:r>
    </w:p>
    <w:p>
      <w:r>
        <w:rPr>
          <w:b/>
        </w:rPr>
        <w:t xml:space="preserve">Ergebnis: </w:t>
      </w:r>
      <w:r>
        <w:t>Gepoolte antivirale Behandlungsrate 53,1% (52 Studien, 41.345 Patienten); nur 17,2% erhielten Therapie vor HCC-Diagnose. Behandelte vs. Unbehandelte: 3-Jahres-OS 80,4% vs. 59,2% (p&lt;0,01), 5-Jahres-OS 72,1% vs. 46,8% (p&lt;0,01). Bei inaktivem HCC 5-Jahres-OS 78,0% vs. 56,4% (p&lt;0,01). Antivirale Therapie bleibt unabhängig mit verbessertem 5-Jahres-Überleben assoziiert.</w:t>
      </w:r>
    </w:p>
    <w:p>
      <w:r>
        <w:rPr>
          <w:b/>
          <w:sz w:val="19"/>
        </w:rPr>
        <w:t xml:space="preserve">Übertragbarkeit: </w:t>
      </w:r>
      <w:r>
        <w:rPr>
          <w:sz w:val="19"/>
        </w:rPr>
        <w:t>Globale Daten; Versorgungslücke universal, Kosteneffektivität muss regional geklärt werden</w:t>
      </w:r>
    </w:p>
    <w:p>
      <w:r>
        <w:rPr>
          <w:color w:val="5A7D3A"/>
          <w:sz w:val="18"/>
        </w:rPr>
        <w:t>https://pubmed.ncbi.nlm.nih.gov/42876044/</w:t>
      </w:r>
    </w:p>
    <w:p>
      <w:pPr>
        <w:pStyle w:val="Heading1"/>
      </w:pPr>
      <w:r>
        <w:t>Aufgenommen am 16.10.2026</w:t>
      </w:r>
    </w:p>
    <w:p>
      <w:pPr>
        <w:pStyle w:val="Heading2"/>
      </w:pPr>
      <w:r>
        <w:t>α1-Antitrypsin-Mangel unterdiagnostiziert: Testung bei nur 5,8 % der COPD-Patienten</w:t>
      </w:r>
    </w:p>
    <w:p>
      <w:r>
        <w:rPr>
          <w:i/>
          <w:color w:val="666666"/>
          <w:sz w:val="18"/>
        </w:rPr>
        <w:t>Baldomero AK et al.  ·  JAMA Netw Open  ·  01.10.2026  ·  PMID 42879152</w:t>
      </w:r>
    </w:p>
    <w:p>
      <w:r>
        <w:t>Retrospektive multizentrische Kohortenstudie mit 2.384.913 Personen mit COPD/Asthma aus US-Veteranensystem 2020–2024 zur Testungsrate und Therapie des α1-Antitrypsin-Mangels und deren Ungleichverteilung.</w:t>
      </w:r>
    </w:p>
    <w:p>
      <w:r>
        <w:rPr>
          <w:b/>
        </w:rPr>
        <w:t xml:space="preserve">Ergebnis: </w:t>
      </w:r>
      <w:r>
        <w:t>Von 2.384.913 Patienten wurden 138.278 (5,8 %) getestet; von 8.564 Diagnosefällen erhielten nur 320 (3,7 %) Augmentationstherapie. Assoziationen: höhere Testung mit Zirrhose (aOR 6,40; 95%-KI: 6,29–6,51) und Bronchiektasen (aOR 3,73; 95%-KI: 3,59–3,87). Niedrigere Testung: höheres Alter, aktiver Tabakkonsum, längere Anfahrtszeiten (&gt;90 vs. ≤30 min: aOR 0,63). Disparitäten nach Ethnizität und sozioökonomischem Status.</w:t>
      </w:r>
    </w:p>
    <w:p>
      <w:r>
        <w:rPr>
          <w:b/>
          <w:sz w:val="19"/>
        </w:rPr>
        <w:t xml:space="preserve">Übertragbarkeit: </w:t>
      </w:r>
      <w:r>
        <w:rPr>
          <w:sz w:val="19"/>
        </w:rPr>
        <w:t>USA – Befund der Unterdiagnose und Ungleichverteilung ist grundsätzlich übertragbar; System unterscheidet sich erheblich.</w:t>
      </w:r>
    </w:p>
    <w:p>
      <w:r>
        <w:rPr>
          <w:color w:val="5A7D3A"/>
          <w:sz w:val="18"/>
        </w:rPr>
        <w:t>https://pubmed.ncbi.nlm.nih.gov/42879152/</w:t>
      </w:r>
    </w:p>
    <w:p>
      <w:pPr>
        <w:pStyle w:val="Heading2"/>
      </w:pPr>
      <w:r>
        <w:t>Glukoseverwertung sagt Mehrfacherkrankung besser voraus als andere Marker</w:t>
      </w:r>
    </w:p>
    <w:p>
      <w:r>
        <w:rPr>
          <w:i/>
          <w:color w:val="666666"/>
          <w:sz w:val="18"/>
        </w:rPr>
        <w:t>Wang Z et al.  ·  Front Endocrinol (Lausanne)  ·  30.09.2026  ·  PMID 42877036</w:t>
      </w:r>
    </w:p>
    <w:p>
      <w:r>
        <w:t>Longitudinale Kohortenstudie mit 6.407 chinesischen Teilnehmern (45–79 Jahre) aus CHARLS 2011–2020 zur Vorhersage von kardiometabolischer Mehrfacherkrankung (mind. 2 von: Diabetes, Herzerkrankung, Schlaganfall) mittels eGDR, TyG und AIP.</w:t>
      </w:r>
    </w:p>
    <w:p>
      <w:r>
        <w:rPr>
          <w:b/>
        </w:rPr>
        <w:t xml:space="preserve">Ergebnis: </w:t>
      </w:r>
      <w:r>
        <w:t>593 Fälle von Mehrfacherkrankung. eGDR: HR 1,92 (95%-KI: 1,77–2,09) pro SD ungünstiger Richtung; TyG: HR 1,69 (95%-KI: 1,57–1,82); AIP: HR 1,51 (95%-KI: 1,39–1,64). eGDR zeigte größten Einzelmarker-Gewinn (ΔC-Index 0,041), TyG komplementär; AIP marginal. Interne Validierung bestätigt.</w:t>
      </w:r>
    </w:p>
    <w:p>
      <w:r>
        <w:rPr>
          <w:b/>
          <w:sz w:val="19"/>
        </w:rPr>
        <w:t xml:space="preserve">Übertragbarkeit: </w:t>
      </w:r>
      <w:r>
        <w:rPr>
          <w:sz w:val="19"/>
        </w:rPr>
        <w:t>China, repräsentative Kohortenstudie; Risikoscores unabhängig vom Gesundheitssystem übertragbar.</w:t>
      </w:r>
    </w:p>
    <w:p>
      <w:r>
        <w:rPr>
          <w:color w:val="5A7D3A"/>
          <w:sz w:val="18"/>
        </w:rPr>
        <w:t>https://pubmed.ncbi.nlm.nih.gov/42877036/</w:t>
      </w:r>
    </w:p>
    <w:p>
      <w:pPr>
        <w:pStyle w:val="Heading2"/>
      </w:pPr>
      <w:r>
        <w:t>PaCO₂-Schwellwert sagt Scheitern der NIV bei COPD-Exazerbation voraus</w:t>
      </w:r>
    </w:p>
    <w:p>
      <w:r>
        <w:rPr>
          <w:i/>
          <w:color w:val="666666"/>
          <w:sz w:val="18"/>
        </w:rPr>
        <w:t>Song F et al.  ·  Int J Chron Obstruct Pulmon Dis  ·  09.10.2026  ·  PMID 42876922</w:t>
      </w:r>
    </w:p>
    <w:p>
      <w:r>
        <w:t>Zweizentrische retrospektive Kohortenstudie mit 676 Patienten mit akuter COPD-Exazerbation und Typ-II-Ateminsuffizienz, behandelt mit nicht-invasiver Beatmung (NIV), zur Vorhersage von NIV-Versagen.</w:t>
      </w:r>
    </w:p>
    <w:p>
      <w:r>
        <w:rPr>
          <w:b/>
        </w:rPr>
        <w:t xml:space="preserve">Ergebnis: </w:t>
      </w:r>
      <w:r>
        <w:t>NIV-Versagen in 10,8 % (73 Patienten). Nach vollständiger Anpassung: jede Steigerung von PaCO₂ um 1 mmHg mit 3 % höherer Versagenswahrscheinlichkeit (OR 1,03; 95%-KI: 1,01–1,06). Schwellwert bei 60,2 mmHg identifiziert Hochrisikopatienten; AUC 0,805 des multivariaten Modells.</w:t>
      </w:r>
    </w:p>
    <w:p>
      <w:r>
        <w:rPr>
          <w:b/>
          <w:sz w:val="19"/>
        </w:rPr>
        <w:t xml:space="preserve">Übertragbarkeit: </w:t>
      </w:r>
      <w:r>
        <w:rPr>
          <w:sz w:val="19"/>
        </w:rPr>
        <w:t>China, klinische Routine; verfügbarer Bedside-Parameter, unabhängig von Gesundheitssystem.</w:t>
      </w:r>
    </w:p>
    <w:p>
      <w:r>
        <w:rPr>
          <w:color w:val="5A7D3A"/>
          <w:sz w:val="18"/>
        </w:rPr>
        <w:t>https://pubmed.ncbi.nlm.nih.gov/42876922/</w:t>
      </w:r>
    </w:p>
    <w:p>
      <w:pPr>
        <w:pStyle w:val="Heading2"/>
      </w:pPr>
      <w:r>
        <w:t>Koordinierte Pflege verbessert Versorgung von älteren Menschen mit Mehrfacherkrankungen</w:t>
      </w:r>
    </w:p>
    <w:p>
      <w:r>
        <w:rPr>
          <w:i/>
          <w:color w:val="666666"/>
          <w:sz w:val="18"/>
        </w:rPr>
        <w:t>Lagerin A et al.  ·  BMC Prim Care  ·  09.10.2026  ·  PMID 42875741</w:t>
      </w:r>
    </w:p>
    <w:p>
      <w:r>
        <w:t>Qualitative Studie mit 15 Bezirkspflegerinnen an fünf schwedischen Hausarztpraxen zur Versorgung älterer Menschen mit komplexer Mehrfacherkrankung und psychischen Problemen.</w:t>
      </w:r>
    </w:p>
    <w:p>
      <w:r>
        <w:rPr>
          <w:b/>
        </w:rPr>
        <w:t xml:space="preserve">Ergebnis: </w:t>
      </w:r>
      <w:r>
        <w:t>Fachkräfte fühlen sich fachlich kompetent und bereit, Verantwortung für Patienten mit Mehrfacherkrankungen zu übernehmen – wenn Zeit, Unterstützung und Struktur vorhanden sind. Zentrale Erkenntnisse: Bedarf nach verbindlich definierten Rollen, Grenzen für Koordinierungsaufgaben und struktureller Entlastung bei Kooperationslücken.</w:t>
      </w:r>
    </w:p>
    <w:p>
      <w:r>
        <w:rPr>
          <w:b/>
          <w:sz w:val="19"/>
        </w:rPr>
        <w:t xml:space="preserve">Übertragbarkeit: </w:t>
      </w:r>
      <w:r>
        <w:rPr>
          <w:sz w:val="19"/>
        </w:rPr>
        <w:t>Schweden, Hausarztpraxen; ähnliche Primärversorgungsstruktur wie Deutschland-Ansätze ohne verbindliche Steuerung.</w:t>
      </w:r>
    </w:p>
    <w:p>
      <w:r>
        <w:rPr>
          <w:color w:val="5A7D3A"/>
          <w:sz w:val="18"/>
        </w:rPr>
        <w:t>https://pubmed.ncbi.nlm.nih.gov/42875741/</w:t>
      </w:r>
    </w:p>
    <w:p>
      <w:pPr>
        <w:pStyle w:val="Heading2"/>
      </w:pPr>
      <w:r>
        <w:t>Post-COVID-Symptome bei Migranten: ethnische Unterschiede in Amsterdam</w:t>
      </w:r>
    </w:p>
    <w:p>
      <w:r>
        <w:rPr>
          <w:i/>
          <w:color w:val="666666"/>
          <w:sz w:val="18"/>
        </w:rPr>
        <w:t>Spronk M et al.  ·  Epidemiol Infect  ·  14.10.2026  ·  PMID 42870569</w:t>
      </w:r>
    </w:p>
    <w:p>
      <w:r>
        <w:t>Retrospektive Kohortenstudie mit 932 COVID-19-Erkrankten in Amsterdam zur Prävalenz von post-COVID-Symptomen (≥3 Monate) stratifiziert nach sechs ethnischen Gruppen.</w:t>
      </w:r>
    </w:p>
    <w:p>
      <w:r>
        <w:rPr>
          <w:b/>
        </w:rPr>
        <w:t xml:space="preserve">Ergebnis: </w:t>
      </w:r>
      <w:r>
        <w:t>31 % (95%-KI: 27–37 %) entwickelten post-COVID-Symptome. Nach 3 Monaten: 17 % bei niederländischer Herkunft vs. 41 % (95%-KI: 34–48 %) bei südostasiatisch-surinamischer Herkunft, beide p &lt; 0,001. Risikofaktoren: südostasiatisch-surinamische, türkische oder marokkanische Herkunft, höheres Alter, weiblich, niedrigere Bildung, Adipositas.</w:t>
      </w:r>
    </w:p>
    <w:p>
      <w:r>
        <w:rPr>
          <w:b/>
          <w:sz w:val="19"/>
        </w:rPr>
        <w:t xml:space="preserve">Übertragbarkeit: </w:t>
      </w:r>
      <w:r>
        <w:rPr>
          <w:sz w:val="19"/>
        </w:rPr>
        <w:t>Niederlande, vergleichbares Sozialsicherungssystem und Versorgungskontext.</w:t>
      </w:r>
    </w:p>
    <w:p>
      <w:r>
        <w:rPr>
          <w:color w:val="5A7D3A"/>
          <w:sz w:val="18"/>
        </w:rPr>
        <w:t>https://pubmed.ncbi.nlm.nih.gov/42870569/</w:t>
      </w:r>
    </w:p>
    <w:p>
      <w:pPr>
        <w:pStyle w:val="Heading2"/>
      </w:pPr>
      <w:r>
        <w:t>AA-Amyloidose bei autoinflammatorischen Erkrankungen: verzögerte Diagnose und hohe Krankheitslast</w:t>
      </w:r>
    </w:p>
    <w:p>
      <w:r>
        <w:rPr>
          <w:i/>
          <w:color w:val="666666"/>
          <w:sz w:val="18"/>
        </w:rPr>
        <w:t>El Moussaoui M et al.  ·  J Intern Med  ·  07.09.2026  ·  PMID 42706496</w:t>
      </w:r>
    </w:p>
    <w:p>
      <w:r>
        <w:t>Retrospektive Studie am französischen Referenzzentrum mit 181 Patienten mit sekundärer AA-Amyloidose; 50 davon (28 %) mit familiärem Mittelmeerfieber, CAPS, MKD oder TRAPS.</w:t>
      </w:r>
    </w:p>
    <w:p>
      <w:r>
        <w:rPr>
          <w:b/>
        </w:rPr>
        <w:t xml:space="preserve">Ergebnis: </w:t>
      </w:r>
      <w:r>
        <w:t>AA-Amyloidose ging der Diagnose der Grunderkrankung in 40 % der Fälle voraus (besonders bei Non-FMF). 46 % benötigten Nierentransplantation, Mortalität 26 % während Nachverfolgung. Erkrankungslast bleibt hoch trotz bekannter Erkrankung – weist auf verzögerte Diagnose hin.</w:t>
      </w:r>
    </w:p>
    <w:p>
      <w:r>
        <w:rPr>
          <w:b/>
          <w:sz w:val="19"/>
        </w:rPr>
        <w:t xml:space="preserve">Übertragbarkeit: </w:t>
      </w:r>
      <w:r>
        <w:rPr>
          <w:sz w:val="19"/>
        </w:rPr>
        <w:t>Frankreich, europäisches Referenzzentrum; übertragbar auf strukturierte Früherkennung in Deutschland.</w:t>
      </w:r>
    </w:p>
    <w:p>
      <w:r>
        <w:rPr>
          <w:color w:val="5A7D3A"/>
          <w:sz w:val="18"/>
        </w:rPr>
        <w:t>https://pubmed.ncbi.nlm.nih.gov/42706496/</w:t>
      </w:r>
    </w:p>
    <w:p>
      <w:pPr>
        <w:pStyle w:val="Heading1"/>
      </w:pPr>
      <w:r>
        <w:t>Aufgenommen am 15.10.2026</w:t>
      </w:r>
    </w:p>
    <w:p>
      <w:pPr>
        <w:pStyle w:val="Heading2"/>
      </w:pPr>
      <w:r>
        <w:t>COPD-Leitlinie: Gestaffelte Therapie senkt Exazerbationen in der Praxis</w:t>
      </w:r>
    </w:p>
    <w:p>
      <w:r>
        <w:rPr>
          <w:i/>
          <w:color w:val="666666"/>
          <w:sz w:val="18"/>
        </w:rPr>
        <w:t>D'Urzo AD et al.  ·  Can Fam Physician  ·  Okt. 2026  ·  PMID 42875068</w:t>
      </w:r>
    </w:p>
    <w:p>
      <w:r>
        <w:t>Umsetzungsleitlinie für Hausärzte zur 2023-Empfehlung der Canadian Thoracic Society beschreibt, wie Bronchodilator-Monotherapie bei leichter, Dualtherapie bei moderater und Tripeltherapie bei schwerer stabiler COPD die Symptome reduziert und Exazerbationen verhindert.</w:t>
      </w:r>
    </w:p>
    <w:p>
      <w:r>
        <w:rPr>
          <w:b/>
        </w:rPr>
        <w:t xml:space="preserve">Ergebnis: </w:t>
      </w:r>
      <w:r>
        <w:t>Stratifizierte Pharmakotherapie nach Symptombelastung und Exazerbationsrisiko: Single long-acting bronchodilator für milde, dual long-acting bronchodilator für moderate und single-inhaler triple therapy für schwere COPD mit hochem Exazerbationsrisiko reduziert Mortalität. Richtlinie betont Therapietreue als Erfolgsfaktor für Überlebensvorteil.</w:t>
      </w:r>
    </w:p>
    <w:p>
      <w:r>
        <w:rPr>
          <w:b/>
          <w:sz w:val="19"/>
        </w:rPr>
        <w:t xml:space="preserve">Übertragbarkeit: </w:t>
      </w:r>
      <w:r>
        <w:rPr>
          <w:sz w:val="19"/>
        </w:rPr>
        <w:t>Kanada, vergleichbare Primärversorgungsstruktur; direkt auf deutsche Disease-Management-Programme übertragbar</w:t>
      </w:r>
    </w:p>
    <w:p>
      <w:r>
        <w:rPr>
          <w:color w:val="5A7D3A"/>
          <w:sz w:val="18"/>
        </w:rPr>
        <w:t>https://pubmed.ncbi.nlm.nih.gov/42875068/</w:t>
      </w:r>
    </w:p>
    <w:p>
      <w:pPr>
        <w:pStyle w:val="Heading2"/>
      </w:pPr>
      <w:r>
        <w:t>Integriertes Care-Modell senkt Notaufnahmen bei High-Risk-COPD um 78 %</w:t>
      </w:r>
    </w:p>
    <w:p>
      <w:r>
        <w:rPr>
          <w:i/>
          <w:color w:val="666666"/>
          <w:sz w:val="18"/>
        </w:rPr>
        <w:t>Organista D et al.  ·  Acta Med Port  ·  01.10.2026  ·  PMID 42874036</w:t>
      </w:r>
    </w:p>
    <w:p>
      <w:r>
        <w:t>Portugiesische Vorher-nachher-Studie an 53 Hochrisiko-COPD-Patienten (LACE-Index &gt;9) evaluierte ein frühes, multidisziplinäres Versorgungsmodell mit ärztlicher, pflegerischer und sozialer Betreuung sowie hybrider Überwachung (vor Ort und remote).</w:t>
      </w:r>
    </w:p>
    <w:p>
      <w:r>
        <w:rPr>
          <w:b/>
        </w:rPr>
        <w:t xml:space="preserve">Ergebnis: </w:t>
      </w:r>
      <w:r>
        <w:t>Nach einem Jahr sanken mittlere Notaufnahmen von 3,09 auf 0,67 Besuche (−78 %, p&lt;0,001) und Hospitalisierungen von 1,39 auf 0,33 (−76 %, p&lt;0,001). Remote-Monitoring ermöglichte frühe klinische Interventionen; nur zwei Patienten mussten bei schwerem respiratorischen Versagen aufgenommen werden. Soziale Intervention half den meisten, häusliche Unterstützung zu halten.</w:t>
      </w:r>
    </w:p>
    <w:p>
      <w:r>
        <w:rPr>
          <w:b/>
          <w:sz w:val="19"/>
        </w:rPr>
        <w:t xml:space="preserve">Übertragbarkeit: </w:t>
      </w:r>
      <w:r>
        <w:rPr>
          <w:sz w:val="19"/>
        </w:rPr>
        <w:t>Portugal, ähnliche Sozialversicherungsstruktur; Koordination und Überwachungsmodelle auf deutsche integrierte Versorgung übertragbar</w:t>
      </w:r>
    </w:p>
    <w:p>
      <w:r>
        <w:rPr>
          <w:color w:val="5A7D3A"/>
          <w:sz w:val="18"/>
        </w:rPr>
        <w:t>https://pubmed.ncbi.nlm.nih.gov/42874036/</w:t>
      </w:r>
    </w:p>
    <w:p>
      <w:pPr>
        <w:pStyle w:val="Heading2"/>
      </w:pPr>
      <w:r>
        <w:t>Schwangerschaftskomplikationen erhöhen Risiko für Herz-Nieren-Erkrankungen</w:t>
      </w:r>
    </w:p>
    <w:p>
      <w:r>
        <w:rPr>
          <w:i/>
          <w:color w:val="666666"/>
          <w:sz w:val="18"/>
        </w:rPr>
        <w:t>Wambua S et al.  ·  BMJ Med  ·  06.10.2026  ·  PMID 42872422</w:t>
      </w:r>
    </w:p>
    <w:p>
      <w:r>
        <w:t>Longitudinale Kohortenstudie an 1,4 Millionen englischen Frauen untersuchte, wie Schwangerschaftskomplikationen das Risiko für kardiovaskuläre Erkrankungen, Typ-2-Diabetes, Hypertonie und chronische Nierenkrankheit in den Jahren nach der Schwangerschaft beeinflussen.</w:t>
      </w:r>
    </w:p>
    <w:p>
      <w:r>
        <w:rPr>
          <w:b/>
        </w:rPr>
        <w:t xml:space="preserve">Ergebnis: </w:t>
      </w:r>
      <w:r>
        <w:t>Gestationsdiabetes erhöhte das Typ-2-Diabetes-Risiko siebenfach (HR 7,0); Präeklampsie verdreifachte das Hypertonierisiko (HR 3,05) und verdoppelte das Nierenkrankheitsrisiko (HR 2,0). Postpartale Depression erhöhte alle vier Endpunkte um 35–56 % (HR 1,35–1,56). Diese Befunde unterstützen präventive Interventionen in der postpartalen Phase bei Frauen mit Schwangerschaftskomplikationen.</w:t>
      </w:r>
    </w:p>
    <w:p>
      <w:r>
        <w:rPr>
          <w:b/>
          <w:sz w:val="19"/>
        </w:rPr>
        <w:t xml:space="preserve">Übertragbarkeit: </w:t>
      </w:r>
      <w:r>
        <w:rPr>
          <w:sz w:val="19"/>
        </w:rPr>
        <w:t>England, vergleichbares Gesundheitssystem; Daten aus Primärversorgungsdatenbank</w:t>
      </w:r>
    </w:p>
    <w:p>
      <w:r>
        <w:rPr>
          <w:color w:val="5A7D3A"/>
          <w:sz w:val="18"/>
        </w:rPr>
        <w:t>https://pubmed.ncbi.nlm.nih.gov/42872422/</w:t>
      </w:r>
    </w:p>
    <w:p>
      <w:pPr>
        <w:pStyle w:val="Heading2"/>
      </w:pPr>
      <w:r>
        <w:t>Chronische Urtikaria erleichtert Früherkennung, aber nicht Kontrolle von Herz-Kreislauf-Erkrankungen</w:t>
      </w:r>
    </w:p>
    <w:p>
      <w:r>
        <w:rPr>
          <w:i/>
          <w:color w:val="666666"/>
          <w:sz w:val="18"/>
        </w:rPr>
        <w:t>Yang ZH et al.  ·  Biomed Environ Sci  ·  20.09.2026  ·  PMID 42870596</w:t>
      </w:r>
    </w:p>
    <w:p>
      <w:r>
        <w:t>Chinesische nationale Querschnittsstudie an 118.036 Erwachsenen mit Herz-Kreislauf-Erkrankungen untersuchte Prävalenz, Risikofaktoren und Auswirkungen chronischer Urtikaria auf Bewusstsein, Behandlung und Kontrolle von Hypertonie, Diabetes und Dyslipidämie.</w:t>
      </w:r>
    </w:p>
    <w:p>
      <w:r>
        <w:rPr>
          <w:b/>
        </w:rPr>
        <w:t xml:space="preserve">Ergebnis: </w:t>
      </w:r>
      <w:r>
        <w:t>Urtikaria-Prävalenz: 2,90 %, höher bei Frauen (3,41 % vs. 2,56 %) und Landbevölkerung. Risikofaktoren: aktuelles Rauchen (OR 1,17), Schlafmangel &lt;5h (OR 1,79) und &gt;10h (OR 1,39). Patienten mit Urtikaria zeigten höhere CMD-Bewusstseinraten (Hypertonie 50,7 % vs. 40,3 %) und Behandlungsquoten (Hypertonie 41,4 % vs. 34,2 %), aber vergleichbare Kontrollraten. Urtikaria wirkt als Marker, verbessert aber nicht die Krankheitskontrolle.</w:t>
      </w:r>
    </w:p>
    <w:p>
      <w:r>
        <w:rPr>
          <w:b/>
          <w:sz w:val="19"/>
        </w:rPr>
        <w:t xml:space="preserve">Übertragbarkeit: </w:t>
      </w:r>
      <w:r>
        <w:rPr>
          <w:sz w:val="19"/>
        </w:rPr>
        <w:t>China; Mehrfacherkrankung-Befunde aber unabhängig von Gesundheitssystem relevant</w:t>
      </w:r>
    </w:p>
    <w:p>
      <w:r>
        <w:rPr>
          <w:color w:val="5A7D3A"/>
          <w:sz w:val="18"/>
        </w:rPr>
        <w:t>https://pubmed.ncbi.nlm.nih.gov/42870596/</w:t>
      </w:r>
    </w:p>
    <w:p>
      <w:pPr>
        <w:pStyle w:val="Heading2"/>
      </w:pPr>
      <w:r>
        <w:t>Maresin-1-Profil markiert pädiatrische Nierenschädigung stadienabhängig</w:t>
      </w:r>
    </w:p>
    <w:p>
      <w:r>
        <w:rPr>
          <w:i/>
          <w:color w:val="666666"/>
          <w:sz w:val="18"/>
        </w:rPr>
        <w:t>Guler MA et al.  ·  BMC Nephrol  ·  28.09.2026  ·  PMID 42870244</w:t>
      </w:r>
    </w:p>
    <w:p>
      <w:r>
        <w:t>Türkische Querschnittsstudie an gesunden Kindern und Patienten mit CKD-Stadien 1–5 gemessen Serum-Maresin-1 (MaR1), ein pro-resolutives Lipidmediator-Biomarker, um dessen Rolle bei entzündlich-degenerativen Nierenprozessen zu charakterisieren.</w:t>
      </w:r>
    </w:p>
    <w:p>
      <w:r>
        <w:rPr>
          <w:b/>
        </w:rPr>
        <w:t xml:space="preserve">Ergebnis: </w:t>
      </w:r>
      <w:r>
        <w:t>Serum-MaR1-Konzentrationen zeigten stadienabhängiges Muster: Kontrollen 110,2 pg/mL, Stadium 1 CKD 20,0 pg/mL (deutlicher Abfall), dann progressive Erhöhung Stadium 2 (39,6), 3 (60,7), 4 (203,9), Stadium 5 (284,6 pg/mL). Markante Suppression in frühem Stadium gefolgt von progressiver Elevation in fortgeschrittenen Stadien deutet auf Biomarker-Potenzial hin, erfordert aber Validierung in Längsschnittstudien.</w:t>
      </w:r>
    </w:p>
    <w:p>
      <w:r>
        <w:rPr>
          <w:b/>
          <w:sz w:val="19"/>
        </w:rPr>
        <w:t xml:space="preserve">Übertragbarkeit: </w:t>
      </w:r>
      <w:r>
        <w:rPr>
          <w:sz w:val="19"/>
        </w:rPr>
        <w:t>Türkei; diagnostischer Biomarker-Ansatz prinzipiell systemunabhängig</w:t>
      </w:r>
    </w:p>
    <w:p>
      <w:r>
        <w:rPr>
          <w:color w:val="5A7D3A"/>
          <w:sz w:val="18"/>
        </w:rPr>
        <w:t>https://pubmed.ncbi.nlm.nih.gov/42870244/</w:t>
      </w:r>
    </w:p>
    <w:p>
      <w:pPr>
        <w:pStyle w:val="Heading2"/>
      </w:pPr>
      <w:r>
        <w:t>Frühe Nierenkoordinator-Überweisung verhindert ungeplante Dialyseeinleitung</w:t>
      </w:r>
    </w:p>
    <w:p>
      <w:r>
        <w:rPr>
          <w:i/>
          <w:color w:val="666666"/>
          <w:sz w:val="18"/>
        </w:rPr>
        <w:t>Tiew HW et al.  ·  BMC Nephrol  ·  05.08.2026  ·  PMID 42870239</w:t>
      </w:r>
    </w:p>
    <w:p>
      <w:r>
        <w:t>Singapurer Kohortenstudie mit 282 Patienten im Stadium 5 CKD untersuchte, wie der Zeitpunkt der Überweisung zu einem Nierenkoordinator (bei verschiedenen eGFR-Schwellwerten) das Risiko für ungeplante Dialyseeinleitung beeinflusst.</w:t>
      </w:r>
    </w:p>
    <w:p>
      <w:r>
        <w:rPr>
          <w:b/>
        </w:rPr>
        <w:t xml:space="preserve">Ergebnis: </w:t>
      </w:r>
      <w:r>
        <w:t>Überweisung bei eGFR 9–14 mL/min/1,73m² war mit 55 % niedrigerem Risiko für ungeplante Dialyseeinleitung assoziiert (HR 0,45, 95%-KI 0,22–0,91) im Vergleich zu späteren Überweisungen. Ungeplante Einleitung war häufiger bei CKD Stage 5 als Stage 4 (78,8 % vs. 62,5 %). Frühzeitige Koordination ermöglichte ausreichend Zeit für Vorbereitung eines permanenten Zugangs.</w:t>
      </w:r>
    </w:p>
    <w:p>
      <w:r>
        <w:rPr>
          <w:b/>
          <w:sz w:val="19"/>
        </w:rPr>
        <w:t xml:space="preserve">Übertragbarkeit: </w:t>
      </w:r>
      <w:r>
        <w:rPr>
          <w:sz w:val="19"/>
        </w:rPr>
        <w:t>Singapur, aber Case-Management-Prinzip auf deutsches Versorgungssystem und Hausarzt-Steuerung übertragbar</w:t>
      </w:r>
    </w:p>
    <w:p>
      <w:r>
        <w:rPr>
          <w:color w:val="5A7D3A"/>
          <w:sz w:val="18"/>
        </w:rPr>
        <w:t>https://pubmed.ncbi.nlm.nih.gov/42870239/</w:t>
      </w:r>
    </w:p>
    <w:p>
      <w:pPr>
        <w:pStyle w:val="Heading1"/>
      </w:pPr>
      <w:r>
        <w:t>Aufgenommen am 14.10.2026</w:t>
      </w:r>
    </w:p>
    <w:p>
      <w:pPr>
        <w:pStyle w:val="Heading2"/>
      </w:pPr>
      <w:r>
        <w:t>Arbeitsinklusion verbessert Therapietreue bei chronischen Erkrankungen</w:t>
      </w:r>
    </w:p>
    <w:p>
      <w:r>
        <w:rPr>
          <w:i/>
          <w:color w:val="666666"/>
          <w:sz w:val="18"/>
        </w:rPr>
        <w:t>Aalbers E et al.  ·  PLoS One  ·  13.10.2026  ·  PMID 42868134</w:t>
      </w:r>
    </w:p>
    <w:p>
      <w:r>
        <w:t>Niederländische Querschnittsstudie mit 309 erwerbstätigen Personen mit chronischen Erkrankungen und Medikamenteneinnahme untersuchte, wie Arbeitsmerkmale die Therapietreue beeinflussen.</w:t>
      </w:r>
    </w:p>
    <w:p>
      <w:r>
        <w:rPr>
          <w:b/>
        </w:rPr>
        <w:t xml:space="preserve">Ergebnis: </w:t>
      </w:r>
      <w:r>
        <w:t>Therapietreue betrug 56%. Arbeitsinklusion war unabhängig mit besserer Adhärenz assoziiert (AOR 1,50; 95%-KI 1,00–2,25; p=0,049). Moderate körperliche Arbeitsbelastung zeigte paradoxe schützende Assoziation (AOR 0,49; 95%-KI 0,26–0,92; p=0,026). Praktische Arbeitsmerkmale wie Stundenanzahl oder Vertragstyp waren nicht signifikant mit Adhärenz assoziiert.</w:t>
      </w:r>
    </w:p>
    <w:p>
      <w:r>
        <w:rPr>
          <w:b/>
          <w:sz w:val="19"/>
        </w:rPr>
        <w:t xml:space="preserve">Übertragbarkeit: </w:t>
      </w:r>
      <w:r>
        <w:rPr>
          <w:sz w:val="19"/>
        </w:rPr>
        <w:t>Niederlande, Versicherungssystem vergleichbar mit Deutschland; Frage der Arbeitsintegration für chronisch Kranke universell relevant.</w:t>
      </w:r>
    </w:p>
    <w:p>
      <w:r>
        <w:rPr>
          <w:color w:val="5A7D3A"/>
          <w:sz w:val="18"/>
        </w:rPr>
        <w:t>https://pubmed.ncbi.nlm.nih.gov/42868134/</w:t>
      </w:r>
    </w:p>
    <w:p>
      <w:pPr>
        <w:pStyle w:val="Heading2"/>
      </w:pPr>
      <w:r>
        <w:t>Kardiovaskuläre Mehrfacherkrankung verschärft Krankenhausergebnisse bei COPD-Exazerbation</w:t>
      </w:r>
    </w:p>
    <w:p>
      <w:r>
        <w:rPr>
          <w:i/>
          <w:color w:val="666666"/>
          <w:sz w:val="18"/>
        </w:rPr>
        <w:t>Fu Y et al.  ·  Int J Chron Obstruct Pulmon Dis  ·  07.10.2026  ·  PMID 42865926</w:t>
      </w:r>
    </w:p>
    <w:p>
      <w:r>
        <w:t>Chinesische Rückwärtskohorte mit 3.684 Aufnahmen von 2.281 COPD-Patienten (2015–2024) untersuchte den Einfluss kardiovaskulärer Komorbiditäten auf Krankenhausverweildauer und Wiederaufnahmen.</w:t>
      </w:r>
    </w:p>
    <w:p>
      <w:r>
        <w:rPr>
          <w:b/>
        </w:rPr>
        <w:t xml:space="preserve">Ergebnis: </w:t>
      </w:r>
      <w:r>
        <w:t>71,7% hatten mindestens eine kardiovaskuläre Erkrankung. Nach vollständiger Adjustierung: 2 kardiovaskuläre Erkrankungen erhöhten verlängerte Verweildauer (≥14 Tage) OR 1,60 (95%-KI 1,18–2,16); ≥3 Erkrankungen OR 1,95 (95%-KI 1,30–2,93; p&lt;0,001 Trend). 1-Jahres-Wiederaufnahmerate stieg mit Komorbidität (HR 1,38 für 1; 1,42 für 2; 1,68 für ≥3 Erkrankungen; p=0,006). HTN+IHD+PAD höchstes Risiko (OR 2,53). Kardiovaskuläre Mehrfacherkrankung ist unabhängiger Risikofaktor für Hospitalisierungsergebnisse bei AECOPD.</w:t>
      </w:r>
    </w:p>
    <w:p>
      <w:r>
        <w:rPr>
          <w:b/>
          <w:sz w:val="19"/>
        </w:rPr>
        <w:t xml:space="preserve">Übertragbarkeit: </w:t>
      </w:r>
      <w:r>
        <w:rPr>
          <w:sz w:val="19"/>
        </w:rPr>
        <w:t>China, aber Mehrfacherkrankung und klinische Ergebnisse in ähnlicher Versorgungsstruktur messbar.</w:t>
      </w:r>
    </w:p>
    <w:p>
      <w:r>
        <w:rPr>
          <w:color w:val="5A7D3A"/>
          <w:sz w:val="18"/>
        </w:rPr>
        <w:t>https://pubmed.ncbi.nlm.nih.gov/42865926/</w:t>
      </w:r>
    </w:p>
    <w:p>
      <w:pPr>
        <w:pStyle w:val="Heading2"/>
      </w:pPr>
      <w:r>
        <w:t>Sozialverschreibung wirkt durch Teilnahme, nicht bloße Überweisung</w:t>
      </w:r>
    </w:p>
    <w:p>
      <w:r>
        <w:rPr>
          <w:i/>
          <w:color w:val="666666"/>
          <w:sz w:val="18"/>
        </w:rPr>
        <w:t>Huang M et al.  ·  Front Public Health  ·  28.09.2026  ·  PMID 42865730</w:t>
      </w:r>
    </w:p>
    <w:p>
      <w:r>
        <w:t>Bayesianische Re-Analyse von 10 randomisierten Studien (4.840 Teilnehmer) zur Sozialverschreibung (Social Prescribing) bei chronischen Erkrankungen untersuchte, ob Empfehlung oder Programmteilnahme den Nutzen erklärt.</w:t>
      </w:r>
    </w:p>
    <w:p>
      <w:r>
        <w:rPr>
          <w:b/>
        </w:rPr>
        <w:t xml:space="preserve">Ergebnis: </w:t>
      </w:r>
      <w:r>
        <w:t>Intention-to-treat-Effekt auf körperliche Aktivität: OR 1,31 (95%-CrI 1,07–1,67; posterior probability 0,991). Kein konsistenter Dosis-Response-Effekt (Slope -1,29; 95%-CrI -6,17 bis 3,48). Hohe Programmteilnahme zeigte zusätzlichen Benefit von 0,26 klinisch bedeutsamen Einheiten (95%-CrI -0,07 bis 0,63; posterior probability 0,940). Positive Effekte über körperliche Aktivität, Körpergewicht, Blutdruck, psychisches Wohlbefinden, Lebensqualität. Erfolgreiche Teilnahme – nicht bloße Überweisung – ist primärer Wirkmechanismus.</w:t>
      </w:r>
    </w:p>
    <w:p>
      <w:r>
        <w:rPr>
          <w:b/>
          <w:sz w:val="19"/>
        </w:rPr>
        <w:t xml:space="preserve">Übertragbarkeit: </w:t>
      </w:r>
      <w:r>
        <w:rPr>
          <w:sz w:val="19"/>
        </w:rPr>
        <w:t>Überwiegend europäische und kanadische Studien; Konzept Social Prescribing mit Partizipation über Systeme hinweg relevant.</w:t>
      </w:r>
    </w:p>
    <w:p>
      <w:r>
        <w:rPr>
          <w:color w:val="5A7D3A"/>
          <w:sz w:val="18"/>
        </w:rPr>
        <w:t>https://pubmed.ncbi.nlm.nih.gov/42865730/</w:t>
      </w:r>
    </w:p>
    <w:p>
      <w:pPr>
        <w:pStyle w:val="Heading2"/>
      </w:pPr>
      <w:r>
        <w:t>Strukturiertes Trainungsprogramm verbessert Lungenfunktion bei COPD</w:t>
      </w:r>
    </w:p>
    <w:p>
      <w:r>
        <w:rPr>
          <w:i/>
          <w:color w:val="666666"/>
          <w:sz w:val="18"/>
        </w:rPr>
        <w:t>Cederberg A et al.  ·  Respir Res  ·  12.10.2026  ·  PMID 42864666</w:t>
      </w:r>
    </w:p>
    <w:p>
      <w:r>
        <w:t>Schwedische prospektive Interventionsstudie mit 62 COPD-Patienten evaluierte 12 Wochen ambulantes Kraft- und Ausdauertraining (3×/Woche) auf Lungenfunktion, Belastbarkeit und Symptombelastung.</w:t>
      </w:r>
    </w:p>
    <w:p>
      <w:r>
        <w:rPr>
          <w:b/>
        </w:rPr>
        <w:t xml:space="preserve">Ergebnis: </w:t>
      </w:r>
      <w:r>
        <w:t>Impulse-Oszillometrie zeigte signifikante Verbesserungen: R5 Δ=-0,75 z-Score (p=0,001), R5-R20 Δ=-0,18 z-Score (p=0,007), Fres Δ=-0,33 Hz (p=0,022), AX Δ=-0,05 kPa·s⁻¹ (p=0,042). 6-Minuten-Gehtest verbesserte sich um 15 m (p=0,002), 1-Minuten-Sit-to-Stand um 3 Wiederholungen (p&lt;0,0001). CAT-Score sank um 1,0 Punkt (p=0,014), CCQ um 0,1 (p=0,011). Spirometrie zeigte nur kleine FVC-Zunahme. Verbesserung der peripheren Atemwegsphysiologie ohne signifikante Spirometrieänderung.</w:t>
      </w:r>
    </w:p>
    <w:p>
      <w:r>
        <w:rPr>
          <w:b/>
          <w:sz w:val="19"/>
        </w:rPr>
        <w:t xml:space="preserve">Übertragbarkeit: </w:t>
      </w:r>
      <w:r>
        <w:rPr>
          <w:sz w:val="19"/>
        </w:rPr>
        <w:t>Schweden, vergleichbare Primärversorgung; strukturiertes Trainingskonzept für Praxen und Reha übertragbar.</w:t>
      </w:r>
    </w:p>
    <w:p>
      <w:r>
        <w:rPr>
          <w:color w:val="5A7D3A"/>
          <w:sz w:val="18"/>
        </w:rPr>
        <w:t>https://pubmed.ncbi.nlm.nih.gov/42864666/</w:t>
      </w:r>
    </w:p>
    <w:p>
      <w:pPr>
        <w:pStyle w:val="Heading2"/>
      </w:pPr>
      <w:r>
        <w:t>ME/CFS bei jungen Menschen: Unmet Needs in Versorgung und Betreuung</w:t>
      </w:r>
    </w:p>
    <w:p>
      <w:r>
        <w:rPr>
          <w:i/>
          <w:color w:val="666666"/>
          <w:sz w:val="18"/>
        </w:rPr>
        <w:t>Kircher A et al.  ·  BMC Public Health  ·  29.09.2026  ·  PMID 42864639</w:t>
      </w:r>
    </w:p>
    <w:p>
      <w:r>
        <w:t>Qualitative deutsche Studie mit 14 Patienten (12–25 Jahre) und 18 Eltern (Fokusgruppen und Tagebuch) identifizierte unerfüllte Versorgungsbedarfe bei ME/CFS.</w:t>
      </w:r>
    </w:p>
    <w:p>
      <w:r>
        <w:rPr>
          <w:b/>
        </w:rPr>
        <w:t xml:space="preserve">Ergebnis: </w:t>
      </w:r>
      <w:r>
        <w:t>Patienten benannten vier zentrale unerfüllte Bedarfe: (1) nicht alleine gelassen werden mit der Krankheit, (2) Flexibilität und Verständnis von Gesundheitsanbietern, (3) weniger Erklärungsdruck gegenüber anderen, (4) Anerkennung des Familieneinsatzes als Lückenbüßer. Eltern identifizierten parallel vier Themen: nicht alleine sein, krankheitsgerechte Versorgung, Wissen und Verständnis für ME/CFS, Handlungskompetenz. Bedarfe von Patienten und Eltern überlappten deutlich und zeigen Bedarf für bedarfsadaptierte Versorgungsstrukturen.</w:t>
      </w:r>
    </w:p>
    <w:p>
      <w:r>
        <w:rPr>
          <w:b/>
          <w:sz w:val="19"/>
        </w:rPr>
        <w:t xml:space="preserve">Übertragbarkeit: </w:t>
      </w:r>
      <w:r>
        <w:rPr>
          <w:sz w:val="19"/>
        </w:rPr>
        <w:t>Deutsche Studie; direkter Versorgungsbezug für Ausgestaltung von ME/CFS-Programmen in Deutschland.</w:t>
      </w:r>
    </w:p>
    <w:p>
      <w:r>
        <w:rPr>
          <w:color w:val="5A7D3A"/>
          <w:sz w:val="18"/>
        </w:rPr>
        <w:t>https://pubmed.ncbi.nlm.nih.gov/42864639/</w:t>
      </w:r>
    </w:p>
    <w:p>
      <w:pPr>
        <w:pStyle w:val="Heading2"/>
      </w:pPr>
      <w:r>
        <w:t>Sequenzielle Tyrosinkinase-Inhibitor-Therapie bei resistenter chronischer myeloischer Leukämie</w:t>
      </w:r>
    </w:p>
    <w:p>
      <w:r>
        <w:rPr>
          <w:i/>
          <w:color w:val="666666"/>
          <w:sz w:val="18"/>
        </w:rPr>
        <w:t>Gugliotta G et al.  ·  Clin Lymphoma Myeloma Leuk  ·  24.07.2026  ·  PMID 42608256</w:t>
      </w:r>
    </w:p>
    <w:p>
      <w:r>
        <w:t>Italienische Real-World-Kohortenstudie mit 69 CML-Patienten in chronischer Phase untersuchte Ergebnisse nach Wechsel auf Zweitlinien-TKI bei Versagen von Nilotinib oder Dasatinib.</w:t>
      </w:r>
    </w:p>
    <w:p>
      <w:r>
        <w:rPr>
          <w:b/>
        </w:rPr>
        <w:t xml:space="preserve">Ergebnis: </w:t>
      </w:r>
      <w:r>
        <w:t>Medianer Zeitpunkt zum Wechsel: 15 Monate. Ponatinib am häufigsten eingesetzt (68%). Als beste Molekülresponse: 78% erreichten BCR::ABL1IS &lt;1%. 3-Jahres-Rate für MR3: 69,4% (95%-KI 53,2–84,2%). 30% benötigten nach median 9 Monaten Drittlinien-Therapie, meist wegen Resistenz (81%); von diesen erreichten 50% BCR::ABL1IS &lt;1%. 9% zur Stammzelltransplantation; 7% Blastentransformation (alle starben). 5-Jahres-progressionsfreies und Gesamtüberleben: 87% (95%-KI 67,1–95,2%) und 83% (95%-KI 61,7–93%).</w:t>
      </w:r>
    </w:p>
    <w:p>
      <w:r>
        <w:rPr>
          <w:b/>
          <w:sz w:val="19"/>
        </w:rPr>
        <w:t xml:space="preserve">Übertragbarkeit: </w:t>
      </w:r>
      <w:r>
        <w:rPr>
          <w:sz w:val="19"/>
        </w:rPr>
        <w:t>Italien, ähnliche Versorgungsstrukturen und Dokumentation wie Deutschland; real-world Wirk­lichkeit von Sequenztherapien.</w:t>
      </w:r>
    </w:p>
    <w:p>
      <w:r>
        <w:rPr>
          <w:color w:val="5A7D3A"/>
          <w:sz w:val="18"/>
        </w:rPr>
        <w:t>https://pubmed.ncbi.nlm.nih.gov/42608256/</w:t>
      </w:r>
    </w:p>
    <w:p>
      <w:pPr>
        <w:pStyle w:val="Heading1"/>
      </w:pPr>
      <w:r>
        <w:t>Aufgenommen am 13.10.2026</w:t>
      </w:r>
    </w:p>
    <w:p>
      <w:pPr>
        <w:pStyle w:val="Heading2"/>
      </w:pPr>
      <w:r>
        <w:t>Selbstvertretung bei Hämodialysepatienten: aktive Partizipation nur bei 15%</w:t>
      </w:r>
    </w:p>
    <w:p>
      <w:r>
        <w:rPr>
          <w:i/>
          <w:color w:val="666666"/>
          <w:sz w:val="18"/>
        </w:rPr>
        <w:t>Xu W et al.  ·  BMC Nephrol  ·  07.08.2026  ·  PMID 42859166</w:t>
      </w:r>
    </w:p>
    <w:p>
      <w:r>
        <w:t>Querschnittsstudie an 429 Hämodialysepatienten zur Identifikation von Profilen der Patientenselbstvertretung und deren Einflussfaktoren.</w:t>
      </w:r>
    </w:p>
    <w:p>
      <w:r>
        <w:rPr>
          <w:b/>
        </w:rPr>
        <w:t xml:space="preserve">Ergebnis: </w:t>
      </w:r>
      <w:r>
        <w:t>Nur 15,0% der Patienten zeigten aktive Selbstvertretung ("Active Striving Type"), 58,5% moderate Partizipation und 26,5% passive Akzeptanz. Wahrgenommene soziale Unterstützung, Selbstmanagementfähigkeit und emotionale Last waren signifikante Einflussfaktoren (p&lt;0,05). Die Netzwerkanalyse identifizierte unterschiedliche zentrale Symptomknoten pro Gruppe.</w:t>
      </w:r>
    </w:p>
    <w:p>
      <w:r>
        <w:rPr>
          <w:b/>
          <w:sz w:val="19"/>
        </w:rPr>
        <w:t xml:space="preserve">Übertragbarkeit: </w:t>
      </w:r>
      <w:r>
        <w:rPr>
          <w:sz w:val="19"/>
        </w:rPr>
        <w:t>China, Versorgungspraxis anwendbar; Selbstvertretung als Versorgungsqualitätsmerkmal</w:t>
      </w:r>
    </w:p>
    <w:p>
      <w:r>
        <w:rPr>
          <w:color w:val="5A7D3A"/>
          <w:sz w:val="18"/>
        </w:rPr>
        <w:t>https://pubmed.ncbi.nlm.nih.gov/42859166/</w:t>
      </w:r>
    </w:p>
    <w:p>
      <w:pPr>
        <w:pStyle w:val="Heading2"/>
      </w:pPr>
      <w:r>
        <w:t>U-förmige Beziehung zwischen Schlaf und Nierenfunktion: CKD-Prävalenz bei Kurz- und Langschläfern erhöht</w:t>
      </w:r>
    </w:p>
    <w:p>
      <w:r>
        <w:rPr>
          <w:i/>
          <w:color w:val="666666"/>
          <w:sz w:val="18"/>
        </w:rPr>
        <w:t>Oh J et al.  ·  Medicine (Baltimore)  ·  09.10.2026  ·  PMID 42854001</w:t>
      </w:r>
    </w:p>
    <w:p>
      <w:r>
        <w:t>Populationsstudie mit 87.246 koreanischen Erwachsenen (≥19 Jahre) zur Assoziation zwischen Schlafmuster und CKD-Prävalenz über 16 Jahre.</w:t>
      </w:r>
    </w:p>
    <w:p>
      <w:r>
        <w:rPr>
          <w:b/>
        </w:rPr>
        <w:t xml:space="preserve">Ergebnis: </w:t>
      </w:r>
      <w:r>
        <w:t>CKD-Prävalenz zeigte U-förmige Assoziation mit Schlafdauer: &lt;6 h täglicher Schlaf (adjustierte OR 2,34, 95%-KI 2,04-2,69), ≥9 h Schlaf (OR 2,07, 95%-KI 1,77-2,41) versus optimale 7-8 h. Die CKD-Gesamtprävalenz sank von 2007-2009 (5,13%) auf 2020-2022 (3,53%). Assoziation blieb nach Adjustment für kardio-metabolische Komorbiditäten stabil.</w:t>
      </w:r>
    </w:p>
    <w:p>
      <w:r>
        <w:rPr>
          <w:b/>
          <w:sz w:val="19"/>
        </w:rPr>
        <w:t xml:space="preserve">Übertragbarkeit: </w:t>
      </w:r>
      <w:r>
        <w:rPr>
          <w:sz w:val="19"/>
        </w:rPr>
        <w:t>Südkorea mit universalversorgtem System; Schlafqualität als modifizierbarer Präventionfaktor</w:t>
      </w:r>
    </w:p>
    <w:p>
      <w:r>
        <w:rPr>
          <w:color w:val="5A7D3A"/>
          <w:sz w:val="18"/>
        </w:rPr>
        <w:t>https://pubmed.ncbi.nlm.nih.gov/42854001/</w:t>
      </w:r>
    </w:p>
    <w:p>
      <w:pPr>
        <w:pStyle w:val="Heading2"/>
      </w:pPr>
      <w:r>
        <w:t>Kamerun: 43% aller Todesfälle durch nicht übertragbare Krankheiten, aber nur 6% der Prävention finanziert</w:t>
      </w:r>
    </w:p>
    <w:p>
      <w:r>
        <w:rPr>
          <w:i/>
          <w:color w:val="666666"/>
          <w:sz w:val="18"/>
        </w:rPr>
        <w:t>Saidu Y et al.  ·  J Glob Health  ·  09.10.2026  ·  PMID 42853019</w:t>
      </w:r>
    </w:p>
    <w:p>
      <w:r>
        <w:t>Priorisierungsstudie auf Basis von Global Burden of Disease 2019 und systematischer Literaturanalyse zur Krankheitslast und Versorgungsinvestitionen für nicht übertragbare Erkrankungen in Kamerun.</w:t>
      </w:r>
    </w:p>
    <w:p>
      <w:r>
        <w:rPr>
          <w:b/>
        </w:rPr>
        <w:t xml:space="preserve">Ergebnis: </w:t>
      </w:r>
      <w:r>
        <w:t>NCD/Verletzungen verursachten 2019 43% aller Todesfälle, 29% davon in der Altersgruppe &lt;40 Jahre. DALYs stiegen seit 1990 kontinuierlich an. 61% der NCDI-DALYs stammen aus Bereichen außerhalb der "Big Four" (Diabetes, Krebs, Atemwegserkrankungen, Kardiovaskulär). Trotz dieser Last wurden 2016-2020 nur 6% der Präventionsmittel für NCD verwendet. 49 Prioritätsbedingungen und 123 Interventionen identifiziert.</w:t>
      </w:r>
    </w:p>
    <w:p>
      <w:r>
        <w:rPr>
          <w:b/>
          <w:sz w:val="19"/>
        </w:rPr>
        <w:t xml:space="preserve">Übertragbarkeit: </w:t>
      </w:r>
      <w:r>
        <w:rPr>
          <w:sz w:val="19"/>
        </w:rPr>
        <w:t>Kamerun/LMIC; zentral für Versorgungsungleichheit und Priorisierung in ressourcenbegrenzten Systemen</w:t>
      </w:r>
    </w:p>
    <w:p>
      <w:r>
        <w:rPr>
          <w:color w:val="5A7D3A"/>
          <w:sz w:val="18"/>
        </w:rPr>
        <w:t>https://pubmed.ncbi.nlm.nih.gov/42853019/</w:t>
      </w:r>
    </w:p>
    <w:p>
      <w:pPr>
        <w:pStyle w:val="Heading2"/>
      </w:pPr>
      <w:r>
        <w:t>Long COVID: Olfaktorische Dysfunktion bei 77% trotz schwacher Selbstwahrnehmung</w:t>
      </w:r>
    </w:p>
    <w:p>
      <w:r>
        <w:rPr>
          <w:i/>
          <w:color w:val="666666"/>
          <w:sz w:val="18"/>
        </w:rPr>
        <w:t>Degen CV et al.  ·  Am J Otolaryngol  ·  25.08.2026  ·  PMID 42679644</w:t>
      </w:r>
    </w:p>
    <w:p>
      <w:r>
        <w:t>Querschnittsstudie mit 154 Teilnehmern (Long COVID n=122, genesen n=9, Kontrollen n=24) zur objektiven und subjektiven Erfassung von Riech- und Geschmacksstörungen.</w:t>
      </w:r>
    </w:p>
    <w:p>
      <w:r>
        <w:rPr>
          <w:b/>
        </w:rPr>
        <w:t xml:space="preserve">Ergebnis: </w:t>
      </w:r>
      <w:r>
        <w:t>Long-COVID-Patienten zeigten signifikant schlechtere Ergebnisse bei objektivem Riech- und Geschmackstest versus Kontrollen. Subjektive Einschätzung korrelierte nur schwach mit objektiven Messwerten (r=-0,525, p&lt;0,001). Zeitspanne seit Infektion korrelierte nicht mit Schweregrad. Olfaktorisches Training als wirksame Behandlung ist verfügbar.</w:t>
      </w:r>
    </w:p>
    <w:p>
      <w:r>
        <w:rPr>
          <w:b/>
          <w:sz w:val="19"/>
        </w:rPr>
        <w:t xml:space="preserve">Übertragbarkeit: </w:t>
      </w:r>
      <w:r>
        <w:rPr>
          <w:sz w:val="19"/>
        </w:rPr>
        <w:t>Deutschland, deutsche Studienzentren; Screening-Empfehlung für Long-COVID-Management</w:t>
      </w:r>
    </w:p>
    <w:p>
      <w:r>
        <w:rPr>
          <w:color w:val="5A7D3A"/>
          <w:sz w:val="18"/>
        </w:rPr>
        <w:t>https://pubmed.ncbi.nlm.nih.gov/42679644/</w:t>
      </w:r>
    </w:p>
    <w:p>
      <w:pPr>
        <w:pStyle w:val="Heading2"/>
      </w:pPr>
      <w:r>
        <w:t>EIT-gestützte Inhalationstechnik verbessert Hyperinflation bei COPD</w:t>
      </w:r>
    </w:p>
    <w:p>
      <w:r>
        <w:rPr>
          <w:i/>
          <w:color w:val="666666"/>
          <w:sz w:val="18"/>
        </w:rPr>
        <w:t>Stolz S et al.  ·  Sci Rep  ·  24.08.2026  ·  PMID 42637795</w:t>
      </w:r>
    </w:p>
    <w:p>
      <w:r>
        <w:t>Randomisierte, kontrollierte Pilotstudie (n=29 COPD-Patienten) zum Effekt von visueller EIT-Rückmeldung auf Lungenfunktion während Inhalationstherapie.</w:t>
      </w:r>
    </w:p>
    <w:p>
      <w:r>
        <w:rPr>
          <w:b/>
        </w:rPr>
        <w:t xml:space="preserve">Ergebnis: </w:t>
      </w:r>
      <w:r>
        <w:t>Interventionsgruppe mit EIT-Feedback zeigte signifikante FRC-Reduktion gegenüber Kontrolle (Intervention -0,4 L vs. Kontrolle -0,1 L, p&lt;0,05). Keine signifikanten Unterschiede bei FEV1 zwischen Gruppen. Widerstände tendierten zur Zunahme in der Interventionsgruppe. Subjektiver Benefit und EIT-Parameter zeigten keine Unterschiede.</w:t>
      </w:r>
    </w:p>
    <w:p>
      <w:r>
        <w:rPr>
          <w:b/>
          <w:sz w:val="19"/>
        </w:rPr>
        <w:t xml:space="preserve">Übertragbarkeit: </w:t>
      </w:r>
      <w:r>
        <w:rPr>
          <w:sz w:val="19"/>
        </w:rPr>
        <w:t>Deutschland, Universitätsklinik Saarland; methodische Machbarkeitsstudie, längerfristige Effekte offen</w:t>
      </w:r>
    </w:p>
    <w:p>
      <w:r>
        <w:rPr>
          <w:color w:val="5A7D3A"/>
          <w:sz w:val="18"/>
        </w:rPr>
        <w:t>https://pubmed.ncbi.nlm.nih.gov/42637795/</w:t>
      </w:r>
    </w:p>
    <w:p>
      <w:pPr>
        <w:pStyle w:val="Heading2"/>
      </w:pPr>
      <w:r>
        <w:t>CKD-Screening in der Hausarztpraxis: Politischer Aktionsplan für Europa</w:t>
      </w:r>
    </w:p>
    <w:p>
      <w:r>
        <w:rPr>
          <w:i/>
          <w:color w:val="666666"/>
          <w:sz w:val="18"/>
        </w:rPr>
        <w:t>De Nicola L et al.  ·  J Nephrol  ·  10.10.2026  ·  PMID 42627753</w:t>
      </w:r>
    </w:p>
    <w:p>
      <w:r>
        <w:t>Positionspapier der Italienischen Nephrologischen Gesellschaft zu einem strukturierten CKD-Screening und Managementprogramm für die primäre Versorgung.</w:t>
      </w:r>
    </w:p>
    <w:p>
      <w:r>
        <w:rPr>
          <w:b/>
        </w:rPr>
        <w:t xml:space="preserve">Ergebnis: </w:t>
      </w:r>
      <w:r>
        <w:t>WHO und UN erkannten CKD 2025 als globale Gesundheitspriorität an. Die Italienische Gesellschaft hat ein Screening-Programm für die Hausarztpraxis entwickelt (aktuell im italienischen Parlament in Diskussion) mit kombinierter Edukation zur CKD-Früherkennung. Remission von CKD ist zunehmend erreichbar; niedriges Bewusstsein bei Patienten und Nicht-Nephrologen bleibt Hauptbarriere.</w:t>
      </w:r>
    </w:p>
    <w:p>
      <w:r>
        <w:rPr>
          <w:b/>
          <w:sz w:val="19"/>
        </w:rPr>
        <w:t xml:space="preserve">Übertragbarkeit: </w:t>
      </w:r>
      <w:r>
        <w:rPr>
          <w:sz w:val="19"/>
        </w:rPr>
        <w:t>Italien/Europa, vergleichbare Gesundheitssysteme; skalierbar auf Deutschland</w:t>
      </w:r>
    </w:p>
    <w:p>
      <w:r>
        <w:rPr>
          <w:color w:val="5A7D3A"/>
          <w:sz w:val="18"/>
        </w:rPr>
        <w:t>https://pubmed.ncbi.nlm.nih.gov/42627753/</w:t>
      </w:r>
    </w:p>
    <w:p>
      <w:pPr>
        <w:pStyle w:val="Heading1"/>
      </w:pPr>
      <w:r>
        <w:t>Aufgenommen am 12.10.2026</w:t>
      </w:r>
    </w:p>
    <w:p>
      <w:pPr>
        <w:pStyle w:val="Heading2"/>
      </w:pPr>
      <w:r>
        <w:t>Sturzrisiko bei COPD: Gleichgewichtsstörungen stärker assoziiert als Muskelschwäche</w:t>
      </w:r>
    </w:p>
    <w:p>
      <w:r>
        <w:rPr>
          <w:i/>
          <w:color w:val="666666"/>
          <w:sz w:val="18"/>
        </w:rPr>
        <w:t>Zangi M et al.  ·  Int J Chron Obstruct Pulmon Dis  ·  06.10.2026  ·  PMID 42859794</w:t>
      </w:r>
    </w:p>
    <w:p>
      <w:r>
        <w:t>Systematische Übersicht von 25 Studien mit 1.295 Teilnehmenden zu Zusammenhängen zwischen neuromuskulären Faktoren, Balance, Gangcharakteristika und Sturzereignissen bei COPD.</w:t>
      </w:r>
    </w:p>
    <w:p>
      <w:r>
        <w:rPr>
          <w:b/>
        </w:rPr>
        <w:t xml:space="preserve">Ergebnis: </w:t>
      </w:r>
      <w:r>
        <w:t>17 von 25 Studien zeigten signifikante Assoziationen zwischen Studienparametern und Sturzrisiko. Gleichgewichtsstörungen wiesen die konsistenteste Beziehung auf (14 von 17 Studien mit positiven Assoziationen). Die Evidenz für Muskelkraft war gemischt: Während einige Studien Quadrizeps-Schwäche mit erhöhtem Sturzrisiko verbanden (Odds Ratio 2,9 in einer Studie), fanden andere keine signifikante Assoziation. Veränderte Gangcharakteristika, insbesondere erhöhte Schrittzeit-Variabilität, wurden ebenfalls mit Stürzen assoziiert.</w:t>
      </w:r>
    </w:p>
    <w:p>
      <w:r>
        <w:rPr>
          <w:b/>
          <w:sz w:val="19"/>
        </w:rPr>
        <w:t xml:space="preserve">Übertragbarkeit: </w:t>
      </w:r>
      <w:r>
        <w:rPr>
          <w:sz w:val="19"/>
        </w:rPr>
        <w:t>Deutsche Rehaeinrichtungen, weit verbreitet in COPD-Versorgung; prospektive Studien zur Kausalität noch ausstehend.</w:t>
      </w:r>
    </w:p>
    <w:p>
      <w:r>
        <w:rPr>
          <w:color w:val="5A7D3A"/>
          <w:sz w:val="18"/>
        </w:rPr>
        <w:t>https://pubmed.ncbi.nlm.nih.gov/42859794/</w:t>
      </w:r>
    </w:p>
    <w:p>
      <w:pPr>
        <w:pStyle w:val="Heading2"/>
      </w:pPr>
      <w:r>
        <w:t>Mehrfacherkrankung verschlechtert Lebensqualität in Dosis-Wirkungs-Beziehung</w:t>
      </w:r>
    </w:p>
    <w:p>
      <w:r>
        <w:rPr>
          <w:i/>
          <w:color w:val="666666"/>
          <w:sz w:val="18"/>
        </w:rPr>
        <w:t>Manríquez-Robles D et al.  ·  Qual Life Res  ·  10.10.2026  ·  PMID 42859314</w:t>
      </w:r>
    </w:p>
    <w:p>
      <w:r>
        <w:t>Bevölkerungsrepräsentative chilenische Stichprobe (n=16.469) zur Identifikation von Mehrfacherkrankungs-Profilen und deren Zusammenhang mit globaler Lebensqualität mittels Latent-Class-Analyse und Strukturgleichungsmodellierung.</w:t>
      </w:r>
    </w:p>
    <w:p>
      <w:r>
        <w:rPr>
          <w:b/>
        </w:rPr>
        <w:t xml:space="preserve">Ergebnis: </w:t>
      </w:r>
      <w:r>
        <w:t>Drei Klassen wurden identifiziert: niedrige Belastung (untere Gruppe), mittlere Belastung (58,5%) und hohe Belastung (15,0%). Globale Lebensqualität war bei Personen mit mittlerer Belastung um β=-0,132 (p&lt;0,001) und bei hoher Belastung um β=-0,341 (p&lt;0,001) niedriger als in der Referenzgruppe. Schulbildung (β=0,142) und Haushaltseinkommen (β=0,139) waren positiv mit Lebensqualität assoziiert. Mehrfacherkrankung und funktionale Einschränkung waren die stärksten Differenzierungsmerkmale der Profile.</w:t>
      </w:r>
    </w:p>
    <w:p>
      <w:r>
        <w:rPr>
          <w:b/>
          <w:sz w:val="19"/>
        </w:rPr>
        <w:t xml:space="preserve">Übertragbarkeit: </w:t>
      </w:r>
      <w:r>
        <w:rPr>
          <w:sz w:val="19"/>
        </w:rPr>
        <w:t>Lateinamerika; ähnliche Sozialversicherungsstruktur wie deutschsprachige Länder; vergleichbare Erfassung chronischer Erkrankungen.</w:t>
      </w:r>
    </w:p>
    <w:p>
      <w:r>
        <w:rPr>
          <w:color w:val="5A7D3A"/>
          <w:sz w:val="18"/>
        </w:rPr>
        <w:t>https://pubmed.ncbi.nlm.nih.gov/42859314/</w:t>
      </w:r>
    </w:p>
    <w:p>
      <w:pPr>
        <w:pStyle w:val="Heading2"/>
      </w:pPr>
      <w:r>
        <w:t>Körperzusammensetzung bei älteren Menschen: Fettmasse stärker mit Hypertonie assoziiert als BMI allein</w:t>
      </w:r>
    </w:p>
    <w:p>
      <w:r>
        <w:rPr>
          <w:i/>
          <w:color w:val="666666"/>
          <w:sz w:val="18"/>
        </w:rPr>
        <w:t>Wei M et al.  ·  Front Public Health  ·  24.09.2026  ·  PMID 42851637</w:t>
      </w:r>
    </w:p>
    <w:p>
      <w:r>
        <w:t>Chinesische Querschnittsstudie mit 324 älteren Erwachsenen (≥65 Jahre) zur Messung der Körperzusammensetzung mittels InBody-Analysegerät und Assoziation mit Hypertonie, Dyslipidämie und Diabetes.</w:t>
      </w:r>
    </w:p>
    <w:p>
      <w:r>
        <w:rPr>
          <w:b/>
        </w:rPr>
        <w:t xml:space="preserve">Ergebnis: </w:t>
      </w:r>
      <w:r>
        <w:t>Prävalenzen: Hypertonie 62,3%, Dyslipidämie 53,7%, Diabetes 19,8%. Signifikante Geschlechts- und Altersunterschiede: Frauen hatten höheren Körperfettanteil (PBF) und niedrigere Skelettmuskelmasse (SMM), Personen ≥75 Jahre niedrigere SMM und höheres PBF. Multivariate Regressionen zeigten: höheres PBF und höheres Viszeralfett (VFL) unabhängig mit Hypertonie assoziiert; niedrigere SMM und höheres PBF mit Dyslipidämie; höheres PBF, niedrigere SMM und höherer Rumpffettanteil mit Diabetes. Assoziationen zeigten Heterogenität nach Geschlecht und Alter: Überschüssiges Körperfett prominenter bei Frauen, niedrige SMM stärker bei älteren Altersgruppen.</w:t>
      </w:r>
    </w:p>
    <w:p>
      <w:r>
        <w:rPr>
          <w:b/>
          <w:sz w:val="19"/>
        </w:rPr>
        <w:t xml:space="preserve">Übertragbarkeit: </w:t>
      </w:r>
      <w:r>
        <w:rPr>
          <w:sz w:val="19"/>
        </w:rPr>
        <w:t>China; ähnliche demografische Struktur und Mehrfacherkrankungs-Muster wie alternde deutsche Bevölkerung.</w:t>
      </w:r>
    </w:p>
    <w:p>
      <w:r>
        <w:rPr>
          <w:color w:val="5A7D3A"/>
          <w:sz w:val="18"/>
        </w:rPr>
        <w:t>https://pubmed.ncbi.nlm.nih.gov/42851637/</w:t>
      </w:r>
    </w:p>
    <w:p>
      <w:pPr>
        <w:pStyle w:val="Heading2"/>
      </w:pPr>
      <w:r>
        <w:t>Nierenfunktionsstörung bei indigener Bevölkerung: Machine Learning identifiziert Hochrisiko-Profile für Screening</w:t>
      </w:r>
    </w:p>
    <w:p>
      <w:r>
        <w:rPr>
          <w:i/>
          <w:color w:val="666666"/>
          <w:sz w:val="18"/>
        </w:rPr>
        <w:t>Kshatri JS et al.  ·  Indian J Med Res  ·  Aug. 2026  ·  PMID 42851230</w:t>
      </w:r>
    </w:p>
    <w:p>
      <w:r>
        <w:t>Sekundäranalyse der Odisha Tribal Family Health Survey mit 19.703 erwachsenen Angehörigen von 53 indigenen Gemeinschaften zur Prävalenz eingeschränkter Nierenfunktion (eGFR &lt;90) und Entwicklung von Deep-Neural-Network- und XGBoost-Vorhersagemodellen.</w:t>
      </w:r>
    </w:p>
    <w:p>
      <w:r>
        <w:rPr>
          <w:b/>
        </w:rPr>
        <w:t xml:space="preserve">Ergebnis: </w:t>
      </w:r>
      <w:r>
        <w:t>Gesamtprävalenz eingeschränkter Nierenfunktion 24,8% (95%-KI 23,8-25,9): davon 16,6% mild, 6,4% moderat, 1,5% schwer, 0,3% Nierenversagen. Prävalenz stieg mit Alter (5,6% bei 18-30 Jahren vs. 79,4% bei &gt;70 Jahren). Deep-Neural-Network-Modell: Genauigkeit 0,78, Recall 0,69 (verbessert auf 0,78 bei Schwellenwert 0,4). SHAP-Analyse identifizierte Alter, Hypertonie, Diabetes, Tabak- und Alkoholkonsum sowie niedrige Ernährungsdiversität als Schlüsselprädikatoren. Decision-Curve-Analyse deutete auf Nutzen ML-basierter gezielter Screenings hin.</w:t>
      </w:r>
    </w:p>
    <w:p>
      <w:r>
        <w:rPr>
          <w:b/>
          <w:sz w:val="19"/>
        </w:rPr>
        <w:t xml:space="preserve">Übertragbarkeit: </w:t>
      </w:r>
      <w:r>
        <w:rPr>
          <w:sz w:val="19"/>
        </w:rPr>
        <w:t>Südasien mit extremem Ressourcenmangel; ML-Modelle könnten auch in ähnlich ressourcenlimitierten deutschen Settings (ländliche Regionen) einsetzbar sein.</w:t>
      </w:r>
    </w:p>
    <w:p>
      <w:r>
        <w:rPr>
          <w:color w:val="5A7D3A"/>
          <w:sz w:val="18"/>
        </w:rPr>
        <w:t>https://pubmed.ncbi.nlm.nih.gov/42851230/</w:t>
      </w:r>
    </w:p>
    <w:p>
      <w:pPr>
        <w:pStyle w:val="Heading2"/>
      </w:pPr>
      <w:r>
        <w:t>Post-Lyme-Syndrom nach Antibiotika: Kliniker identifizieren weniger Fälle als Patienten-Fragebögen</w:t>
      </w:r>
    </w:p>
    <w:p>
      <w:r>
        <w:rPr>
          <w:i/>
          <w:color w:val="666666"/>
          <w:sz w:val="18"/>
        </w:rPr>
        <w:t>Yu H et al.  ·  Pathogens  ·  01.08.2026  ·  PMID 42654748</w:t>
      </w:r>
    </w:p>
    <w:p>
      <w:r>
        <w:t>Prospektive europäische Multiländer-Studie (Frankreich, Deutschland, Polen, Österreich, Skandinavien, Slowenien) zur Prävalenz und Klassifikation von Post-Behandlungs-Lyme-Borreliose-Syndrom (PTLDS) anhand klinischer Bewertung versus Patient-Reported Outcomes (n=242 mit kompletter Antibiotikabehandlung).</w:t>
      </w:r>
    </w:p>
    <w:p>
      <w:r>
        <w:rPr>
          <w:b/>
        </w:rPr>
        <w:t xml:space="preserve">Ergebnis: </w:t>
      </w:r>
      <w:r>
        <w:t>299 Patienten (40,9%) berichteten ≥1 Symptom (Müdigkeit, Muskel-Skelett-Schmerz oder kognitives Defizit) 10 Monate nach Diagnose. 15 Patienten (6,2%) erfüllten PTLDS-Kriterien nach klinischer oder Fragebogen-Bewertung; 4 (1,7%) erfüllten beide Kriterien. Fragebogen-PTLDS und Patienten mit persistierenden Symptomen berichteten höhere Symptomschweregrad und schlechtere physische Funktion als klinisch diagnostiziertes PTLDS, was darauf hindeutet, dass unterschiedliche Bewertungsmethoden teilweise unterschiedliche Patientengruppen erfassen.</w:t>
      </w:r>
    </w:p>
    <w:p>
      <w:r>
        <w:rPr>
          <w:b/>
          <w:sz w:val="19"/>
        </w:rPr>
        <w:t xml:space="preserve">Übertragbarkeit: </w:t>
      </w:r>
      <w:r>
        <w:rPr>
          <w:sz w:val="19"/>
        </w:rPr>
        <w:t>Europäische Mehrzenterdaten; direkt auf Deutschland und deutschsprachigen Raum übertragbar.</w:t>
      </w:r>
    </w:p>
    <w:p>
      <w:r>
        <w:rPr>
          <w:color w:val="5A7D3A"/>
          <w:sz w:val="18"/>
        </w:rPr>
        <w:t>https://pubmed.ncbi.nlm.nih.gov/42654748/</w:t>
      </w:r>
    </w:p>
    <w:p>
      <w:pPr>
        <w:pStyle w:val="Heading2"/>
      </w:pPr>
      <w:r>
        <w:t>Erektile Dysfunktion bei COPD: 87,5% Prävalenz; Dyslipidämie und Airflow-Limitation sind unabhängige Prädiktoren</w:t>
      </w:r>
    </w:p>
    <w:p>
      <w:r>
        <w:rPr>
          <w:i/>
          <w:color w:val="666666"/>
          <w:sz w:val="18"/>
        </w:rPr>
        <w:t>Alcalá-Rivera N et al.  ·  Rev Assoc Med Bras (1992)  ·  07.08.2026  ·  PMID 42585471</w:t>
      </w:r>
    </w:p>
    <w:p>
      <w:r>
        <w:t>Spanische Querschnittsstudie mit 120 männlichen COPD-Patienten zur Erfassung sexueller Funktionsstörungen mittels International Index of Erectile Function (IIEF ≤16 als klinisch signifikant).</w:t>
      </w:r>
    </w:p>
    <w:p>
      <w:r>
        <w:rPr>
          <w:b/>
        </w:rPr>
        <w:t xml:space="preserve">Ergebnis: </w:t>
      </w:r>
      <w:r>
        <w:t>113 Patienten (94,2%) berichteten Veränderungen ihrer Sexualfunktion, 42 (36%) waren unzufrieden. Erektile Dysfunktion-Prävalenz 87,5% (mild 27,5%, mild-moderat 21,7%, moderat 17,5%, schwer 20,8%). Hauptursachen laut Patientenaussage: Grunderkrankung (53,3%), Medikamente (20,8%), psychische Probleme (20%). Multivariate Analyse: Dyslipidämie (OR 4,03; 95%-KI 1,43-11,36; p=0,008) und verminderte %pFEV1 (OR 0,937; 95%-KI 0,906-0,968; p&lt;0,001) waren unabhängige Prädiktoren für klinisch signifikante erektile Dysfunktion.</w:t>
      </w:r>
    </w:p>
    <w:p>
      <w:r>
        <w:rPr>
          <w:b/>
          <w:sz w:val="19"/>
        </w:rPr>
        <w:t xml:space="preserve">Übertragbarkeit: </w:t>
      </w:r>
      <w:r>
        <w:rPr>
          <w:sz w:val="19"/>
        </w:rPr>
        <w:t>Südeuropa, vergleichbare COPD-Versorgungsstrukturen; sexuelle Gesundheit als unterschätzte Komponente chronischer Erkrankungen in der Praxis.</w:t>
      </w:r>
    </w:p>
    <w:p>
      <w:r>
        <w:rPr>
          <w:color w:val="5A7D3A"/>
          <w:sz w:val="18"/>
        </w:rPr>
        <w:t>https://pubmed.ncbi.nlm.nih.gov/42585471/</w:t>
      </w:r>
    </w:p>
    <w:p>
      <w:pPr>
        <w:pStyle w:val="Heading1"/>
      </w:pPr>
      <w:r>
        <w:t>Aufgenommen am 11.10.2026</w:t>
      </w:r>
    </w:p>
    <w:p>
      <w:pPr>
        <w:pStyle w:val="Heading2"/>
      </w:pPr>
      <w:r>
        <w:t>Urin-Dipstick-Test verbessert CKD-Screening durch Albumin-Kreatinin-Ratio</w:t>
      </w:r>
    </w:p>
    <w:p>
      <w:r>
        <w:rPr>
          <w:i/>
          <w:color w:val="666666"/>
          <w:sz w:val="18"/>
        </w:rPr>
        <w:t>Samaan F et al.  ·  BMC Nephrol  ·  03.09.2026  ·  PMID 42855677</w:t>
      </w:r>
    </w:p>
    <w:p>
      <w:r>
        <w:t>Brasilianische Pilotvalidierungsstudie an 410 Erwachsenen mit ≥1 CKD-Risikofaktor; Vergleich von zwei kommerziellen Urin-Dipsticks (Gesamtprotein vs. Albumin-Kreatinin-Ratio) gegen Referenzstandard quantitative UACR.</w:t>
      </w:r>
    </w:p>
    <w:p>
      <w:r>
        <w:rPr>
          <w:b/>
        </w:rPr>
        <w:t xml:space="preserve">Ergebnis: </w:t>
      </w:r>
      <w:r>
        <w:t>Albumin-Kreatinin-Dipstick (S12) zeigte höhere Sensitivität als Gesamtprotein-Dipstick (S10) für UACR ≥30 mg/g: 95% (95%-CI 92–98%) vs. 64% (57–71%; p&lt;0,001), für UACR 30–300 mg/g 56% vs. 36% (p=0,009), für UACR &gt;300 mg/g 95% vs. 79% (p=0,001). Hochrechnung auf 777.096 jährliche Routinetests: Ersatz würde 12.045 falsch-negative Fälle (86%) mit UACR ≥30 mg/g verhindern.</w:t>
      </w:r>
    </w:p>
    <w:p>
      <w:r>
        <w:rPr>
          <w:b/>
          <w:sz w:val="19"/>
        </w:rPr>
        <w:t xml:space="preserve">Übertragbarkeit: </w:t>
      </w:r>
      <w:r>
        <w:rPr>
          <w:sz w:val="19"/>
        </w:rPr>
        <w:t>Brasilien, private Krankenversicherung; Screening-Ansatz auf primärversorgende Strukturen übertragbar</w:t>
      </w:r>
    </w:p>
    <w:p>
      <w:r>
        <w:rPr>
          <w:color w:val="5A7D3A"/>
          <w:sz w:val="18"/>
        </w:rPr>
        <w:t>https://pubmed.ncbi.nlm.nih.gov/42855677/</w:t>
      </w:r>
    </w:p>
    <w:p>
      <w:pPr>
        <w:pStyle w:val="Heading2"/>
      </w:pPr>
      <w:r>
        <w:t>Semaglutid plus Dapagliflozin senkt HbA1c und Proteinurie bei Diabetes und CKD</w:t>
      </w:r>
    </w:p>
    <w:p>
      <w:r>
        <w:rPr>
          <w:i/>
          <w:color w:val="666666"/>
          <w:sz w:val="18"/>
        </w:rPr>
        <w:t>Gong C et al.  ·  Medicine (Baltimore)  ·  09.10.2026  ·  PMID 42854065</w:t>
      </w:r>
    </w:p>
    <w:p>
      <w:r>
        <w:t>Retrospektive chinesische Beobachtungsstudie an 126 Patienten mit Typ-2-Diabetes und CKD; Vergleich von Monotherapien (Semaglutid oder Dapagliflozin) mit Kombinationstherapie über 8 Wochen; Messung von Glukoseindizes, Nierenfunktion und Entzündungsmarkern.</w:t>
      </w:r>
    </w:p>
    <w:p>
      <w:r>
        <w:rPr>
          <w:b/>
        </w:rPr>
        <w:t xml:space="preserve">Ergebnis: </w:t>
      </w:r>
      <w:r>
        <w:t>Kombinationstherapie zeigte signifikant stärkere Reduktionen: HbA1c -1,8% (Kombination) vs. -1,2% (Monotherapie), 24-h-Proteinurie -0,42 g/Tag (Kombination) vs. -0,28 g/Tag (Monotherapie), IL-6 und CRP stärker gesenkt. Klinische Ansprechrate höher in Kombinationsgruppe. Keine erhöhten Nebenwirkungen nach 8 Wochen. Befunde begrenzt durch retrospektives Design und kurze Beobachtungsdauer.</w:t>
      </w:r>
    </w:p>
    <w:p>
      <w:r>
        <w:rPr>
          <w:b/>
          <w:sz w:val="19"/>
        </w:rPr>
        <w:t xml:space="preserve">Übertragbarkeit: </w:t>
      </w:r>
      <w:r>
        <w:rPr>
          <w:sz w:val="19"/>
        </w:rPr>
        <w:t>China, ähnliche Mehrfacherkrankungen; kurze Beobachtung, längerfristige Effekte unklar</w:t>
      </w:r>
    </w:p>
    <w:p>
      <w:r>
        <w:rPr>
          <w:color w:val="5A7D3A"/>
          <w:sz w:val="18"/>
        </w:rPr>
        <w:t>https://pubmed.ncbi.nlm.nih.gov/42854065/</w:t>
      </w:r>
    </w:p>
    <w:p>
      <w:pPr>
        <w:pStyle w:val="Heading2"/>
      </w:pPr>
      <w:r>
        <w:t>Lungenvolumenreduktion bei Antikoagulation sicher durchführbar</w:t>
      </w:r>
    </w:p>
    <w:p>
      <w:r>
        <w:rPr>
          <w:i/>
          <w:color w:val="666666"/>
          <w:sz w:val="18"/>
        </w:rPr>
        <w:t>Aleem MS et al.  ·  COPD  ·  27.09.2026  ·  PMID 42852569</w:t>
      </w:r>
    </w:p>
    <w:p>
      <w:r>
        <w:t>Retrospektive US-Datenbankanalyse der National Inpatient Sample (2016–2023) an 16.340 gewichteten Bronchoskopie-Hospitalisierungen mit Lungenvolumenreduktion; 7,8% erhielten chronische Antikoagulation; Vergleich von Blutungs- und anderen Komplikationen.</w:t>
      </w:r>
    </w:p>
    <w:p>
      <w:r>
        <w:rPr>
          <w:b/>
        </w:rPr>
        <w:t xml:space="preserve">Ergebnis: </w:t>
      </w:r>
      <w:r>
        <w:t>Antikoagulierte Patienten: Hämothorax 2,7% vs. 1,1% (nicht-antikoaguliert), Lungenblutung 7,1% vs. 4,7%, jedoch nach multivariater Analyse kein signifikanter unabhängiger Unterschied. Keine signifikanten Unterschiede in Mortalität, Pneumothorax oder Krankenhausverweildauer. Die Studie zeigt, dass Lungenvolumenreduktion auch bei antikoagulierten COPD-Patienten mit vergleichbaren Kurzzeitergebnissen durchführbar ist.</w:t>
      </w:r>
    </w:p>
    <w:p>
      <w:r>
        <w:rPr>
          <w:b/>
          <w:sz w:val="19"/>
        </w:rPr>
        <w:t xml:space="preserve">Übertragbarkeit: </w:t>
      </w:r>
      <w:r>
        <w:rPr>
          <w:sz w:val="19"/>
        </w:rPr>
        <w:t>USA-Krankenhauskodierungsdaten; Procedere übertragbar, Finanzierungsstrukturen unterscheiden sich</w:t>
      </w:r>
    </w:p>
    <w:p>
      <w:r>
        <w:rPr>
          <w:color w:val="5A7D3A"/>
          <w:sz w:val="18"/>
        </w:rPr>
        <w:t>https://pubmed.ncbi.nlm.nih.gov/42852569/</w:t>
      </w:r>
    </w:p>
    <w:p>
      <w:pPr>
        <w:pStyle w:val="Heading2"/>
      </w:pPr>
      <w:r>
        <w:t>Symptombelastung und Exazerbationen prägen Lebensqualität bei Alpha-1-Antitrypsinmangel</w:t>
      </w:r>
    </w:p>
    <w:p>
      <w:r>
        <w:rPr>
          <w:i/>
          <w:color w:val="666666"/>
          <w:sz w:val="18"/>
        </w:rPr>
        <w:t>Aljama C et al.  ·  Pulmonology  ·  07.10.2026  ·  PMID 42841174</w:t>
      </w:r>
    </w:p>
    <w:p>
      <w:r>
        <w:t>Europäische Querschnittsstudie aus dem EARCO-Register an 1710 Pi*ZZ-Patienten; Messung der gesundheitsbezogenen Lebensqualität (EQ-5D); Identifikation von Faktoren, die Lebensqualität beeinflussen.</w:t>
      </w:r>
    </w:p>
    <w:p>
      <w:r>
        <w:rPr>
          <w:b/>
        </w:rPr>
        <w:t xml:space="preserve">Ergebnis: </w:t>
      </w:r>
      <w:r>
        <w:t>Mittleres EQ-5D-Index 0,82±0,22; Patienten mit COPD hatten signifikant schlechtere Werte (0,75±0,24 vs. 0,90±0,16; p&lt;0,001). In multivariater Analyse: höhere Symptombelastung (CAT, mMRC), Langzeitsauerstofftherapie, Arbeitslosigkeit, Exazerbationen, Bronchiektasen und niedrigeres Bildungsniveau waren unabhängig mit schlechterer Lebensqualität assoziiert. Symptombelastung und Exazerbationen waren stärkere Determinanten der Lebensqualität als Lungenfunktion allein.</w:t>
      </w:r>
    </w:p>
    <w:p>
      <w:r>
        <w:rPr>
          <w:b/>
          <w:sz w:val="19"/>
        </w:rPr>
        <w:t xml:space="preserve">Übertragbarkeit: </w:t>
      </w:r>
      <w:r>
        <w:rPr>
          <w:sz w:val="19"/>
        </w:rPr>
        <w:t>Europäische Multizenterstudie (Spanien, Schweden, UK, Dänemark, Schweiz, Portugal, Italien, Frankreich, Tschechien), vergleichbare Gesundheitssysteme</w:t>
      </w:r>
    </w:p>
    <w:p>
      <w:r>
        <w:rPr>
          <w:color w:val="5A7D3A"/>
          <w:sz w:val="18"/>
        </w:rPr>
        <w:t>https://pubmed.ncbi.nlm.nih.gov/42841174/</w:t>
      </w:r>
    </w:p>
    <w:p>
      <w:pPr>
        <w:pStyle w:val="Heading2"/>
      </w:pPr>
      <w:r>
        <w:t>KRT verbesserte Überleben bei über 80-jährigen mit fortgeschrittener Nierenerkrankung</w:t>
      </w:r>
    </w:p>
    <w:p>
      <w:r>
        <w:rPr>
          <w:i/>
          <w:color w:val="666666"/>
          <w:sz w:val="18"/>
        </w:rPr>
        <w:t>Gómez-Rojas I et al.  ·  J Nephrol  ·  10.10.2026  ·  PMID 42634179</w:t>
      </w:r>
    </w:p>
    <w:p>
      <w:r>
        <w:t>Spanische Multizenterstudie an 492 Patienten über 80 Jahren mit eGFR &lt;15 mL/min/1,73 m², die konservative Therapie oder Nierenersatztherapie erhielten; Vergleich von Sterblichkeit und Krankenhausaufenthalten.</w:t>
      </w:r>
    </w:p>
    <w:p>
      <w:r>
        <w:rPr>
          <w:b/>
        </w:rPr>
        <w:t xml:space="preserve">Ergebnis: </w:t>
      </w:r>
      <w:r>
        <w:t>262 Patienten (53,3%) wählten konservative Therapie, 230 (46,7%) begannen Nierenersatztherapie. Konservative Therapie war unabhängig mit höherer Mortalität assoziiert (HR 2,554; p&lt;0,001). Bei geplanter (nicht dringlicher) Nierenersatztherapie bessere Prognose als bei dringlicher Einleitung. Bei erwarteter Überlebensdauer &lt;12 Monate ähnliche Ergebnisse in beiden Gruppen. Die Studie zeigt, dass strukturierte Nierenersatztherapie auch bei sehr alten Patienten mit fortgeschrittener CKD Überlebensvorteil bringt, sofern nicht dringlich eingeleitet.</w:t>
      </w:r>
    </w:p>
    <w:p>
      <w:r>
        <w:rPr>
          <w:b/>
          <w:sz w:val="19"/>
        </w:rPr>
        <w:t xml:space="preserve">Übertragbarkeit: </w:t>
      </w:r>
      <w:r>
        <w:rPr>
          <w:sz w:val="19"/>
        </w:rPr>
        <w:t>Spanische Klinikdaten, vergleichbares Versicherungssystem zur deutschen Versorgung</w:t>
      </w:r>
    </w:p>
    <w:p>
      <w:r>
        <w:rPr>
          <w:color w:val="5A7D3A"/>
          <w:sz w:val="18"/>
        </w:rPr>
        <w:t>https://pubmed.ncbi.nlm.nih.gov/42634179/</w:t>
      </w:r>
    </w:p>
    <w:p>
      <w:pPr>
        <w:pStyle w:val="Heading2"/>
      </w:pPr>
      <w:r>
        <w:t>Self-Management bei Nierenerkrankung: Hürden im NHS-System</w:t>
      </w:r>
    </w:p>
    <w:p>
      <w:r>
        <w:rPr>
          <w:i/>
          <w:color w:val="666666"/>
          <w:sz w:val="18"/>
        </w:rPr>
        <w:t>Patel NA et al.  ·  J Nephrol  ·  10.10.2026  ·  PMID 42598916</w:t>
      </w:r>
    </w:p>
    <w:p>
      <w:r>
        <w:t>Qualitative Studie mit 42 UK-Fachkräften des NHS zu deren Sicht auf Self-Management-Unterstützung bei Nierenerkrankung; Erkundung von Barrieren und Ressourcenbedarf in der Routinepraxis.</w:t>
      </w:r>
    </w:p>
    <w:p>
      <w:r>
        <w:rPr>
          <w:b/>
        </w:rPr>
        <w:t xml:space="preserve">Ergebnis: </w:t>
      </w:r>
      <w:r>
        <w:t>Vier übergeordnete Themen identifiziert: (1) Unzureichende Unterstützung durch NHS-Struktur für Self-Management, (2) Notwendigkeit personalisierter Ansätze, (3) Mangel an zugänglichen Self-Management-Ressourcen, (4) Forderung nach Gesundheitsgerechtigkeit. Fachkräfte berichten, dass strukturierte, evidenzbasierte Interventionen für Self-Management fehlen und dass individuelle Bedürfnisse nicht adäquat berücksichtigt werden.</w:t>
      </w:r>
    </w:p>
    <w:p>
      <w:r>
        <w:rPr>
          <w:b/>
          <w:sz w:val="19"/>
        </w:rPr>
        <w:t xml:space="preserve">Übertragbarkeit: </w:t>
      </w:r>
      <w:r>
        <w:rPr>
          <w:sz w:val="19"/>
        </w:rPr>
        <w:t>Großbritannien, NHS-System; Koordinierungsprobleme sind übertragbar auf deutsche Praxen</w:t>
      </w:r>
    </w:p>
    <w:p>
      <w:r>
        <w:rPr>
          <w:color w:val="5A7D3A"/>
          <w:sz w:val="18"/>
        </w:rPr>
        <w:t>https://pubmed.ncbi.nlm.nih.gov/42598916/</w:t>
      </w:r>
    </w:p>
    <w:p>
      <w:pPr>
        <w:pStyle w:val="Heading1"/>
      </w:pPr>
      <w:r>
        <w:t>Aufgenommen am 10.10.2026</w:t>
      </w:r>
    </w:p>
    <w:p>
      <w:pPr>
        <w:pStyle w:val="Heading2"/>
      </w:pPr>
      <w:r>
        <w:t>Kognitive Verhaltenstherapie reduzierte Müdigkeit und verbesserte Funktionsfähigkeit bei CFS nachhaltig</w:t>
      </w:r>
    </w:p>
    <w:p>
      <w:r>
        <w:rPr>
          <w:i/>
          <w:color w:val="666666"/>
          <w:sz w:val="18"/>
        </w:rPr>
        <w:t>Jiang X et al.  ·  Medicine (Baltimore)  ·  09.10.2026  ·  PMID 42854071</w:t>
      </w:r>
    </w:p>
    <w:p>
      <w:r>
        <w:t>Systematische Übersicht und Metaanalyse von 15 randomisierten Studien mit 2.270 CFS-Patienten prüfte Langzeiteffektivität von kognitiver Verhaltenstherapie auf Müdigkeit und Lebensqualität.</w:t>
      </w:r>
    </w:p>
    <w:p>
      <w:r>
        <w:rPr>
          <w:b/>
        </w:rPr>
        <w:t xml:space="preserve">Ergebnis: </w:t>
      </w:r>
      <w:r>
        <w:t>CBT reduzierte Müdigkeit postinterventionell (Chalder: SMD −0,44; KI −0,57 bis −0,32), verbesserte körperliche Funktionsfähigkeit (SMD 0,32; KI 0,23–0,41) und Psyche (Symptom Checklist 90: SMD −0,44). Nutzen blieben in Kurz- (≤6 Monate) und Langzeitfolge (6–24 Monate) bestehen (Müdigkeit SMD −0,35; KI −0,50 bis −0,19). Keine signifikanten Nebenwirkungen.</w:t>
      </w:r>
    </w:p>
    <w:p>
      <w:r>
        <w:rPr>
          <w:b/>
          <w:sz w:val="19"/>
        </w:rPr>
        <w:t xml:space="preserve">Übertragbarkeit: </w:t>
      </w:r>
      <w:r>
        <w:rPr>
          <w:sz w:val="19"/>
        </w:rPr>
        <w:t>Metaanalyse internationaler Studien, Versorgungsevidenz, psychologische Verfahren</w:t>
      </w:r>
    </w:p>
    <w:p>
      <w:r>
        <w:rPr>
          <w:color w:val="5A7D3A"/>
          <w:sz w:val="18"/>
        </w:rPr>
        <w:t>https://pubmed.ncbi.nlm.nih.gov/42854071/</w:t>
      </w:r>
    </w:p>
    <w:p>
      <w:pPr>
        <w:pStyle w:val="Heading2"/>
      </w:pPr>
      <w:r>
        <w:t>Therapeutische Rahmenbedingungen für ME/CFS: Validierung und Vertrauensbildung durch erlebte Verbesserung</w:t>
      </w:r>
    </w:p>
    <w:p>
      <w:r>
        <w:rPr>
          <w:i/>
          <w:color w:val="666666"/>
          <w:sz w:val="18"/>
        </w:rPr>
        <w:t>Bakken AK et al.  ·  Int J Qual Stud Health Well-being  ·  31.12.2026  ·  PMID 42853299</w:t>
      </w:r>
    </w:p>
    <w:p>
      <w:r>
        <w:t>Reflexive Themenanalyse von Fokusgruppen und Interviews mit 16 Fachpersonen aus 5 Berufen, die mit psychologisch-verhaltenswissenschaftlichen Methoden ME/CFS-Patienten behandeln.</w:t>
      </w:r>
    </w:p>
    <w:p>
      <w:r>
        <w:rPr>
          <w:b/>
        </w:rPr>
        <w:t xml:space="preserve">Ergebnis: </w:t>
      </w:r>
      <w:r>
        <w:t>Vier Kernthemen: (1) Patienten in ‚Niemandsland' treffen (Unsicherheitstoleranz), (2) erklärende ‚Karte' anbieten (Integration biologisch-psychosozial), (3) danach navigieren (Regulationsstörung vs. maladaptives Lernen), (4) Vertrauen bewahren (kontrastive Krankheitserzählungen). Validierung und Agenzystärkung zentral; körperlich erlebte Verbesserung kritisch für Vertrauensaufbau.</w:t>
      </w:r>
    </w:p>
    <w:p>
      <w:r>
        <w:rPr>
          <w:b/>
          <w:sz w:val="19"/>
        </w:rPr>
        <w:t xml:space="preserve">Übertragbarkeit: </w:t>
      </w:r>
      <w:r>
        <w:rPr>
          <w:sz w:val="19"/>
        </w:rPr>
        <w:t>Qualitative Versorgungsforschung, Norwegen, Anwendbarkeit für Patient-Provider-Modelle</w:t>
      </w:r>
    </w:p>
    <w:p>
      <w:r>
        <w:rPr>
          <w:color w:val="5A7D3A"/>
          <w:sz w:val="18"/>
        </w:rPr>
        <w:t>https://pubmed.ncbi.nlm.nih.gov/42853299/</w:t>
      </w:r>
    </w:p>
    <w:p>
      <w:pPr>
        <w:pStyle w:val="Heading2"/>
      </w:pPr>
      <w:r>
        <w:t>Schwangerschaftskomplikationen erhöhen Risiko für Herz-, Nieren- und Stoffwechselerkrankungen deutlich</w:t>
      </w:r>
    </w:p>
    <w:p>
      <w:r>
        <w:rPr>
          <w:i/>
          <w:color w:val="666666"/>
          <w:sz w:val="18"/>
        </w:rPr>
        <w:t>Wambua S et al.  ·  BMJ Med  ·  06.10.2026  ·  PMID 42851766</w:t>
      </w:r>
    </w:p>
    <w:p>
      <w:r>
        <w:t>Kohortenstudie mit 1,4 Millionen Frauen in England untersuchte, ob Schwangerschaftskomplikationen das spätere Risiko für Herz-Kreislauf-, Stoffwechsel- und Nierenerkrankungen erhöhen.</w:t>
      </w:r>
    </w:p>
    <w:p>
      <w:r>
        <w:rPr>
          <w:b/>
        </w:rPr>
        <w:t xml:space="preserve">Ergebnis: </w:t>
      </w:r>
      <w:r>
        <w:t>Gestationshypertonie und Präeklampsie verdreifachten das Hypertonierisiko und verdoppelten das Nierenerkrankungsrisiko. Gestationsdiabetes erhöhte das Typ-2-Diabetes-Risiko um das Siebenfache. Postnatale Depression erhöhte alle vier Endpunkte um 35–56 % (z. B. Hypertonie HR 1,36; KI 1,33–1,40). Diese Erkenntnisse ermöglichen Früherkennung von Frauen mit hohem Risiko.</w:t>
      </w:r>
    </w:p>
    <w:p>
      <w:r>
        <w:rPr>
          <w:b/>
          <w:sz w:val="19"/>
        </w:rPr>
        <w:t xml:space="preserve">Übertragbarkeit: </w:t>
      </w:r>
      <w:r>
        <w:rPr>
          <w:sz w:val="19"/>
        </w:rPr>
        <w:t>UK-Daten, vergleichbare GKV-Dokumentation, prädiktive Stratifizierung möglich</w:t>
      </w:r>
    </w:p>
    <w:p>
      <w:r>
        <w:rPr>
          <w:color w:val="5A7D3A"/>
          <w:sz w:val="18"/>
        </w:rPr>
        <w:t>https://pubmed.ncbi.nlm.nih.gov/42851766/</w:t>
      </w:r>
    </w:p>
    <w:p>
      <w:pPr>
        <w:pStyle w:val="Heading2"/>
      </w:pPr>
      <w:r>
        <w:t>Schwedisches Nierenchronikerregister: Echtzeit-Überwachung der Nierenersatztherapie auf nationaler Ebene</w:t>
      </w:r>
    </w:p>
    <w:p>
      <w:r>
        <w:rPr>
          <w:i/>
          <w:color w:val="666666"/>
          <w:sz w:val="18"/>
        </w:rPr>
        <w:t>Rydell H et al.  ·  Lakartidningen  ·  08.10.2026  ·  PMID 42847836</w:t>
      </w:r>
    </w:p>
    <w:p>
      <w:r>
        <w:t>Beschreibung des schwedischen Nierenregisters, das über 90.000 Patienten vom Diagnosebereich bis zur Transplantation verfolgt und als Versorgungsmonitor fungiert.</w:t>
      </w:r>
    </w:p>
    <w:p>
      <w:r>
        <w:rPr>
          <w:b/>
        </w:rPr>
        <w:t xml:space="preserve">Ergebnis: </w:t>
      </w:r>
      <w:r>
        <w:t>Das Register erfasst alle 9 Nephrologieabteilungen Schwedens mit hoher Datenqualität. Es ermöglicht Echtzeitüberwachung fortlaufender therapeutischer Entwicklungen – etwa rasch evolvierende Anti-CKD-Therapien und spezifische Diagnose-Therapien – und identifiziert Versorgungslücken systematisch.</w:t>
      </w:r>
    </w:p>
    <w:p>
      <w:r>
        <w:rPr>
          <w:b/>
          <w:sz w:val="19"/>
        </w:rPr>
        <w:t xml:space="preserve">Übertragbarkeit: </w:t>
      </w:r>
      <w:r>
        <w:rPr>
          <w:sz w:val="19"/>
        </w:rPr>
        <w:t>Skandinavien, hochstrukturiertes nationales Register, Modell für Versorgungsmonitoring</w:t>
      </w:r>
    </w:p>
    <w:p>
      <w:r>
        <w:rPr>
          <w:color w:val="5A7D3A"/>
          <w:sz w:val="18"/>
        </w:rPr>
        <w:t>https://pubmed.ncbi.nlm.nih.gov/42847836/</w:t>
      </w:r>
    </w:p>
    <w:p>
      <w:pPr>
        <w:pStyle w:val="Heading2"/>
      </w:pPr>
      <w:r>
        <w:t>ME/CFS zeigt latente physiologische Dysregulation über Atemwegs-, kardiovaskuläre und Thermoregulationsstörungen</w:t>
      </w:r>
    </w:p>
    <w:p>
      <w:r>
        <w:rPr>
          <w:i/>
          <w:color w:val="666666"/>
          <w:sz w:val="18"/>
        </w:rPr>
        <w:t>Habermann-Horstmeier L et al.  ·  J Transl Med  ·  28.09.2026  ·  PMID 42806383</w:t>
      </w:r>
    </w:p>
    <w:p>
      <w:r>
        <w:t>Querschnittsanalyse von 736 ME/CFS-Patienten untersuchte, wie Muskelprobleme mit anderen Symptomdomänen verknüpft sind und ob ein gemeinsamer pathophysiologischer Faktor dahintersteckt.</w:t>
      </w:r>
    </w:p>
    <w:p>
      <w:r>
        <w:rPr>
          <w:b/>
        </w:rPr>
        <w:t xml:space="preserve">Ergebnis: </w:t>
      </w:r>
      <w:r>
        <w:t>Faktorenanalyse identifizierte einen latenten physiologischen Dysregulationsfaktor, dem Atemwegs-, Herz-Kreislauf-, Thermoregulations-, visuelle und grippeähnliche Symptome zuzurechnen sind (RMSEA 0,046, CFI 0,971). Muskelprobleme waren unabhängig mit Atembeschwerden (OR 2,49), Grippeähnlichkeit (OR 1,97) und Temperaturstörungen (OR 1,97) assoziiert. Befund unterstützt multiorganbeteiligung statt Einzelsymptomfokus.</w:t>
      </w:r>
    </w:p>
    <w:p>
      <w:r>
        <w:rPr>
          <w:b/>
          <w:sz w:val="19"/>
        </w:rPr>
        <w:t xml:space="preserve">Übertragbarkeit: </w:t>
      </w:r>
      <w:r>
        <w:rPr>
          <w:sz w:val="19"/>
        </w:rPr>
        <w:t>Deutschland, Patientenregister, zeigt Mehrfacherkrankung als Kernmerkmal</w:t>
      </w:r>
    </w:p>
    <w:p>
      <w:r>
        <w:rPr>
          <w:color w:val="5A7D3A"/>
          <w:sz w:val="18"/>
        </w:rPr>
        <w:t>https://pubmed.ncbi.nlm.nih.gov/42806383/</w:t>
      </w:r>
    </w:p>
    <w:p>
      <w:pPr>
        <w:pStyle w:val="Heading2"/>
      </w:pPr>
      <w:r>
        <w:t>SGLT2-Inhibitoren reduzierten kardiovaskuläre Ereignisse und Nierenersatztherapie um 20–33 %</w:t>
      </w:r>
    </w:p>
    <w:p>
      <w:r>
        <w:rPr>
          <w:i/>
          <w:color w:val="666666"/>
          <w:sz w:val="18"/>
        </w:rPr>
        <w:t>Österman J et al.  ·  Clin J Am Soc Nephrol  ·  01.10.2026  ·  PMID 42560763</w:t>
      </w:r>
    </w:p>
    <w:p>
      <w:r>
        <w:t>Schwedische Kohortenstudie mit 32.856 Nierenkranken in nephrologischer Betreuung untersuchte Wirkung von SGLT2-Inhibitoren auf kardiovaskuläre und renale Outcomes in der Praxis.</w:t>
      </w:r>
    </w:p>
    <w:p>
      <w:r>
        <w:rPr>
          <w:b/>
        </w:rPr>
        <w:t xml:space="preserve">Ergebnis: </w:t>
      </w:r>
      <w:r>
        <w:t>SGLT2-Inhibitor-Anwender hatten niedrigeres Risiko für Major Adverse Cardiovascular Events (OR 0,80; KI 0,71–0,91) und Nierenersatztherapie (OR 0,67; KI 0,52–0,85). Kein Unterschied bei Gesamtsterblichkeit. Effekte konsistent über Subgruppen. Randomisierte Studienergebnisse bestätigen sich in der Regelversorgung.</w:t>
      </w:r>
    </w:p>
    <w:p>
      <w:r>
        <w:rPr>
          <w:b/>
          <w:sz w:val="19"/>
        </w:rPr>
        <w:t xml:space="preserve">Übertragbarkeit: </w:t>
      </w:r>
      <w:r>
        <w:rPr>
          <w:sz w:val="19"/>
        </w:rPr>
        <w:t>Skandinavien, vergleichbares System, Routinedaten nephrologischer Zentren</w:t>
      </w:r>
    </w:p>
    <w:p>
      <w:r>
        <w:rPr>
          <w:color w:val="5A7D3A"/>
          <w:sz w:val="18"/>
        </w:rPr>
        <w:t>https://pubmed.ncbi.nlm.nih.gov/42560763/</w:t>
      </w:r>
    </w:p>
    <w:p>
      <w:pPr>
        <w:pStyle w:val="Heading1"/>
      </w:pPr>
      <w:r>
        <w:t>Aufgenommen am 09.10.2026</w:t>
      </w:r>
    </w:p>
    <w:p>
      <w:pPr>
        <w:pStyle w:val="Heading2"/>
      </w:pPr>
      <w:r>
        <w:t>Intersektionale Diskriminierung erhöht Stress und Alkoholkonsum bei Minderheiten</w:t>
      </w:r>
    </w:p>
    <w:p>
      <w:r>
        <w:rPr>
          <w:i/>
          <w:color w:val="666666"/>
          <w:sz w:val="18"/>
        </w:rPr>
        <w:t>Smith MS et al.  ·  Ann Behav Med  ·  07.01.2026  ·  PMID 42847391</w:t>
      </w:r>
    </w:p>
    <w:p>
      <w:r>
        <w:t>Zwei Querschnittsstudien mit insgesamt 1.181 sexuellen Minderheitenmännern of Color zum Zusammenhang zwischen intersektionaler Diskriminierung (Rassismus und Heterosexismus gleichzeitig) und kardiometabolischen Risikofaktoren.</w:t>
      </w:r>
    </w:p>
    <w:p>
      <w:r>
        <w:rPr>
          <w:b/>
        </w:rPr>
        <w:t xml:space="preserve">Ergebnis: </w:t>
      </w:r>
      <w:r>
        <w:t>Intersektionale Diskriminierung war unabhängig mit wahrgenommenem Stress und Alkoholkonsum assoziiert (beide p &lt;0,05), ebenso mit erhöhtem BMI. Dies zeigt, dass überlappende Diskriminierungserfahrungen Gesundheitsverhalten ungünstiger beeinflussen als einzelne Diskriminierungsformen.</w:t>
      </w:r>
    </w:p>
    <w:p>
      <w:r>
        <w:rPr>
          <w:b/>
          <w:sz w:val="19"/>
        </w:rPr>
        <w:t xml:space="preserve">Übertragbarkeit: </w:t>
      </w:r>
      <w:r>
        <w:rPr>
          <w:sz w:val="19"/>
        </w:rPr>
        <w:t>USA-Studie, Mechanismus aber auf alle Mehrfachdiskriminierungs-Settings übertragbar, Deutschland mit migrantischen Communities.</w:t>
      </w:r>
    </w:p>
    <w:p>
      <w:r>
        <w:rPr>
          <w:color w:val="5A7D3A"/>
          <w:sz w:val="18"/>
        </w:rPr>
        <w:t>https://pubmed.ncbi.nlm.nih.gov/42847391/</w:t>
      </w:r>
    </w:p>
    <w:p>
      <w:pPr>
        <w:pStyle w:val="Heading2"/>
      </w:pPr>
      <w:r>
        <w:t>Yoga verbesserte Nierenfunktion bei CKD-Stadien 3–4 um 6,94 mL/min/1,73m² innerhalb 12 Wochen</w:t>
      </w:r>
    </w:p>
    <w:p>
      <w:r>
        <w:rPr>
          <w:i/>
          <w:color w:val="666666"/>
          <w:sz w:val="18"/>
        </w:rPr>
        <w:t>Nair RG et al.  ·  Ann Behav Med  ·  07.01.2026  ·  PMID 42847350</w:t>
      </w:r>
    </w:p>
    <w:p>
      <w:r>
        <w:t>Randomisierte kontrollierte Studie mit 81 CKD-Patienten in Stadien 3 und 4 (diabetische oder hypertensive Ätiologie), die 12 Wochen lang Yoga-Praktiken (5 Stunden pro Woche) zusätzlich zur Standardbehandlung erhielten.</w:t>
      </w:r>
    </w:p>
    <w:p>
      <w:r>
        <w:rPr>
          <w:b/>
        </w:rPr>
        <w:t xml:space="preserve">Ergebnis: </w:t>
      </w:r>
      <w:r>
        <w:t>Yoga-Gruppe zeigte signifikante Verbesserungen: Serum-Kreatinin -0,42 (p=0,013), geschätzte glomeruläre Filtrationsrate +6,94 mL/min/1,73m² (p=0,030), Urin-Albumin-Kreatinin-Ratio -464,2 mg/g (p=0,029) und TGF-β1 -218,2 pg/mL (p=0,021). Mediationsanalyse zeigt reduziertes TGF-β1 als Wirkpfad.</w:t>
      </w:r>
    </w:p>
    <w:p>
      <w:r>
        <w:rPr>
          <w:b/>
          <w:sz w:val="19"/>
        </w:rPr>
        <w:t xml:space="preserve">Übertragbarkeit: </w:t>
      </w:r>
      <w:r>
        <w:rPr>
          <w:sz w:val="19"/>
        </w:rPr>
        <w:t>Indien, aber Intervention universell einsetzbar, Kosteneffektivität, geringe Implementierungsbarrieren.</w:t>
      </w:r>
    </w:p>
    <w:p>
      <w:r>
        <w:rPr>
          <w:color w:val="5A7D3A"/>
          <w:sz w:val="18"/>
        </w:rPr>
        <w:t>https://pubmed.ncbi.nlm.nih.gov/42847350/</w:t>
      </w:r>
    </w:p>
    <w:p>
      <w:pPr>
        <w:pStyle w:val="Heading2"/>
      </w:pPr>
      <w:r>
        <w:t>Community-basierte Co-Design-Studie zu nachhaltiger Gesundheit bei Jugendlichen in Kanada und Jamaika</w:t>
      </w:r>
    </w:p>
    <w:p>
      <w:r>
        <w:rPr>
          <w:i/>
          <w:color w:val="666666"/>
          <w:sz w:val="18"/>
        </w:rPr>
        <w:t>Stennett R et al.  ·  BMJ Open  ·  07.10.2026  ·  PMID 42843868</w:t>
      </w:r>
    </w:p>
    <w:p>
      <w:r>
        <w:t>Protokoll einer Multimethod-Community-Based-Participatory-Research-Studie zur Entwicklung einer Intervention für Jugendliche (15–25 Jahre) zu nachhaltigem Lebensstil und Prävention nichtübertragbarer Erkrankungen durch Umwelt- und Gesundheitsperspektiven in zwei Phasen (kontextuelle Kartierung, Co-Design).</w:t>
      </w:r>
    </w:p>
    <w:p>
      <w:r>
        <w:rPr>
          <w:b/>
        </w:rPr>
        <w:t xml:space="preserve">Ergebnis: </w:t>
      </w:r>
      <w:r>
        <w:t>Dies ist ein Studienprotokoll, das die Machbarkeit, Umsetzungstreue und kontextuelle Passung einer SHAL-Intervention (Sustainability Healthy Active Living) in equity-deserving Populationen untersuchen wird. Erkenntnisse werden zur Finalisierung der Intervention und zu Best-Practice-Wissenstransfer in Konferenzen und Workshops führen. Fokus auf Jugendliche als Change Agents in präventiven, umweltbezogenen Systemen.</w:t>
      </w:r>
    </w:p>
    <w:p>
      <w:r>
        <w:rPr>
          <w:b/>
          <w:sz w:val="19"/>
        </w:rPr>
        <w:t xml:space="preserve">Übertragbarkeit: </w:t>
      </w:r>
      <w:r>
        <w:rPr>
          <w:sz w:val="19"/>
        </w:rPr>
        <w:t>Kanada mit vergleichbarem Versicherungssystem, präventives Gesundheitssystem mit Fokus auf Lebensstil und Mehrfacherkrankungen.</w:t>
      </w:r>
    </w:p>
    <w:p>
      <w:r>
        <w:rPr>
          <w:color w:val="5A7D3A"/>
          <w:sz w:val="18"/>
        </w:rPr>
        <w:t>https://pubmed.ncbi.nlm.nih.gov/42843868/</w:t>
      </w:r>
    </w:p>
    <w:p>
      <w:pPr>
        <w:pStyle w:val="Heading2"/>
      </w:pPr>
      <w:r>
        <w:t>COPD-Symptommonitoring in Pulmonalrehabilitation sagte schwere Exazerbationen nicht zuverlässig voraus</w:t>
      </w:r>
    </w:p>
    <w:p>
      <w:r>
        <w:rPr>
          <w:i/>
          <w:color w:val="666666"/>
          <w:sz w:val="18"/>
        </w:rPr>
        <w:t>Machefert M et al.  ·  Pulmonology  ·  07.10.2026  ·  PMID 42841793</w:t>
      </w:r>
    </w:p>
    <w:p>
      <w:r>
        <w:t>Prospektive Multicenterstudie mit 128 stabilen COPD-Patienten in Erhaltungs-Pulmonalrehabilitationen in Frankreich über ein Jahr mit 4.200 dokumentierten Sitzungen zur Vorhersage schwerer Exazerbationen durch klinische und Belastungsparameter.</w:t>
      </w:r>
    </w:p>
    <w:p>
      <w:r>
        <w:rPr>
          <w:b/>
        </w:rPr>
        <w:t xml:space="preserve">Ergebnis: </w:t>
      </w:r>
      <w:r>
        <w:t>Von 128 Patienten erlebten 19 (14,8%) schwere Exazerbationen. Routinemäßig dokumentierte klinische Marker (COPD Assessment Test, modifizierte Borg-Skala, Belastungsleistung) zeigten begrenzte Vorhersagekraft (AUC 0,45–0,58, alle p&gt;0,1); schwache zeitliche Assoziationen zwischen Symptomen und Leistung. Dies unterstreicht Komplexität der Exazerbationen und Bedarf für digitales Multiparameter-Monitoring.</w:t>
      </w:r>
    </w:p>
    <w:p>
      <w:r>
        <w:rPr>
          <w:b/>
          <w:sz w:val="19"/>
        </w:rPr>
        <w:t xml:space="preserve">Übertragbarkeit: </w:t>
      </w:r>
      <w:r>
        <w:rPr>
          <w:sz w:val="19"/>
        </w:rPr>
        <w:t>Frankreich, vergleichbare ambulante Strukturen, Finanzierung und Reha-Programme ähnlich Deutschland.</w:t>
      </w:r>
    </w:p>
    <w:p>
      <w:r>
        <w:rPr>
          <w:color w:val="5A7D3A"/>
          <w:sz w:val="18"/>
        </w:rPr>
        <w:t>https://pubmed.ncbi.nlm.nih.gov/42841793/</w:t>
      </w:r>
    </w:p>
    <w:p>
      <w:pPr>
        <w:pStyle w:val="Heading2"/>
      </w:pPr>
      <w:r>
        <w:t>Adipositas erhöhte chirurgische Komplikationen nach Nierentransplantation, nicht aber Langzeitüberleben</w:t>
      </w:r>
    </w:p>
    <w:p>
      <w:r>
        <w:rPr>
          <w:i/>
          <w:color w:val="666666"/>
          <w:sz w:val="18"/>
        </w:rPr>
        <w:t>Melera E et al.  ·  Clin Transplant  ·  Okt. 2026  ·  PMID 42839226</w:t>
      </w:r>
    </w:p>
    <w:p>
      <w:r>
        <w:t>Schweizer Einzelzentrum-Retrospektivstudie mit 953 aufeinanderfolgenden Nierenpatienten (150 adipös, BMI ≥30; 803 nicht adipös) von 1999 bis 2023 zur Auswirkung von Empfängeradipositas auf kurz- und langfristige Transplantationsergebnisse.</w:t>
      </w:r>
    </w:p>
    <w:p>
      <w:r>
        <w:rPr>
          <w:b/>
        </w:rPr>
        <w:t xml:space="preserve">Ergebnis: </w:t>
      </w:r>
      <w:r>
        <w:t>Adipöse Empfänger hatten höhere Raten von Operationsstellen-Infektionen (11 % vs. 3 %, p&lt;0,001), Gesamtinfektionen (29 % vs. 5 %, p&lt;0,001), Lymphozylen (18 % vs. 10 %, p=0,007), inkisionalen Hernien (10 % vs. 5 %, p=0,032) und verspäteter Transplantatalfunction (21 % vs. 14 %, p=0,024). Längerer Aufenthalt: 19 vs. 17 Tage (p=0,038). Patienten- und Transplantat-Überleben nach 7,3 Jahren gleich (Hazard Ratio 1,09 bzw. 0,92, p&gt;0,05). Adipositas sollte kein Kontraindikationskriterium sein.</w:t>
      </w:r>
    </w:p>
    <w:p>
      <w:r>
        <w:rPr>
          <w:b/>
          <w:sz w:val="19"/>
        </w:rPr>
        <w:t xml:space="preserve">Übertragbarkeit: </w:t>
      </w:r>
      <w:r>
        <w:rPr>
          <w:sz w:val="19"/>
        </w:rPr>
        <w:t>Schweiz, vergleichbares Sozialsystem und Transplantationsstruktur wie Deutschland und DACH-Region.</w:t>
      </w:r>
    </w:p>
    <w:p>
      <w:r>
        <w:rPr>
          <w:color w:val="5A7D3A"/>
          <w:sz w:val="18"/>
        </w:rPr>
        <w:t>https://pubmed.ncbi.nlm.nih.gov/42839226/</w:t>
      </w:r>
    </w:p>
    <w:p>
      <w:pPr>
        <w:pStyle w:val="Heading2"/>
      </w:pPr>
      <w:r>
        <w:t>Typ-2-Diabetes: Nierenerkrankungsrate sank von 55,3 auf 43,7 pro 1000 Personenjahre</w:t>
      </w:r>
    </w:p>
    <w:p>
      <w:r>
        <w:rPr>
          <w:i/>
          <w:color w:val="666666"/>
          <w:sz w:val="18"/>
        </w:rPr>
        <w:t>Lee CJ et al.  ·  Diabetes Obes Metab  ·  09.08.2026  ·  PMID 42571988</w:t>
      </w:r>
    </w:p>
    <w:p>
      <w:r>
        <w:t>Dänische Registeranalyse zur Prävalenz, Inzidenz und Mortalität der chronischen Nierenerkrankung bei 1,3 Millionen Personen mit Typ-1 und Typ-2-Diabetes zwischen 2016 und 2024.</w:t>
      </w:r>
    </w:p>
    <w:p>
      <w:r>
        <w:rPr>
          <w:b/>
        </w:rPr>
        <w:t xml:space="preserve">Ergebnis: </w:t>
      </w:r>
      <w:r>
        <w:t>Die Prävalenz der Nierenerkrankung stieg bei Typ-2-Diabetes von 24,8 % auf 37,3 %, die Inzidenz sank aber von 55,3 auf 43,7 pro 1000 Personenjahre (Hochaltrigkeit ≥70 Jahre: von 93,6 auf 74,3), die Mortalität blieb bei Patienten mit Nierenerkrankung erhöht. Das zeigt Prävention wirkt, Früherkennung aber lückenhaft.</w:t>
      </w:r>
    </w:p>
    <w:p>
      <w:r>
        <w:rPr>
          <w:b/>
          <w:sz w:val="19"/>
        </w:rPr>
        <w:t xml:space="preserve">Übertragbarkeit: </w:t>
      </w:r>
      <w:r>
        <w:rPr>
          <w:sz w:val="19"/>
        </w:rPr>
        <w:t>Dänisches Register mit deutschen Strukturen vergleichbar, DMP-Daten könnten ähnliche Trends zeigen.</w:t>
      </w:r>
    </w:p>
    <w:p>
      <w:r>
        <w:rPr>
          <w:color w:val="5A7D3A"/>
          <w:sz w:val="18"/>
        </w:rPr>
        <w:t>https://pubmed.ncbi.nlm.nih.gov/42571988/</w:t>
      </w:r>
    </w:p>
    <w:p>
      <w:pPr>
        <w:pStyle w:val="Heading1"/>
      </w:pPr>
      <w:r>
        <w:t>Aufgenommen am 08.10.2026</w:t>
      </w:r>
    </w:p>
    <w:p>
      <w:pPr>
        <w:pStyle w:val="Heading2"/>
      </w:pPr>
      <w:r>
        <w:t>Präoperative Versorgungspfade für Patienten mit Mehrfacherkrankungen: kaum spezialisierte Programme vorhanden</w:t>
      </w:r>
    </w:p>
    <w:p>
      <w:r>
        <w:rPr>
          <w:i/>
          <w:color w:val="666666"/>
          <w:sz w:val="18"/>
        </w:rPr>
        <w:t>Mikula-Noble NM et al.  ·  BMJ Open  ·  07.10.2026  ·  PMID 42843878</w:t>
      </w:r>
    </w:p>
    <w:p>
      <w:r>
        <w:t>Systematische Übersicht über präoperative Interventionen für Patienten mit Mehrfacherkrankungen vor großen Operationen – Suche nach spezifischen Programmen für diese Hochrisikogruppe.</w:t>
      </w:r>
    </w:p>
    <w:p>
      <w:r>
        <w:rPr>
          <w:b/>
        </w:rPr>
        <w:t xml:space="preserve">Ergebnis: </w:t>
      </w:r>
      <w:r>
        <w:t>Von 138 Studien mit Mehrfacherkrankungskohorten wurden 34 eingeschlossen: nur 6 (18 %) diskutierten Interventionen für gemischte Kohorten, nur 3 (9 %) berichteten über allgemeine chirurgische Interventionen bei Mehrfacherkrankten. Es existieren praktisch keine auf Mehrfacherkrankung zugeschnittenen präoperativen Programme.</w:t>
      </w:r>
    </w:p>
    <w:p>
      <w:r>
        <w:rPr>
          <w:b/>
          <w:sz w:val="19"/>
        </w:rPr>
        <w:t xml:space="preserve">Übertragbarkeit: </w:t>
      </w:r>
      <w:r>
        <w:rPr>
          <w:sz w:val="19"/>
        </w:rPr>
        <w:t>Großbritannien – vergleichbare perioperative Strukturen und Dokumentation, Problem der fehlenden Spezialisierung übertragbar.</w:t>
      </w:r>
    </w:p>
    <w:p>
      <w:r>
        <w:rPr>
          <w:color w:val="5A7D3A"/>
          <w:sz w:val="18"/>
        </w:rPr>
        <w:t>https://pubmed.ncbi.nlm.nih.gov/42843878/</w:t>
      </w:r>
    </w:p>
    <w:p>
      <w:pPr>
        <w:pStyle w:val="Heading2"/>
      </w:pPr>
      <w:r>
        <w:t>Insulinresistenz sagte Hepatokarzinom bei viruskontrollierter Hepatitis B voraus</w:t>
      </w:r>
    </w:p>
    <w:p>
      <w:r>
        <w:rPr>
          <w:i/>
          <w:color w:val="666666"/>
          <w:sz w:val="18"/>
        </w:rPr>
        <w:t>Sinn DH et al.  ·  J Korean Med Sci  ·  05.10.2026  ·  PMID 42843350</w:t>
      </w:r>
    </w:p>
    <w:p>
      <w:r>
        <w:t>Prospektive Multizenterstudie an 334 HBV-Zirrhose-Patienten unter antiviraler Therapie zur Prognosevalenz der Insulinresistenz (HOMA2-IR) für HCC-Entwicklung.</w:t>
      </w:r>
    </w:p>
    <w:p>
      <w:r>
        <w:rPr>
          <w:b/>
        </w:rPr>
        <w:t xml:space="preserve">Ergebnis: </w:t>
      </w:r>
      <w:r>
        <w:t>Bei Median-Nachbeobachtung von 7,45 Jahren entwickelten 62 Patienten (18,6 %) HCC. Jede HOMA2-IR-Einheitssteigerung korrelierte mit erhöhtem HCC-Risiko (HR 1,53; 95 % KI 1,16–2,04). Patienten mit HOMA2-IR ≥ 2,3 hatten 5-Jahres-HCC-Inzidenz von 30,6 % versus 12,3 % bei HOMA2-IR &lt; 2,3 (adjustierte HR 2,62; 95 % KI 1,40–4,91).</w:t>
      </w:r>
    </w:p>
    <w:p>
      <w:r>
        <w:rPr>
          <w:b/>
          <w:sz w:val="19"/>
        </w:rPr>
        <w:t xml:space="preserve">Übertragbarkeit: </w:t>
      </w:r>
      <w:r>
        <w:rPr>
          <w:sz w:val="19"/>
        </w:rPr>
        <w:t>Südkorea – Multizenterstudie; Biomarker unabhängig vom Gesundheitssystem; aber HCC-Screening-Algorithmen regional unterschiedlich.</w:t>
      </w:r>
    </w:p>
    <w:p>
      <w:r>
        <w:rPr>
          <w:color w:val="5A7D3A"/>
          <w:sz w:val="18"/>
        </w:rPr>
        <w:t>https://pubmed.ncbi.nlm.nih.gov/42843350/</w:t>
      </w:r>
    </w:p>
    <w:p>
      <w:pPr>
        <w:pStyle w:val="Heading2"/>
      </w:pPr>
      <w:r>
        <w:t>Integrierte Atemwegsversorgung in Irland: Hausärzte berichten Chancen und Lücken</w:t>
      </w:r>
    </w:p>
    <w:p>
      <w:r>
        <w:rPr>
          <w:i/>
          <w:color w:val="666666"/>
          <w:sz w:val="18"/>
        </w:rPr>
        <w:t>O'Brien H et al.  ·  Prim Health Care Res Dev  ·  07.10.2026  ·  PMID 42839305</w:t>
      </w:r>
    </w:p>
    <w:p>
      <w:r>
        <w:t>Qualitative Befragung von 112 Hausärzten zur Umsetzung eines neuen Disease-Management-Programms für COPD und Asthma mit lokalen Fachteams in Irland.</w:t>
      </w:r>
    </w:p>
    <w:p>
      <w:r>
        <w:rPr>
          <w:b/>
        </w:rPr>
        <w:t xml:space="preserve">Ergebnis: </w:t>
      </w:r>
      <w:r>
        <w:t>87 % bewerteten integrierte Care-Hubs als gut bis ausgezeichnet und 84 % als überlegen gegenüber Krankenhausambulanzen, doch 52 % berichteten unzureichende Diagnostik, 45 % verzögerte Rückmeldungen und 50 % mangelnde Spezialunterstützung. Selbstberichtete Sicherheit in Leitlinienwissen moderat (7/10 für beide Erkrankungen), sehr niedrig bei Lungenfunktionstests (3/10).</w:t>
      </w:r>
    </w:p>
    <w:p>
      <w:r>
        <w:rPr>
          <w:b/>
          <w:sz w:val="19"/>
        </w:rPr>
        <w:t xml:space="preserve">Übertragbarkeit: </w:t>
      </w:r>
      <w:r>
        <w:rPr>
          <w:sz w:val="19"/>
        </w:rPr>
        <w:t>Irland – comparable Primarversorgung, ähnliche NHS-Finanzierung, jedoch spezifische Koordinationsstruktur.</w:t>
      </w:r>
    </w:p>
    <w:p>
      <w:r>
        <w:rPr>
          <w:color w:val="5A7D3A"/>
          <w:sz w:val="18"/>
        </w:rPr>
        <w:t>https://pubmed.ncbi.nlm.nih.gov/42839305/</w:t>
      </w:r>
    </w:p>
    <w:p>
      <w:pPr>
        <w:pStyle w:val="Heading2"/>
      </w:pPr>
      <w:r>
        <w:t>Dupilumab reduzierte Exazerbationen bei COPD mit Typ-2-Entzündung um 70 Prozent</w:t>
      </w:r>
    </w:p>
    <w:p>
      <w:r>
        <w:rPr>
          <w:i/>
          <w:color w:val="666666"/>
          <w:sz w:val="18"/>
        </w:rPr>
        <w:t>Abdo M et al.  ·  Respir Res  ·  06.10.2026  ·  PMID 42839285</w:t>
      </w:r>
    </w:p>
    <w:p>
      <w:r>
        <w:t>Multizentrische Analyse deutscher Kliniken zur Wirksamkeit von Dupilumab bei COPD-Patienten mit Typ-2-Entzündung unter Routinebedingungen.</w:t>
      </w:r>
    </w:p>
    <w:p>
      <w:r>
        <w:rPr>
          <w:b/>
        </w:rPr>
        <w:t xml:space="preserve">Ergebnis: </w:t>
      </w:r>
      <w:r>
        <w:t>Bei 99 Patienten sank die annualisierte Rate moderater bis schwerer Exazerbationen von 3,52 auf 1,04 pro Jahr (70 % Reduktion), der CAT-Score verbesserte sich um 4,5 Punkte, konsistent über Subgruppen hinweg. 8 Patienten zeigten keine Reduktion unter Behandlung.</w:t>
      </w:r>
    </w:p>
    <w:p>
      <w:r>
        <w:rPr>
          <w:b/>
          <w:sz w:val="19"/>
        </w:rPr>
        <w:t xml:space="preserve">Übertragbarkeit: </w:t>
      </w:r>
      <w:r>
        <w:rPr>
          <w:sz w:val="19"/>
        </w:rPr>
        <w:t>Deutsche Klinikdaten, vergleichbare Dokumentationspflichten und Versorgungsstruktur.</w:t>
      </w:r>
    </w:p>
    <w:p>
      <w:r>
        <w:rPr>
          <w:color w:val="5A7D3A"/>
          <w:sz w:val="18"/>
        </w:rPr>
        <w:t>https://pubmed.ncbi.nlm.nih.gov/42839285/</w:t>
      </w:r>
    </w:p>
    <w:p>
      <w:pPr>
        <w:pStyle w:val="Heading2"/>
      </w:pPr>
      <w:r>
        <w:t>Anhaltende Symptombelastung bei Lupus erythematodes: ein klinischer Phänotyp ähnlich ME/CFS identifiziert</w:t>
      </w:r>
    </w:p>
    <w:p>
      <w:r>
        <w:rPr>
          <w:i/>
          <w:color w:val="666666"/>
          <w:sz w:val="18"/>
        </w:rPr>
        <w:t>Habermann-Horstmeier L  ·  J Transl Med  ·  25.09.2026  ·  PMID 42806386</w:t>
      </w:r>
    </w:p>
    <w:p>
      <w:r>
        <w:t>Hypothesengenerierendes Rahmenwerk zur Charakterisierung einer Untergruppe von Patienten mit langjährigem systemischem Lupus erythematodes, die trotz niedriger Krankheitsaktivität persistierende Müdigkeit, Funktionsbeeinträchtigung und kognititive Symptome aufweisen.</w:t>
      </w:r>
    </w:p>
    <w:p>
      <w:r>
        <w:rPr>
          <w:b/>
        </w:rPr>
        <w:t xml:space="preserve">Ergebnis: </w:t>
      </w:r>
      <w:r>
        <w:t>Vorgeschlagene SLE-ME/CFS-Forschungsphänotyp kombiniert persistierende funktionslimitierende Symptome trotz Remission oder niedriger Aktivität mit Müdigkeit seit mindestens 6 Monaten, postexertioneller Symptomverschlechterung, unerquicklichem Schlaf und kognitiven Symptomen. Evidenz unterstützt Beteiligung residualer Immunaktivierung, oxidativen Stresses, Mitochondrienstörungen und Endotheldysfunktion.</w:t>
      </w:r>
    </w:p>
    <w:p>
      <w:r>
        <w:rPr>
          <w:b/>
          <w:sz w:val="19"/>
        </w:rPr>
        <w:t xml:space="preserve">Übertragbarkeit: </w:t>
      </w:r>
      <w:r>
        <w:rPr>
          <w:sz w:val="19"/>
        </w:rPr>
        <w:t>Deutschland – Literaturanalyse, Konzeptentwicklung; Validierung in Kohortenstudien notwendig, aber Phänotypisierung für Versorgung relevant.</w:t>
      </w:r>
    </w:p>
    <w:p>
      <w:r>
        <w:rPr>
          <w:color w:val="5A7D3A"/>
          <w:sz w:val="18"/>
        </w:rPr>
        <w:t>https://pubmed.ncbi.nlm.nih.gov/42806386/</w:t>
      </w:r>
    </w:p>
    <w:p>
      <w:pPr>
        <w:pStyle w:val="Heading2"/>
      </w:pPr>
      <w:r>
        <w:t>Kollagen-Abbau-Biomarker im Urin erfasst Fibrose über Organgrenzen hinweg</w:t>
      </w:r>
    </w:p>
    <w:p>
      <w:r>
        <w:rPr>
          <w:i/>
          <w:color w:val="666666"/>
          <w:sz w:val="18"/>
        </w:rPr>
        <w:t>Mina IK et al.  ·  Mol Med  ·  23.09.2026  ·  PMID 42778889</w:t>
      </w:r>
    </w:p>
    <w:p>
      <w:r>
        <w:t>Multikohorten-Proteomik-Studie zur Identifikation eines gemeinsamen Signatures von Kollagen-Typ-I-Abbau-Peptiden im Urin, das Leberfibrose, chronische Nierenerkrankung und Herzinsuffizienz charakterisiert.</w:t>
      </w:r>
    </w:p>
    <w:p>
      <w:r>
        <w:rPr>
          <w:b/>
        </w:rPr>
        <w:t xml:space="preserve">Ergebnis: </w:t>
      </w:r>
      <w:r>
        <w:t>50 Kollagen-Typ-I-Abbau-Produkte definierten eine gemeinsame Fibrose-Signatur; Support-Vector-Machine-Modell erreichte AUC 0,935 (95 % KI 0,917–0,953) in externer Validierung über gepoolte Erkrankungsgruppen, erhalten für Leber (AUC 0,917), Niere (0,951) und Herz (0,950). Modellwerte korrelierten mit Fibrosestadium in Leber und interstitieller Fibrose in Niere.</w:t>
      </w:r>
    </w:p>
    <w:p>
      <w:r>
        <w:rPr>
          <w:b/>
          <w:sz w:val="19"/>
        </w:rPr>
        <w:t xml:space="preserve">Übertragbarkeit: </w:t>
      </w:r>
      <w:r>
        <w:rPr>
          <w:sz w:val="19"/>
        </w:rPr>
        <w:t>Multinationale europäische und britische Kohorten, Urindiagnostik universell verfügbar; Fibrose-Screening unabhängig vom Organ übertragbar.</w:t>
      </w:r>
    </w:p>
    <w:p>
      <w:r>
        <w:rPr>
          <w:color w:val="5A7D3A"/>
          <w:sz w:val="18"/>
        </w:rPr>
        <w:t>https://pubmed.ncbi.nlm.nih.gov/42778889/</w:t>
      </w:r>
    </w:p>
    <w:p>
      <w:pPr>
        <w:pStyle w:val="Heading1"/>
      </w:pPr>
      <w:r>
        <w:t>Aufgenommen am 07.10.2026</w:t>
      </w:r>
    </w:p>
    <w:p>
      <w:pPr>
        <w:pStyle w:val="Heading2"/>
      </w:pPr>
      <w:r>
        <w:t>Chronische Nierenkrankheit in der Tertiärversorgung: Screening deckt Unterbehandlung auf</w:t>
      </w:r>
    </w:p>
    <w:p>
      <w:r>
        <w:rPr>
          <w:i/>
          <w:color w:val="666666"/>
          <w:sz w:val="18"/>
        </w:rPr>
        <w:t>Zahradka I et al.  ·  BMJ Open  ·  06.10.2026  ·  PMID 42838586</w:t>
      </w:r>
    </w:p>
    <w:p>
      <w:r>
        <w:t>Querschnittstudie an 2.903 Patienten in Tertiärkliniken Mitteleuropas zur Prävalenz chronischer Nierenkrankheit (CKD) und Nutzung renoprotek­tiver Therapien.</w:t>
      </w:r>
    </w:p>
    <w:p>
      <w:r>
        <w:rPr>
          <w:b/>
        </w:rPr>
        <w:t xml:space="preserve">Ergebnis: </w:t>
      </w:r>
      <w:r>
        <w:t>CKD-Prävalenz 32,5 %; eine neue Diagnose pro 5,2 Gescreente. Renoprotek­tive Therapie stark untergenutzt: SGLT2-Inhibitoren 42 %, GLP-1-Rezeptoragonisten 41,7 %, nichtsteroidale Mineralokortikoidrezeptorantagonisten 6,7 % der Berechtigten. Modellierte Gewinnchancen dialysefreier Zeit durch Therapieeinleitung: 11,13 Monate pro Patient im Durchschnitt.</w:t>
      </w:r>
    </w:p>
    <w:p>
      <w:r>
        <w:rPr>
          <w:b/>
          <w:sz w:val="19"/>
        </w:rPr>
        <w:t xml:space="preserve">Übertragbarkeit: </w:t>
      </w:r>
      <w:r>
        <w:rPr>
          <w:sz w:val="19"/>
        </w:rPr>
        <w:t>Tertiärzentrumsdaten; Übertragbarkeit auf spezialisierte Versorgung in Deutschland eingeschränkt</w:t>
      </w:r>
    </w:p>
    <w:p>
      <w:r>
        <w:rPr>
          <w:color w:val="5A7D3A"/>
          <w:sz w:val="18"/>
        </w:rPr>
        <w:t>https://pubmed.ncbi.nlm.nih.gov/42838586/</w:t>
      </w:r>
    </w:p>
    <w:p>
      <w:pPr>
        <w:pStyle w:val="Heading2"/>
      </w:pPr>
      <w:r>
        <w:t>Begrenzte antivirale Therapie der chronischen Hepatitis B: Mehr HBsAg-Verlust, aber häufige Rückfälle</w:t>
      </w:r>
    </w:p>
    <w:p>
      <w:r>
        <w:rPr>
          <w:i/>
          <w:color w:val="666666"/>
          <w:sz w:val="18"/>
        </w:rPr>
        <w:t>Gomez DP et al.  ·  J Viral Hepat  ·  Nov. 2026  ·  PMID 42834661</w:t>
      </w:r>
    </w:p>
    <w:p>
      <w:r>
        <w:t>Meta-Analyse von 4 randomisierten Studien (n=357) zu endlicher versus unbegrenzter Nukleosid(t)id-Therapie bei HBeAg-negativer chronischer Hepatitis B ohne Zirrhose.</w:t>
      </w:r>
    </w:p>
    <w:p>
      <w:r>
        <w:rPr>
          <w:b/>
        </w:rPr>
        <w:t xml:space="preserve">Ergebnis: </w:t>
      </w:r>
      <w:r>
        <w:t>Therapiebeendigung erhöhte HBsAg-Verlust (RR 5,02; KI 0,47–53,47, niedrige Evidenzsicherheit), aber markant virales Rezidiv (RR 23,09) und Therapierückfall (RR 21,94). Keine hepatische Dekompensation oder schwere unerwünschte Ereignisse. Strategie für selektierte, gut überwachte Patienten in Expertenzentren.</w:t>
      </w:r>
    </w:p>
    <w:p>
      <w:r>
        <w:rPr>
          <w:b/>
          <w:sz w:val="19"/>
        </w:rPr>
        <w:t xml:space="preserve">Übertragbarkeit: </w:t>
      </w:r>
      <w:r>
        <w:rPr>
          <w:sz w:val="19"/>
        </w:rPr>
        <w:t>Internationale RCT-Daten; Übertragbarkeit auf deutsches Versicherungssystem hoch</w:t>
      </w:r>
    </w:p>
    <w:p>
      <w:r>
        <w:rPr>
          <w:color w:val="5A7D3A"/>
          <w:sz w:val="18"/>
        </w:rPr>
        <w:t>https://pubmed.ncbi.nlm.nih.gov/42834661/</w:t>
      </w:r>
    </w:p>
    <w:p>
      <w:pPr>
        <w:pStyle w:val="Heading2"/>
      </w:pPr>
      <w:r>
        <w:t>Direktwirkende Antivirale bei Hepatitis C und Leberkrebs: Hohe Heilungsraten, erhaltene Leberfunktion</w:t>
      </w:r>
    </w:p>
    <w:p>
      <w:r>
        <w:rPr>
          <w:i/>
          <w:color w:val="666666"/>
          <w:sz w:val="18"/>
        </w:rPr>
        <w:t>Sato S et al.  ·  J Viral Hepat  ·  Nov. 2026  ·  PMID 42834589</w:t>
      </w:r>
    </w:p>
    <w:p>
      <w:r>
        <w:t>Retrospektive Kohortenstudie (n=690) zu Wirksamkeit und Leberfunktion nach direktwirkender antiviraler Therapie bei Hepatitis-C-Patienten mit und ohne Leberkrebs (HCC)-Vorgeschichte.</w:t>
      </w:r>
    </w:p>
    <w:p>
      <w:r>
        <w:rPr>
          <w:b/>
        </w:rPr>
        <w:t xml:space="preserve">Ergebnis: </w:t>
      </w:r>
      <w:r>
        <w:t>Gesamte SVR12-Rate 96,1 % über alle Gruppen, unabhängig von HCC-Vorgeschichte. ALBI-Score (Leberfunktion) verbesserte sich bei kurativer HCC-Behandlung (−2,35 zu −2,58, p&lt;0,001), blieb unter nicht-kurativer Behandlung stabil. Bei HCC-Rezidiv ALBI-Score verbessert (−2,31 zu −2,57, p&lt;0,001); &gt;90 % blieben Child-Pugh A.</w:t>
      </w:r>
    </w:p>
    <w:p>
      <w:r>
        <w:rPr>
          <w:b/>
          <w:sz w:val="19"/>
        </w:rPr>
        <w:t xml:space="preserve">Übertragbarkeit: </w:t>
      </w:r>
      <w:r>
        <w:rPr>
          <w:sz w:val="19"/>
        </w:rPr>
        <w:t>Japanisches Zentrum; Leberfunktionsergebnisse international vergleichbar</w:t>
      </w:r>
    </w:p>
    <w:p>
      <w:r>
        <w:rPr>
          <w:color w:val="5A7D3A"/>
          <w:sz w:val="18"/>
        </w:rPr>
        <w:t>https://pubmed.ncbi.nlm.nih.gov/42834589/</w:t>
      </w:r>
    </w:p>
    <w:p>
      <w:pPr>
        <w:pStyle w:val="Heading2"/>
      </w:pPr>
      <w:r>
        <w:t>Lebensqualität bei chronischer Nierenkrankheit: Bildungsstand und Einkommen entscheidend</w:t>
      </w:r>
    </w:p>
    <w:p>
      <w:r>
        <w:rPr>
          <w:i/>
          <w:color w:val="666666"/>
          <w:sz w:val="18"/>
        </w:rPr>
        <w:t>Akter F et al.  ·  BMJ Open  ·  05.10.2026  ·  PMID 42833721</w:t>
      </w:r>
    </w:p>
    <w:p>
      <w:r>
        <w:t>Querschnittstudie (n=315) in Bangladesch zur Identifikation von Profilen der gesundheitsbezogenen Lebensqualität bei CKD mittels latenter Profilanalyse und deren Prädiktoren.</w:t>
      </w:r>
    </w:p>
    <w:p>
      <w:r>
        <w:rPr>
          <w:b/>
        </w:rPr>
        <w:t xml:space="preserve">Ergebnis: </w:t>
      </w:r>
      <w:r>
        <w:t>Drei Qualitäts-Profile: niedrig (20,95 %), mittel (34,29 %), hoch (44,76 %). Höheres Einkommen und Bildung senken Risiko niedriger Lebensqualität; verheiratet und weniger Komorbiditäten erhöhen Wahrscheinlichkeit hoher Lebensqualität. Signifikante Prädiktoren: Einkommen, Bildung, Familienstand, Komorbiditätenanzahl (alle p&lt;0,05).</w:t>
      </w:r>
    </w:p>
    <w:p>
      <w:r>
        <w:rPr>
          <w:b/>
          <w:sz w:val="19"/>
        </w:rPr>
        <w:t xml:space="preserve">Übertragbarkeit: </w:t>
      </w:r>
      <w:r>
        <w:rPr>
          <w:sz w:val="19"/>
        </w:rPr>
        <w:t>Low-Resource-Setting; Patient-reported Outcomes-Methodik international anwendbar</w:t>
      </w:r>
    </w:p>
    <w:p>
      <w:r>
        <w:rPr>
          <w:color w:val="5A7D3A"/>
          <w:sz w:val="18"/>
        </w:rPr>
        <w:t>https://pubmed.ncbi.nlm.nih.gov/42833721/</w:t>
      </w:r>
    </w:p>
    <w:p>
      <w:pPr>
        <w:pStyle w:val="Heading2"/>
      </w:pPr>
      <w:r>
        <w:t>Verlängerte Fastenpausen beschleunigen Multimorbidität bei älteren Erwachsenen</w:t>
      </w:r>
    </w:p>
    <w:p>
      <w:r>
        <w:rPr>
          <w:i/>
          <w:color w:val="666666"/>
          <w:sz w:val="18"/>
        </w:rPr>
        <w:t>Kalmbach L et al.  ·  J Intern Med  ·  20.08.2026  ·  PMID 42621849</w:t>
      </w:r>
    </w:p>
    <w:p>
      <w:r>
        <w:t>Längskohorte (n=2.981, ≥60 Jahre) mit 15-jähriger Nachverfolgung zum Zusammenhang zwischen habitueller Fastendauer (längste Essenspause in 24h) und Akkumulation chronischer Erkrankungen.</w:t>
      </w:r>
    </w:p>
    <w:p>
      <w:r>
        <w:rPr>
          <w:b/>
        </w:rPr>
        <w:t xml:space="preserve">Ergebnis: </w:t>
      </w:r>
      <w:r>
        <w:t>Gegenüber kürzesten Fastenpausen (6–11,5 h) zeigten längste Pausen (14–24 h) steilere jährliche Zunahme Gesamtkrankheiten (β=0,119; KI 0,070–0,167), kardiovaskuläre (0,022; KI 0,006–0,038) und neuropsychiatrische Erkrankungen (0,019; KI 0,005–0,033). Effekt nur bei ≥78 Jahren signifikant (β=0,099; KI 0,031–0,168), nicht bei &lt;78 Jahren.</w:t>
      </w:r>
    </w:p>
    <w:p>
      <w:r>
        <w:rPr>
          <w:b/>
          <w:sz w:val="19"/>
        </w:rPr>
        <w:t xml:space="preserve">Übertragbarkeit: </w:t>
      </w:r>
      <w:r>
        <w:rPr>
          <w:sz w:val="19"/>
        </w:rPr>
        <w:t>Schwedische Bevölkerungskohorte; Altersgruppen übertragbar auf deutsche Versorgung</w:t>
      </w:r>
    </w:p>
    <w:p>
      <w:r>
        <w:rPr>
          <w:color w:val="5A7D3A"/>
          <w:sz w:val="18"/>
        </w:rPr>
        <w:t>https://pubmed.ncbi.nlm.nih.gov/42621849/</w:t>
      </w:r>
    </w:p>
    <w:p>
      <w:pPr>
        <w:pStyle w:val="Heading1"/>
      </w:pPr>
      <w:r>
        <w:t>Aufgenommen am 06.10.2026</w:t>
      </w:r>
    </w:p>
    <w:p>
      <w:pPr>
        <w:pStyle w:val="Heading2"/>
      </w:pPr>
      <w:r>
        <w:t>Hausarztpraxen für Flüchtlinge mit Hepatitis B besser geeignet als Spezialkliniken</w:t>
      </w:r>
    </w:p>
    <w:p>
      <w:r>
        <w:rPr>
          <w:i/>
          <w:color w:val="666666"/>
          <w:sz w:val="18"/>
        </w:rPr>
        <w:t>Fakhouri A et al.  ·  Aust J Prim Health  ·  20.10.2026  ·  PMID 42833621</w:t>
      </w:r>
    </w:p>
    <w:p>
      <w:r>
        <w:t>Qualitative australische Studie (15 semi-strukturierte Interviews): Erkundung, wie Hausarztpraxen für Flüchtlinge chronische Hepatitis-B-Versorgung gestalten und wo Verbesserungen nötig sind.</w:t>
      </w:r>
    </w:p>
    <w:p>
      <w:r>
        <w:rPr>
          <w:b/>
        </w:rPr>
        <w:t xml:space="preserve">Ergebnis: </w:t>
      </w:r>
      <w:r>
        <w:t>Hausarztpraxen bieten Vorteile: Comunity-Integration, Rapport, Dolmetscher-Services. Barrieren sind Gesundheitskompetenz und Kosten. Empfehlung: Finanzierung und Schulung von Hausarztpraxen zur HBV-Versorgung würden bessere Ergebnisse für vulnerable Bevölkerung bringen.</w:t>
      </w:r>
    </w:p>
    <w:p>
      <w:r>
        <w:rPr>
          <w:b/>
          <w:sz w:val="19"/>
        </w:rPr>
        <w:t xml:space="preserve">Übertragbarkeit: </w:t>
      </w:r>
      <w:r>
        <w:rPr>
          <w:sz w:val="19"/>
        </w:rPr>
        <w:t>Australien - hohes Einkommen, andere Struktur, aber Ungleichheitsfrage universell</w:t>
      </w:r>
    </w:p>
    <w:p>
      <w:r>
        <w:rPr>
          <w:color w:val="5A7D3A"/>
          <w:sz w:val="18"/>
        </w:rPr>
        <w:t>https://pubmed.ncbi.nlm.nih.gov/42833621/</w:t>
      </w:r>
    </w:p>
    <w:p>
      <w:pPr>
        <w:pStyle w:val="Heading2"/>
      </w:pPr>
      <w:r>
        <w:t>Ein Viertel der COPD-Patienten hat Exazerbationen trotz Doppel- oder Tripeltherapie</w:t>
      </w:r>
    </w:p>
    <w:p>
      <w:r>
        <w:rPr>
          <w:i/>
          <w:color w:val="666666"/>
          <w:sz w:val="18"/>
        </w:rPr>
        <w:t>Radovanovic D et al.  ·  Int J Chron Obstruct Pulmon Dis  ·  30.09.2026  ·  PMID 42831088</w:t>
      </w:r>
    </w:p>
    <w:p>
      <w:r>
        <w:t>Italienische GULP-Kohorte (1.111 COPD-Patienten): Exploratorische Analyse zur Häufigkeit anhaltender Symptome unter optimaler Erhaltungstherapie und Identifikation von Kandidaten für Biologika.</w:t>
      </w:r>
    </w:p>
    <w:p>
      <w:r>
        <w:rPr>
          <w:b/>
        </w:rPr>
        <w:t xml:space="preserve">Ergebnis: </w:t>
      </w:r>
      <w:r>
        <w:t>Von 1.111 Patienten hatten 286 (25,7%) ≥2 moderate oder ≥1 schwere Exazerbation/Jahr trotz Doppel- oder Tripeltherapie. Davon zeigten 51–75% hohe Symptombelastung (Dyspnoe, Husten, Sputum), nur 7,2% eosinophile COPD. Dupilumab in Italien für eosinophile exazerbierende COPD zugelassen.</w:t>
      </w:r>
    </w:p>
    <w:p>
      <w:r>
        <w:rPr>
          <w:b/>
          <w:sz w:val="19"/>
        </w:rPr>
        <w:t xml:space="preserve">Übertragbarkeit: </w:t>
      </w:r>
      <w:r>
        <w:rPr>
          <w:sz w:val="19"/>
        </w:rPr>
        <w:t>Italien, europäisches Sozialversicherungssystem, vergleichbare DMP-Struktur</w:t>
      </w:r>
    </w:p>
    <w:p>
      <w:r>
        <w:rPr>
          <w:color w:val="5A7D3A"/>
          <w:sz w:val="18"/>
        </w:rPr>
        <w:t>https://pubmed.ncbi.nlm.nih.gov/42831088/</w:t>
      </w:r>
    </w:p>
    <w:p>
      <w:pPr>
        <w:pStyle w:val="Heading2"/>
      </w:pPr>
      <w:r>
        <w:t>Schwere Fettleber assoziiert mit Fibrose bei chronischer Hepatitis B in Afrika</w:t>
      </w:r>
    </w:p>
    <w:p>
      <w:r>
        <w:rPr>
          <w:i/>
          <w:color w:val="666666"/>
          <w:sz w:val="18"/>
        </w:rPr>
        <w:t>Chabala FW et al.  ·  J Viral Hepat  ·  Nov. 2026  ·  PMID 42830592</w:t>
      </w:r>
    </w:p>
    <w:p>
      <w:r>
        <w:t>Multiländer-Studie (HEPSANET) mit 1.601 CHB-Patienten in sechs afrikanischen Ländern: Transiente Elastographie zeigte, dass schwere Steatose unabhängig mit erhöhtem Fibrose-Risiko verbunden war.</w:t>
      </w:r>
    </w:p>
    <w:p>
      <w:r>
        <w:rPr>
          <w:b/>
        </w:rPr>
        <w:t xml:space="preserve">Ergebnis: </w:t>
      </w:r>
      <w:r>
        <w:t>Schwere Steatose (CAP ≥280 dB/m) war mit 8,4% erhöhter Fibrose-Wahrscheinlichkeit assoziiert (95%-KI 1,9-14,9%). Milde und moderate Steatose zeigten diese Assoziation nicht. Prävalenz von Fettleber: 26,3%, davon 13,7% schwer.</w:t>
      </w:r>
    </w:p>
    <w:p>
      <w:r>
        <w:rPr>
          <w:b/>
          <w:sz w:val="19"/>
        </w:rPr>
        <w:t xml:space="preserve">Übertragbarkeit: </w:t>
      </w:r>
      <w:r>
        <w:rPr>
          <w:sz w:val="19"/>
        </w:rPr>
        <w:t>Afrika, andere Soziostruktur - Screening-Implikation übertragbar</w:t>
      </w:r>
    </w:p>
    <w:p>
      <w:r>
        <w:rPr>
          <w:color w:val="5A7D3A"/>
          <w:sz w:val="18"/>
        </w:rPr>
        <w:t>https://pubmed.ncbi.nlm.nih.gov/42830592/</w:t>
      </w:r>
    </w:p>
    <w:p>
      <w:pPr>
        <w:pStyle w:val="Heading2"/>
      </w:pPr>
      <w:r>
        <w:t>Bewegung reduzierte Mortalität und Leberversagen bei chronischer Hepatitis B um 11 Prozent</w:t>
      </w:r>
    </w:p>
    <w:p>
      <w:r>
        <w:rPr>
          <w:i/>
          <w:color w:val="666666"/>
          <w:sz w:val="18"/>
        </w:rPr>
        <w:t>Song BG et al.  ·  J Viral Hepat  ·  Nov. 2026  ·  PMID 42830566</w:t>
      </w:r>
    </w:p>
    <w:p>
      <w:r>
        <w:t>Südkoreanische Kohortenstudie mit 318.131 CHB-Patienten: Wer körperliche Aktivität aufnahm, hatte niedrigere Risiken für Tod und Komplikationen als körperlich Inaktive.</w:t>
      </w:r>
    </w:p>
    <w:p>
      <w:r>
        <w:rPr>
          <w:b/>
        </w:rPr>
        <w:t xml:space="preserve">Ergebnis: </w:t>
      </w:r>
      <w:r>
        <w:t>Hazard Ratio für Mortalität 0,89 (95%-KI 0,84-0,94) bei Aufnahme von Ausdaueraktivität; für Leberversagen subdistribution HR 0,94 (95%-KI 0,92-0,97) über 7,9 Jahre Nachfolge. Der Effekt war stärker in älteren, weiblichen und nicht-rauchenden Patienten.</w:t>
      </w:r>
    </w:p>
    <w:p>
      <w:r>
        <w:rPr>
          <w:b/>
          <w:sz w:val="19"/>
        </w:rPr>
        <w:t xml:space="preserve">Übertragbarkeit: </w:t>
      </w:r>
      <w:r>
        <w:rPr>
          <w:sz w:val="19"/>
        </w:rPr>
        <w:t>Südkorea - vergleichbares Gesundheitssystem, Versicherungsdaten hochwertig</w:t>
      </w:r>
    </w:p>
    <w:p>
      <w:r>
        <w:rPr>
          <w:color w:val="5A7D3A"/>
          <w:sz w:val="18"/>
        </w:rPr>
        <w:t>https://pubmed.ncbi.nlm.nih.gov/42830566/</w:t>
      </w:r>
    </w:p>
    <w:p>
      <w:pPr>
        <w:pStyle w:val="Heading2"/>
      </w:pPr>
      <w:r>
        <w:t>Chronische Erkrankungen bei Kindern: Register unterschätzen Prävalenz um mindestens 10 Prozent</w:t>
      </w:r>
    </w:p>
    <w:p>
      <w:r>
        <w:rPr>
          <w:i/>
          <w:color w:val="666666"/>
          <w:sz w:val="18"/>
        </w:rPr>
        <w:t>Andersen A et al.  ·  Eur J Pediatr  ·  03.10.2026  ·  PMID 42828548</w:t>
      </w:r>
    </w:p>
    <w:p>
      <w:r>
        <w:t>Dänische Studie: Verglich nationale Register mit Selbstberichten auf Prävalenz chronischer Erkrankungen bei Kindern und Jugendlichen; Registerbasierte Methode erfasst nur einen Teil.</w:t>
      </w:r>
    </w:p>
    <w:p>
      <w:r>
        <w:rPr>
          <w:b/>
        </w:rPr>
        <w:t xml:space="preserve">Ergebnis: </w:t>
      </w:r>
      <w:r>
        <w:t>Register zeigten Prävalenz 9,3–22,0% je nach Alter und Geschlecht; Selbstberichte 28,4–34,2%. 14,6–15,3% der Jugendlichen mit selbstberichteter chronischer Erkrankung waren im Alltag beeinträchtigt – im Register nicht sichtbar.</w:t>
      </w:r>
    </w:p>
    <w:p>
      <w:r>
        <w:rPr>
          <w:b/>
          <w:sz w:val="19"/>
        </w:rPr>
        <w:t xml:space="preserve">Übertragbarkeit: </w:t>
      </w:r>
      <w:r>
        <w:rPr>
          <w:sz w:val="19"/>
        </w:rPr>
        <w:t>Dänemark - skandinavisches System, enge Datenbankqualität wie in Deutschland, Methodenfrage universal</w:t>
      </w:r>
    </w:p>
    <w:p>
      <w:r>
        <w:rPr>
          <w:color w:val="5A7D3A"/>
          <w:sz w:val="18"/>
        </w:rPr>
        <w:t>https://pubmed.ncbi.nlm.nih.gov/42828548/</w:t>
      </w:r>
    </w:p>
    <w:p>
      <w:pPr>
        <w:pStyle w:val="Heading2"/>
      </w:pPr>
      <w:r>
        <w:t>Biologika spielen zentrale Rolle in schwerem Asthma, COPD-Klassifikation vereinfacht</w:t>
      </w:r>
    </w:p>
    <w:p>
      <w:r>
        <w:rPr>
          <w:i/>
          <w:color w:val="666666"/>
          <w:sz w:val="18"/>
        </w:rPr>
        <w:t>Salah Manoh JL et al.  ·  Rev Med Suisse  ·  23.09.2026  ·  PMID 42779315</w:t>
      </w:r>
    </w:p>
    <w:p>
      <w:r>
        <w:t>Schweizer Reviewartikel (nicht empirisch): Aktuelle GOLD- und globale Guidelines zur COPD und Asthma – Vereinfachung der COPD-Stratifizierung, erweiterte Rolle von Biologika, geänderte Exazerbationsdefinition.</w:t>
      </w:r>
    </w:p>
    <w:p>
      <w:r>
        <w:rPr>
          <w:b/>
        </w:rPr>
        <w:t xml:space="preserve">Ergebnis: </w:t>
      </w:r>
      <w:r>
        <w:t>COPD wird nun in nur 3 Gruppen eingeteilt (A, B, E); eine einzelne moderate Exazerbation reicht für Hochrisiko-Kategorie E. Asthma: Biologika zentral in schwerer Form, Salbutamol-Monotherapie nicht mehr empfohlen.</w:t>
      </w:r>
    </w:p>
    <w:p>
      <w:r>
        <w:rPr>
          <w:b/>
          <w:sz w:val="19"/>
        </w:rPr>
        <w:t xml:space="preserve">Übertragbarkeit: </w:t>
      </w:r>
      <w:r>
        <w:rPr>
          <w:sz w:val="19"/>
        </w:rPr>
        <w:t>Schweiz, vergleichbares Versicherungssystem, Leitlinien gelten auch in Deutschland</w:t>
      </w:r>
    </w:p>
    <w:p>
      <w:r>
        <w:rPr>
          <w:color w:val="5A7D3A"/>
          <w:sz w:val="18"/>
        </w:rPr>
        <w:t>https://pubmed.ncbi.nlm.nih.gov/42779315/</w:t>
      </w:r>
    </w:p>
    <w:p>
      <w:pPr>
        <w:pStyle w:val="Heading1"/>
      </w:pPr>
      <w:r>
        <w:t>Aufgenommen am 05.10.2026</w:t>
      </w:r>
    </w:p>
    <w:p>
      <w:pPr>
        <w:pStyle w:val="Heading2"/>
      </w:pPr>
      <w:r>
        <w:t>Glucose Disposal Rate assoziiert mit chronischer Nierenkrankheit bei älteren Diabetikern</w:t>
      </w:r>
    </w:p>
    <w:p>
      <w:r>
        <w:rPr>
          <w:i/>
          <w:color w:val="666666"/>
          <w:sz w:val="18"/>
        </w:rPr>
        <w:t>Chen X et al.  ·  Clin Interv Aging  ·  28.09.2026  ·  PMID 42829537</w:t>
      </w:r>
    </w:p>
    <w:p>
      <w:r>
        <w:t>Querschnittsstudie mit 713 älteren (≥60 J.) Typ-2-Diabetes-Patienten aus Zhejiang, China; CKD nach eGFR oder UACR definiert.</w:t>
      </w:r>
    </w:p>
    <w:p>
      <w:r>
        <w:rPr>
          <w:b/>
        </w:rPr>
        <w:t xml:space="preserve">Ergebnis: </w:t>
      </w:r>
      <w:r>
        <w:t>Pro 1-Unit eGDR-Anstieg: OR 0,78 (95%-KI 0,70–0,86) für CKD. Höchstes vs. niedrigstes Tertil: OR 0,31 (95%-KI 0,20–0,48). Linear inverse Beziehung (RCS p&gt;0,05). eGDR inversiv mit UACR (ρ=−0,277, p&lt;0,001), nicht mit eGFR. AUC 0,65 – Diskriminationsfähigkeit bescheiden; prospektive Studien nötig.</w:t>
      </w:r>
    </w:p>
    <w:p>
      <w:r>
        <w:rPr>
          <w:b/>
          <w:sz w:val="19"/>
        </w:rPr>
        <w:t xml:space="preserve">Übertragbarkeit: </w:t>
      </w:r>
      <w:r>
        <w:rPr>
          <w:sz w:val="19"/>
        </w:rPr>
        <w:t>China – Mechanismus für deutsches DMP-System bedingt übertragbar</w:t>
      </w:r>
    </w:p>
    <w:p>
      <w:r>
        <w:rPr>
          <w:color w:val="5A7D3A"/>
          <w:sz w:val="18"/>
        </w:rPr>
        <w:t>https://pubmed.ncbi.nlm.nih.gov/42829537/</w:t>
      </w:r>
    </w:p>
    <w:p>
      <w:pPr>
        <w:pStyle w:val="Heading2"/>
      </w:pPr>
      <w:r>
        <w:t>COPD erhöht Sturz- und Osteoporoserisiko deutlich</w:t>
      </w:r>
    </w:p>
    <w:p>
      <w:r>
        <w:rPr>
          <w:i/>
          <w:color w:val="666666"/>
          <w:sz w:val="18"/>
        </w:rPr>
        <w:t>Liu P et al.  ·  Int J Chron Obstruct Pulmon Dis  ·  28.09.2026  ·  PMID 42827947</w:t>
      </w:r>
    </w:p>
    <w:p>
      <w:r>
        <w:t>Kohortenstudie mit 474.669 UK-Biobank-Teilnehmern untersuchte die Assoziation von COPD mit Stürzen und Osteoporose über 12 Jahre.</w:t>
      </w:r>
    </w:p>
    <w:p>
      <w:r>
        <w:rPr>
          <w:b/>
        </w:rPr>
        <w:t xml:space="preserve">Ergebnis: </w:t>
      </w:r>
      <w:r>
        <w:t>COPD war assoziiert mit höherem Sturzrisiko (HR 1,51; 95%-KI 1,45–1,58) und Osteoporoserisiko (HR 2,37; 95%-KI 2,22–2,53). Rauchen modifizierte die Sturzassoziation (aktuelle Raucher HR 1,77 vs. Niemals-Raucher HR 1,37). Die Befunde zeigen bedeutsame Mehrfacherkrankungen bei COPD.</w:t>
      </w:r>
    </w:p>
    <w:p>
      <w:r>
        <w:rPr>
          <w:b/>
          <w:sz w:val="19"/>
        </w:rPr>
        <w:t xml:space="preserve">Übertragbarkeit: </w:t>
      </w:r>
      <w:r>
        <w:rPr>
          <w:sz w:val="19"/>
        </w:rPr>
        <w:t>UK-Biobank mit vergleichbar strukturiertem Gesundheitssystem</w:t>
      </w:r>
    </w:p>
    <w:p>
      <w:r>
        <w:rPr>
          <w:color w:val="5A7D3A"/>
          <w:sz w:val="18"/>
        </w:rPr>
        <w:t>https://pubmed.ncbi.nlm.nih.gov/42827947/</w:t>
      </w:r>
    </w:p>
    <w:p>
      <w:pPr>
        <w:pStyle w:val="Heading2"/>
      </w:pPr>
      <w:r>
        <w:t>SGLT2-Inhibitoren bei Diabetes mit chronischer Nierenkrankheit: Meta-Analyse</w:t>
      </w:r>
    </w:p>
    <w:p>
      <w:r>
        <w:rPr>
          <w:i/>
          <w:color w:val="666666"/>
          <w:sz w:val="18"/>
        </w:rPr>
        <w:t>Shi X et al.  ·  Medicine (Baltimore)  ·  02.10.2026  ·  PMID 42826278</w:t>
      </w:r>
    </w:p>
    <w:p>
      <w:r>
        <w:t>Systematische Übersicht und Meta-Analyse von 17 RCTs mit 29.192 Patienten mit Diabetes und CKD zur Wirksamkeit von SGLT2-Inhibitoren.</w:t>
      </w:r>
    </w:p>
    <w:p>
      <w:r>
        <w:rPr>
          <w:b/>
        </w:rPr>
        <w:t xml:space="preserve">Ergebnis: </w:t>
      </w:r>
      <w:r>
        <w:t>SGLT2-Inhibitoren reduzierten HbA1c (−0,40 %), Körpergewicht (−1,36 kg) und Blutdruck (−2,98 mmHg systolisch); eGFR und Albuminurie neutral kurzfristig (p&gt;0,05). Volumendepletion-Ereignisse erhöht (RR 1,36; 95%-KI 1,16–1,59). Kardiorenal-protektive Effekte langfristig dokumentiert, Monitoring essentiell.</w:t>
      </w:r>
    </w:p>
    <w:p>
      <w:r>
        <w:rPr>
          <w:b/>
          <w:sz w:val="19"/>
        </w:rPr>
        <w:t xml:space="preserve">Übertragbarkeit: </w:t>
      </w:r>
      <w:r>
        <w:rPr>
          <w:sz w:val="19"/>
        </w:rPr>
        <w:t>Europäische und deutsche Registerstudien zur SGLT2-Anwendung vorhanden</w:t>
      </w:r>
    </w:p>
    <w:p>
      <w:r>
        <w:rPr>
          <w:color w:val="5A7D3A"/>
          <w:sz w:val="18"/>
        </w:rPr>
        <w:t>https://pubmed.ncbi.nlm.nih.gov/42826278/</w:t>
      </w:r>
    </w:p>
    <w:p>
      <w:pPr>
        <w:pStyle w:val="Heading2"/>
      </w:pPr>
      <w:r>
        <w:t>SIRI-Index prognostiziert Mortalität bei COPD-Exazerbation</w:t>
      </w:r>
    </w:p>
    <w:p>
      <w:r>
        <w:rPr>
          <w:i/>
          <w:color w:val="666666"/>
          <w:sz w:val="18"/>
        </w:rPr>
        <w:t>Bai Y  ·  Medicine (Baltimore)  ·  02.10.2026  ·  PMID 42826271</w:t>
      </w:r>
    </w:p>
    <w:p>
      <w:r>
        <w:t>Retrospektive Kohortenanalyse aus MIMIC-III-Datenbank: 426 AECOPD-Patienten; 30-Tage-Mortalität 26,6 %.</w:t>
      </w:r>
    </w:p>
    <w:p>
      <w:r>
        <w:rPr>
          <w:b/>
        </w:rPr>
        <w:t xml:space="preserve">Ergebnis: </w:t>
      </w:r>
      <w:r>
        <w:t>SIRI (Systemische Inflammations-Response-Index) war unabhängiger Risikofaktor für 30-Tage-Mortalität (HR 1,743; 95%-KI 1,169–2,598; p=0,006). Optimaler Schwellwert 10,56 × 10⁹/L. AUC 0,612 besser als WBC/Neutrophile (0,584/0,557), ähnlich SOFA (0,619). SIRI könnte Triage und Prognose in der Akutversorgung lenken.</w:t>
      </w:r>
    </w:p>
    <w:p>
      <w:r>
        <w:rPr>
          <w:b/>
          <w:sz w:val="19"/>
        </w:rPr>
        <w:t xml:space="preserve">Übertragbarkeit: </w:t>
      </w:r>
      <w:r>
        <w:rPr>
          <w:sz w:val="19"/>
        </w:rPr>
        <w:t>Intensivmedizinische Datenbanken in Deutschland ähnlich verfügbar</w:t>
      </w:r>
    </w:p>
    <w:p>
      <w:r>
        <w:rPr>
          <w:color w:val="5A7D3A"/>
          <w:sz w:val="18"/>
        </w:rPr>
        <w:t>https://pubmed.ncbi.nlm.nih.gov/42826271/</w:t>
      </w:r>
    </w:p>
    <w:p>
      <w:pPr>
        <w:pStyle w:val="Heading2"/>
      </w:pPr>
      <w:r>
        <w:t>Nebulisiertes Furosemid plus Bronchodilatatoren senkt Symptome und Entzündung bei COPD-Exazerbation</w:t>
      </w:r>
    </w:p>
    <w:p>
      <w:r>
        <w:rPr>
          <w:i/>
          <w:color w:val="666666"/>
          <w:sz w:val="18"/>
        </w:rPr>
        <w:t>Behi M et al.  ·  Iran J Allergy Asthma Immunol  ·  12.08.2026  ·  PMID 42825900</w:t>
      </w:r>
    </w:p>
    <w:p>
      <w:r>
        <w:t>Randomisierte kontrollierte Studie mit 92 hospitalisierten COPD-Exazerbationspatienten verglich Salbutamol-Ipratropium allein versus mit Furosemid (20 mg).</w:t>
      </w:r>
    </w:p>
    <w:p>
      <w:r>
        <w:rPr>
          <w:b/>
        </w:rPr>
        <w:t xml:space="preserve">Ergebnis: </w:t>
      </w:r>
      <w:r>
        <w:t>Interventionsgruppe zeigte signifikante Verbesserungen: mMRC- und CAT-Scores abgesunken, FEV₁/FVC-Ratio erhöht, IL-6 und IL-8 abgesunken (p&lt;0,05), höhere PaO₂ und niedrigere PaCO₂. Keine Nebenwirkungen berichtet. Adjuvante Therapie verbesserte Lungenfunktion und reduzierte Systementzündung.</w:t>
      </w:r>
    </w:p>
    <w:p>
      <w:r>
        <w:rPr>
          <w:b/>
          <w:sz w:val="19"/>
        </w:rPr>
        <w:t xml:space="preserve">Übertragbarkeit: </w:t>
      </w:r>
      <w:r>
        <w:rPr>
          <w:sz w:val="19"/>
        </w:rPr>
        <w:t>Iran – Machbarkeit für strukturierte Inhalationstherapieprogramme prüfen</w:t>
      </w:r>
    </w:p>
    <w:p>
      <w:r>
        <w:rPr>
          <w:color w:val="5A7D3A"/>
          <w:sz w:val="18"/>
        </w:rPr>
        <w:t>https://pubmed.ncbi.nlm.nih.gov/42825900/</w:t>
      </w:r>
    </w:p>
    <w:p>
      <w:pPr>
        <w:pStyle w:val="Heading2"/>
      </w:pPr>
      <w:r>
        <w:t>Unreife Neutrophilen und erhöhte Myeloperoxidase bei CKD mit kardiovaskulären Komorbiditäten</w:t>
      </w:r>
    </w:p>
    <w:p>
      <w:r>
        <w:rPr>
          <w:i/>
          <w:color w:val="666666"/>
          <w:sz w:val="18"/>
        </w:rPr>
        <w:t>Vondenhoff S et al.  ·  Acta Physiol (Oxf)  ·  Sept. 2026  ·  PMID 42613304</w:t>
      </w:r>
    </w:p>
    <w:p>
      <w:r>
        <w:t>Vergleichende Flow-Cytometrie-Studie an zwei unabhängigen Kohorten männlicher CKD-Patienten (moderat bis fortgeschritten) versus gesunde Kontrollen.</w:t>
      </w:r>
    </w:p>
    <w:p>
      <w:r>
        <w:rPr>
          <w:b/>
        </w:rPr>
        <w:t xml:space="preserve">Ergebnis: </w:t>
      </w:r>
      <w:r>
        <w:t>CKD-Patienten zeigten reduzierte CD10-Expression auf Neutrophilen und erhöhte Plasma-Myeloperoxidase unabhängig von Entzündungsgrad oder NT-proBNP (p&lt;0,001). Unreife Neutrophilen-Phänotyp war kardiorenal-übergreifend konsistent, könnte zum erhöhten kardiovaskulären Risiko beitragen.</w:t>
      </w:r>
    </w:p>
    <w:p>
      <w:r>
        <w:rPr>
          <w:b/>
          <w:sz w:val="19"/>
        </w:rPr>
        <w:t xml:space="preserve">Übertragbarkeit: </w:t>
      </w:r>
      <w:r>
        <w:rPr>
          <w:sz w:val="19"/>
        </w:rPr>
        <w:t>Deutsche Krankenhaus-Daten zur Neutrophilen-Phenotypisierung verfügbar</w:t>
      </w:r>
    </w:p>
    <w:p>
      <w:r>
        <w:rPr>
          <w:color w:val="5A7D3A"/>
          <w:sz w:val="18"/>
        </w:rPr>
        <w:t>https://pubmed.ncbi.nlm.nih.gov/42613304/</w:t>
      </w:r>
    </w:p>
    <w:p>
      <w:pPr>
        <w:pStyle w:val="Heading1"/>
      </w:pPr>
      <w:r>
        <w:t>Aufgenommen am 04.10.2026</w:t>
      </w:r>
    </w:p>
    <w:p>
      <w:pPr>
        <w:pStyle w:val="Heading2"/>
      </w:pPr>
      <w:r>
        <w:t>Integriertes NCD-Screening in HIV- und COVID-Kliniken verbessert Früherkennung um 74 %</w:t>
      </w:r>
    </w:p>
    <w:p>
      <w:r>
        <w:rPr>
          <w:i/>
          <w:color w:val="666666"/>
          <w:sz w:val="18"/>
        </w:rPr>
        <w:t>Jithoo N et al.  ·  Front Public Health  ·  17.09.2026  ·  PMID 42824930</w:t>
      </w:r>
    </w:p>
    <w:p>
      <w:r>
        <w:t>Südafrika: Pilotprojekt zur Integration von Screening auf chronische Erkrankungen (Nierenerkrankung, Übergewicht, Dyslipidämie) in bestehende HIV- und COVID-19-Impfkliniken bei 461 Teilnehmern; Prävalenz neuer Diagnosen und Versorgungsgaps untersucht.</w:t>
      </w:r>
    </w:p>
    <w:p>
      <w:r>
        <w:rPr>
          <w:b/>
        </w:rPr>
        <w:t xml:space="preserve">Ergebnis: </w:t>
      </w:r>
      <w:r>
        <w:t>73,9 % der Teilnehmer erhielten neue NCD-Diagnosen: Nierenerkrankung (31,7 %), Adipositas (28,9 %), Dyslipidämie (25,8 %). Modifizierbare kardiovaskuläre Risikofaktoren waren weit verbreitet: Adipositas (63,9 %), Alkoholkonsum (50 %). Integriertes Screening erwies sich als machbar und bot Gelegenheit für frühe Intervention.</w:t>
      </w:r>
    </w:p>
    <w:p>
      <w:r>
        <w:rPr>
          <w:b/>
          <w:sz w:val="19"/>
        </w:rPr>
        <w:t xml:space="preserve">Übertragbarkeit: </w:t>
      </w:r>
      <w:r>
        <w:rPr>
          <w:sz w:val="19"/>
        </w:rPr>
        <w:t>Ressourcenbegrenzte Länder, ähnliche Gesundheitssystem-Herausforderungen wie LMIC</w:t>
      </w:r>
    </w:p>
    <w:p>
      <w:r>
        <w:rPr>
          <w:color w:val="5A7D3A"/>
          <w:sz w:val="18"/>
        </w:rPr>
        <w:t>https://pubmed.ncbi.nlm.nih.gov/42824930/</w:t>
      </w:r>
    </w:p>
    <w:p>
      <w:pPr>
        <w:pStyle w:val="Heading2"/>
      </w:pPr>
      <w:r>
        <w:t>Untergewicht vorhersagt Nierenerkrankung bei Typ-2-Diabetes besser als Adipositas</w:t>
      </w:r>
    </w:p>
    <w:p>
      <w:r>
        <w:rPr>
          <w:i/>
          <w:color w:val="666666"/>
          <w:sz w:val="18"/>
        </w:rPr>
        <w:t>Chung SM et al.  ·  Front Endocrinol (Lausanne)  ·  17.09.2026  ·  PMID 42823990</w:t>
      </w:r>
    </w:p>
    <w:p>
      <w:r>
        <w:t>Südkorea: Nationale Kohortenstudie (1.824.317 Erwachsene ≥40 Jahre mit Typ-2-Diabetes): Assoziation zwischen BMI, Taillenumfang und Inzidenz von Nierenerkrankung (definiert nach altersgerechten eGFR-Schwellwerten) über 4 Jahre Follow-up, stratifiziert nach Alter und Geschlecht.</w:t>
      </w:r>
    </w:p>
    <w:p>
      <w:r>
        <w:rPr>
          <w:b/>
        </w:rPr>
        <w:t xml:space="preserve">Ergebnis: </w:t>
      </w:r>
      <w:r>
        <w:t>CKD-Inzidenz: 2,8 % (Untergewicht), 2,3 % (keine Adipositas), 2,9 % (Übergewicht). Untergewicht mit höherem CKD-Risiko als Übergewicht assoziiert (OR 1,41 [95%-KI 1,29–1,54] vs. OR 1,03 [1,01–1,05]). Alters-/Geschlechts-stratifiziert: Untergewicht durchgängig erhöhtes Risiko, bes. mittelalte Männer; Übergewicht nur bei Frauen mit erhöhtem Risiko. Befund erklärt bisherige Inkonsistenzen in Adipositas-CKD-Assoziationen.</w:t>
      </w:r>
    </w:p>
    <w:p>
      <w:r>
        <w:rPr>
          <w:b/>
          <w:sz w:val="19"/>
        </w:rPr>
        <w:t xml:space="preserve">Übertragbarkeit: </w:t>
      </w:r>
      <w:r>
        <w:rPr>
          <w:sz w:val="19"/>
        </w:rPr>
        <w:t>Südkorea, großes Register; Adipositas-Paradoxon relevant für stratifizierte Prävention, aber regionales Modell unklar</w:t>
      </w:r>
    </w:p>
    <w:p>
      <w:r>
        <w:rPr>
          <w:color w:val="5A7D3A"/>
          <w:sz w:val="18"/>
        </w:rPr>
        <w:t>https://pubmed.ncbi.nlm.nih.gov/42823990/</w:t>
      </w:r>
    </w:p>
    <w:p>
      <w:pPr>
        <w:pStyle w:val="Heading2"/>
      </w:pPr>
      <w:r>
        <w:t>Klinische Phänotypisierung identifiziert Hochrisiko-COPD-Patienten mit raschem FEV1-Verlust</w:t>
      </w:r>
    </w:p>
    <w:p>
      <w:r>
        <w:rPr>
          <w:i/>
          <w:color w:val="666666"/>
          <w:sz w:val="18"/>
        </w:rPr>
        <w:t>Yang Z et al.  ·  Ann Med  ·  01.10.2026  ·  PMID 42817919</w:t>
      </w:r>
    </w:p>
    <w:p>
      <w:r>
        <w:t>Chinesische Kohortenstudie (38.863 COPD-Patienten, 1.215 mit Verlaufsparametern): Latent-Class-Analyse zur Identifikation klinischer Phänotypen; Machine Learning-Modell zur Vorhersage raschen Lungenfunktionsabbaus (FEV1-Abfall ≥40 mL/Jahr oder &gt;1,5% predicted).</w:t>
      </w:r>
    </w:p>
    <w:p>
      <w:r>
        <w:rPr>
          <w:b/>
        </w:rPr>
        <w:t xml:space="preserve">Ergebnis: </w:t>
      </w:r>
      <w:r>
        <w:t>Drei Phänotypen identifiziert: Phänotyp 1 (25,8 %, GOLD Stadium 2, nicht-rauchende Frauen), Phänotyp 2 (44,8 %, GOLD Stadium 1, rauchende Männer), Phänotyp 3 (29,4 %, GOLD Stadium 3, intensive Raucher). Phänotyp 2 zeigte höchste Verfall-Rate (55,8 %). Das CatBoost-Modell erreichte AUC 0,712; bei Schwellenwert 0,365: Sensitivität 95,5 %, negativer Vorhersagewert 86,4 %. Sechs einfache Prädiktoren: Region, Brennstofftyp, Einkommensstufe, Pfeifen, Hüftumfang, Basis-FEV1.</w:t>
      </w:r>
    </w:p>
    <w:p>
      <w:r>
        <w:rPr>
          <w:b/>
          <w:sz w:val="19"/>
        </w:rPr>
        <w:t xml:space="preserve">Übertragbarkeit: </w:t>
      </w:r>
      <w:r>
        <w:rPr>
          <w:sz w:val="19"/>
        </w:rPr>
        <w:t>China, großes Register; Phänotypisierung für Zielgruppendefinition relevant, Übertragbarkeit auf deutsche Phänotypen unklar</w:t>
      </w:r>
    </w:p>
    <w:p>
      <w:r>
        <w:rPr>
          <w:color w:val="5A7D3A"/>
          <w:sz w:val="18"/>
        </w:rPr>
        <w:t>https://pubmed.ncbi.nlm.nih.gov/42817919/</w:t>
      </w:r>
    </w:p>
    <w:p>
      <w:pPr>
        <w:pStyle w:val="Heading2"/>
      </w:pPr>
      <w:r>
        <w:t>Leitliniengerechte Antibiotika senken 30-Tage-Komplikationen bei COPD-Exazerbationen</w:t>
      </w:r>
    </w:p>
    <w:p>
      <w:r>
        <w:rPr>
          <w:i/>
          <w:color w:val="666666"/>
          <w:sz w:val="18"/>
        </w:rPr>
        <w:t>Perales-Muñoz R et al.  ·  Rev Esp Quimioter  ·  21.09.2026  ·  PMID 42768888</w:t>
      </w:r>
    </w:p>
    <w:p>
      <w:r>
        <w:t>Spanische Notaufnahme-Registerstudie an 4.136 COPD-Exazerbations-Episoden: Antibiotika-Auswahl nach nationalen Empfehlungen vs. Fehlauswahl und deren Assoziation mit Mortalität, Rehospitalisierung, Rezidiiv und Notfall-Revisiten.</w:t>
      </w:r>
    </w:p>
    <w:p>
      <w:r>
        <w:rPr>
          <w:b/>
        </w:rPr>
        <w:t xml:space="preserve">Ergebnis: </w:t>
      </w:r>
      <w:r>
        <w:t>Von 1.736 Patienten mit Entlassung aus der Notaufnahme erhielten 987 (56,9 %) Antibiotika; 158 (16,0 %) bekamen inadäquate Therapie. Inadäquate Behandlung korrelierte mit höherer 30-Tage-Morbidität (20,9 % vs. 13,3 %, p=0,019). In der multivariablen Analyse war leitliniengerechte Therapie der einzige modifizierbare Faktor mit signifikant reduziertem Ereignisrisiko (adjustierte RR 0,59; 95%-KI 0,41–0,85; p=0,004). Zugleich waren vorherige Exazerbationen (RR 1,80) und mittelschwere Exazerbationen (RR 1,52) mit höherem Risiko assoziiert.</w:t>
      </w:r>
    </w:p>
    <w:p>
      <w:r>
        <w:rPr>
          <w:b/>
          <w:sz w:val="19"/>
        </w:rPr>
        <w:t xml:space="preserve">Übertragbarkeit: </w:t>
      </w:r>
      <w:r>
        <w:rPr>
          <w:sz w:val="19"/>
        </w:rPr>
        <w:t>Spanische Notaufnahmedaten, vergleichbare Behandlungsprotokolle europäischer Systeme</w:t>
      </w:r>
    </w:p>
    <w:p>
      <w:r>
        <w:rPr>
          <w:color w:val="5A7D3A"/>
          <w:sz w:val="18"/>
        </w:rPr>
        <w:t>https://pubmed.ncbi.nlm.nih.gov/42768888/</w:t>
      </w:r>
    </w:p>
    <w:p>
      <w:pPr>
        <w:pStyle w:val="Heading2"/>
      </w:pPr>
      <w:r>
        <w:t>Dynamisches Risiko-Scoring vorhersagt CLL-Progression nach Limited-Duration-Therapie besser</w:t>
      </w:r>
    </w:p>
    <w:p>
      <w:r>
        <w:rPr>
          <w:i/>
          <w:color w:val="666666"/>
          <w:sz w:val="18"/>
        </w:rPr>
        <w:t>Al-Sawaf O et al.  ·  J Clin Oncol  ·  27.08.2026  ·  PMID 42659576</w:t>
      </w:r>
    </w:p>
    <w:p>
      <w:r>
        <w:t>Deutsche multizentrische Kohortenstudie zu chronisch-lymphatischer Leukämie: Entwicklung und Validierung eines verfeinerten kontinuierlichen Risikoindex (CIRI2-CLL) mit messbaren Resterkrankungen (MRD) zur Vorhersage von progressionsfreiem Überleben nach zeitlich begrenzter Targetted Therapy.</w:t>
      </w:r>
    </w:p>
    <w:p>
      <w:r>
        <w:rPr>
          <w:b/>
        </w:rPr>
        <w:t xml:space="preserve">Ergebnis: </w:t>
      </w:r>
      <w:r>
        <w:t>CIRI2-CLL zeigte gute Kalibrierung (ca. 5 % Unterschied zwischen beobachteter und vorhergesagter Progressionswahrscheinlichkeit). Überlegene Performance vs. einzelne Indizes (C-Statistiken 0,82–0,98 an allen Zeitpunkten), FEV-Vorhersage um 14–37 % verbessert. Risk-Stratifikation in drei Gruppen: 3-Jahres-PFS von 100,0 % (niedrig), 70,2 % (mittel), 10,8 % (hoch). Performance für Gesamtüberleben bestätigt.</w:t>
      </w:r>
    </w:p>
    <w:p>
      <w:r>
        <w:rPr>
          <w:b/>
          <w:sz w:val="19"/>
        </w:rPr>
        <w:t xml:space="preserve">Übertragbarkeit: </w:t>
      </w:r>
      <w:r>
        <w:rPr>
          <w:sz w:val="19"/>
        </w:rPr>
        <w:t>Deutschland/DACH, multizentrisch; CLL-spezifisch, aber Methode der MRD-Integration für andere Chroniker relevant</w:t>
      </w:r>
    </w:p>
    <w:p>
      <w:r>
        <w:rPr>
          <w:color w:val="5A7D3A"/>
          <w:sz w:val="18"/>
        </w:rPr>
        <w:t>https://pubmed.ncbi.nlm.nih.gov/42659576/</w:t>
      </w:r>
    </w:p>
    <w:p>
      <w:pPr>
        <w:pStyle w:val="Heading2"/>
      </w:pPr>
      <w:r>
        <w:t>HBsAg-Schnelltest-Positivierungszeit schätzt Viruslast und erleichtert POC-Diagnostik</w:t>
      </w:r>
    </w:p>
    <w:p>
      <w:r>
        <w:rPr>
          <w:i/>
          <w:color w:val="666666"/>
          <w:sz w:val="18"/>
        </w:rPr>
        <w:t>Asmamaw A et al.  ·  Aliment Pharmacol Ther  ·  06.08.2026  ·  PMID 42558028</w:t>
      </w:r>
    </w:p>
    <w:p>
      <w:r>
        <w:t>Multizentrische Proof-of-Concept-Studie (Spanien, Äthiopien): Prüfung, ob die Positivierungszeit eines Schnelltests für Hepatitis-B-Oberflächenantigen (HBsAg) ein Surrogat für quantitatives HBsAg und HBV-DNA-Aktivität ist; Paarvergleiche Kapillar- vs. Venöses Blut mit qHBsAg und PCR.</w:t>
      </w:r>
    </w:p>
    <w:p>
      <w:r>
        <w:rPr>
          <w:b/>
        </w:rPr>
        <w:t xml:space="preserve">Ergebnis: </w:t>
      </w:r>
      <w:r>
        <w:t>513 HBsAg-positive Personen analysiert. Positivierungszeit korrelierte invers mit qHBsAg (Spanien r=−0,749, Äthiopien r=−0,374; p&lt;0,001 beide). Keine Assoziation mit HBV-DNA. Diskriminationsfähigkeit für HBsAg &lt;1000 IU/mL: Spanien AUROC 0,86, Äthiopien AUROC 0,65; für &lt;100 IU/mL: AUROC 0,96 und 0,77. Gesunde und mit ausgeheilter Infektion: durchweg negativ.</w:t>
      </w:r>
    </w:p>
    <w:p>
      <w:r>
        <w:rPr>
          <w:b/>
          <w:sz w:val="19"/>
        </w:rPr>
        <w:t xml:space="preserve">Übertragbarkeit: </w:t>
      </w:r>
      <w:r>
        <w:rPr>
          <w:sz w:val="19"/>
        </w:rPr>
        <w:t>Spanien/Äthiopien; POC-Test für ressourcenlimitierte Länder, Relevanz für deutsche POC-Diagnostik begrenzt</w:t>
      </w:r>
    </w:p>
    <w:p>
      <w:r>
        <w:rPr>
          <w:color w:val="5A7D3A"/>
          <w:sz w:val="18"/>
        </w:rPr>
        <w:t>https://pubmed.ncbi.nlm.nih.gov/42558028/</w:t>
      </w:r>
    </w:p>
    <w:p>
      <w:pPr>
        <w:pStyle w:val="Heading1"/>
      </w:pPr>
      <w:r>
        <w:t>Aufgenommen am 03.10.2026</w:t>
      </w:r>
    </w:p>
    <w:p>
      <w:pPr>
        <w:pStyle w:val="Heading2"/>
      </w:pPr>
      <w:r>
        <w:t>Depression senkte das Risiko für Mehrfacherkrankung: Remission assoziiert mit niedrigerem Kardiometabolen-Risiko</w:t>
      </w:r>
    </w:p>
    <w:p>
      <w:r>
        <w:rPr>
          <w:i/>
          <w:color w:val="666666"/>
          <w:sz w:val="18"/>
        </w:rPr>
        <w:t>Yao M et al.  ·  J Glob Health  ·  02.10.2026  ·  PMID 42825401</w:t>
      </w:r>
    </w:p>
    <w:p>
      <w:r>
        <w:t>Prospektive Kohortenstudie mit 51.416 Teilnehmern aus China, USA und Europa untersuchte, ob langfristige depressive Belastung (gemessen durch Verlauf und kumulative Scores) mit neuaufgetretener Mehrfacherkrankung (Herz-Kreislauf und Diabetes) assoziiert ist.</w:t>
      </w:r>
    </w:p>
    <w:p>
      <w:r>
        <w:rPr>
          <w:b/>
        </w:rPr>
        <w:t xml:space="preserve">Ergebnis: </w:t>
      </w:r>
      <w:r>
        <w:t>Depressionsfortschritt erhöhte CMM-Risiko: China HR 1,47 (95%-CI 1,00–2,17), USA HR 1,33 (1,01–1,74), Europa HR 1,46 (1,26–1,69). Depressionsremission reduzierte Risiko: China HR 0,56 (0,36–0,87), Europa HR 0,76 (0,63–0,92). Frauen stärker betroffen in USA und Europa.</w:t>
      </w:r>
    </w:p>
    <w:p>
      <w:r>
        <w:rPr>
          <w:b/>
          <w:sz w:val="19"/>
        </w:rPr>
        <w:t xml:space="preserve">Übertragbarkeit: </w:t>
      </w:r>
      <w:r>
        <w:rPr>
          <w:sz w:val="19"/>
        </w:rPr>
        <w:t>Internationale Kohorte mit vergleichbarem Design; deutsches System ohne direkte Abbildung, aber Mehrfacherkrankungen-Prävention zentral für DMPs</w:t>
      </w:r>
    </w:p>
    <w:p>
      <w:r>
        <w:rPr>
          <w:color w:val="5A7D3A"/>
          <w:sz w:val="18"/>
        </w:rPr>
        <w:t>https://pubmed.ncbi.nlm.nih.gov/42825401/</w:t>
      </w:r>
    </w:p>
    <w:p>
      <w:pPr>
        <w:pStyle w:val="Heading2"/>
      </w:pPr>
      <w:r>
        <w:t>Peer-Support-Programme für chronische Nierenerkrankung: Systemische Unterstützung und Engagement zentral</w:t>
      </w:r>
    </w:p>
    <w:p>
      <w:r>
        <w:rPr>
          <w:i/>
          <w:color w:val="666666"/>
          <w:sz w:val="18"/>
        </w:rPr>
        <w:t>Faravan A et al.  ·  J Ren Care  ·  Dez. 2026  ·  PMID 42820648</w:t>
      </w:r>
    </w:p>
    <w:p>
      <w:r>
        <w:t>Qualitative Metasynthese von 15 Studien zu Facilitators von Peer-Support-Programmen für Patienten mit chronischer Nierenerkrankung.</w:t>
      </w:r>
    </w:p>
    <w:p>
      <w:r>
        <w:rPr>
          <w:b/>
        </w:rPr>
        <w:t xml:space="preserve">Ergebnis: </w:t>
      </w:r>
      <w:r>
        <w:t>Drei Hauptfacilitators identifiziert: (1) supportive Organisationskultur im Gesundheitssystem, (2) tiefe peer-Verbindungen und gutes rapport, (3) engagierte und motivierte Peer-Supporter und -Empfänger. Erfolgreiche Programme erfordern Interaktion zwischen organisationaler Unterstützung, sinnvoller Peer-Beziehung und aktiver Partizipation.</w:t>
      </w:r>
    </w:p>
    <w:p>
      <w:r>
        <w:rPr>
          <w:b/>
          <w:sz w:val="19"/>
        </w:rPr>
        <w:t xml:space="preserve">Übertragbarkeit: </w:t>
      </w:r>
      <w:r>
        <w:rPr>
          <w:sz w:val="19"/>
        </w:rPr>
        <w:t>Überwiegend europäische und englischsprachige Studien; Peer-Support-Ansätze in Deutschland (Selbsthilfe, DMP-Strukturen) unmittelbar anwendbar</w:t>
      </w:r>
    </w:p>
    <w:p>
      <w:r>
        <w:rPr>
          <w:color w:val="5A7D3A"/>
          <w:sz w:val="18"/>
        </w:rPr>
        <w:t>https://pubmed.ncbi.nlm.nih.gov/42820648/</w:t>
      </w:r>
    </w:p>
    <w:p>
      <w:pPr>
        <w:pStyle w:val="Heading2"/>
      </w:pPr>
      <w:r>
        <w:t>GLP-1-Rezeptor-Agonisten schützen die Niere bei chronischer Nierenerkrankung und Diabetes</w:t>
      </w:r>
    </w:p>
    <w:p>
      <w:r>
        <w:rPr>
          <w:i/>
          <w:color w:val="666666"/>
          <w:sz w:val="18"/>
        </w:rPr>
        <w:t>Boeckhaus J et al.  ·  Clin Sci (Lond)  ·  14.10.2026  ·  PMID 42820470</w:t>
      </w:r>
    </w:p>
    <w:p>
      <w:r>
        <w:t>Übersichtsarbeit zur Evidenz für Nephroprotektivität von GLP-1 Agonisten bei Patienten mit Typ-2-Diabetes und chronischer Nierenerkrankung jenseits von Glukosekontrolle.</w:t>
      </w:r>
    </w:p>
    <w:p>
      <w:r>
        <w:rPr>
          <w:b/>
        </w:rPr>
        <w:t xml:space="preserve">Ergebnis: </w:t>
      </w:r>
      <w:r>
        <w:t>GLP-1-RA reduzieren eGFR-Abfall, albuminurie und kardiovaskuläre Ereignisse durch anti-inflammatorische und anti-fibrotische Mechanismen. Effekte teilweise unabhängig von Gewichtsreduktion. Sicherheitsprofil vergleichbar mit Standard; potenzielle neue Indikation auch ohne Diabetes bei CKD.</w:t>
      </w:r>
    </w:p>
    <w:p>
      <w:r>
        <w:rPr>
          <w:b/>
          <w:sz w:val="19"/>
        </w:rPr>
        <w:t xml:space="preserve">Übertragbarkeit: </w:t>
      </w:r>
      <w:r>
        <w:rPr>
          <w:sz w:val="19"/>
        </w:rPr>
        <w:t>Wirkmechanismus-Review ohne Versorgungsdaten; Evidenz aus RCTs übertragbar auf deutsches System</w:t>
      </w:r>
    </w:p>
    <w:p>
      <w:r>
        <w:rPr>
          <w:color w:val="5A7D3A"/>
          <w:sz w:val="18"/>
        </w:rPr>
        <w:t>https://pubmed.ncbi.nlm.nih.gov/42820470/</w:t>
      </w:r>
    </w:p>
    <w:p>
      <w:pPr>
        <w:pStyle w:val="Heading2"/>
      </w:pPr>
      <w:r>
        <w:t>Actualisiertes WHO-Modul für Mundgesundheit in Überwachungssystemen für nicht übertragbare Erkrankungen</w:t>
      </w:r>
    </w:p>
    <w:p>
      <w:r>
        <w:rPr>
          <w:i/>
          <w:color w:val="666666"/>
          <w:sz w:val="18"/>
        </w:rPr>
        <w:t>Rendell N et al.  ·  Bull World Health Organ  ·  01.10.2026  ·  PMID 42820175</w:t>
      </w:r>
    </w:p>
    <w:p>
      <w:r>
        <w:t>WHO präsentiert überarbeitetes Modul für STEPS-Surveillance (Überwachung von Risikofaktoren) mit klinischer Untersuchungskomponente für Mundgesundheit, die von geschultem Nicht-Zahnarzt-Personal durchführbar ist.</w:t>
      </w:r>
    </w:p>
    <w:p>
      <w:r>
        <w:rPr>
          <w:b/>
        </w:rPr>
        <w:t xml:space="preserve">Ergebnis: </w:t>
      </w:r>
      <w:r>
        <w:t>Neues Modul integriert aktualisierte Selbstangaben und klinische Bewertung statt nur Wahrnehmungsangaben. Praktisch und skalierbar für Länder ohne zahnärztliche Kapazität, unterstützt Integration von Mundgesundheit in Strategien zur universellen Gesundheitsversorgung.</w:t>
      </w:r>
    </w:p>
    <w:p>
      <w:r>
        <w:rPr>
          <w:b/>
          <w:sz w:val="19"/>
        </w:rPr>
        <w:t xml:space="preserve">Übertragbarkeit: </w:t>
      </w:r>
      <w:r>
        <w:rPr>
          <w:sz w:val="19"/>
        </w:rPr>
        <w:t>WHO-Standard für alle Länder; direkt auf deutsches RKI-Surveillance-System übertragbar</w:t>
      </w:r>
    </w:p>
    <w:p>
      <w:r>
        <w:rPr>
          <w:color w:val="5A7D3A"/>
          <w:sz w:val="18"/>
        </w:rPr>
        <w:t>https://pubmed.ncbi.nlm.nih.gov/42820175/</w:t>
      </w:r>
    </w:p>
    <w:p>
      <w:pPr>
        <w:pStyle w:val="Heading2"/>
      </w:pPr>
      <w:r>
        <w:t>Krankenhausinfektionen bei Kindern mit Sepsis zeigten höhere Sterblichkeit als ambulant erworbene Infektionen</w:t>
      </w:r>
    </w:p>
    <w:p>
      <w:r>
        <w:rPr>
          <w:i/>
          <w:color w:val="666666"/>
          <w:sz w:val="18"/>
        </w:rPr>
        <w:t>Ravichandran N et al.  ·  Eur J Pediatr  ·  19.09.2026  ·  PMID 42763313</w:t>
      </w:r>
    </w:p>
    <w:p>
      <w:r>
        <w:t>Retrospektive nationale Kohortenstudie zur Epidemiologie pädiatrischer Sepsis in Irland 2020–2025 mit Analyse von Krankheitsverlauf, Multimorbidität und Outcomes.</w:t>
      </w:r>
    </w:p>
    <w:p>
      <w:r>
        <w:rPr>
          <w:b/>
        </w:rPr>
        <w:t xml:space="preserve">Ergebnis: </w:t>
      </w:r>
      <w:r>
        <w:t>4.442 Sepsis-Aufnahmen: 30,7% nosokomial, 69,3% ambulant. Nosokomiale Sepsis: 84,0% Intensivaufnahmen vs. 32,3%, Sterblichkeit 7,6% vs. 1,8% (p&lt;0,001). Komorbidität assoziiert mit kritischem Verlauf (aOR neonatal 2,66; nicht-neonatal 4,88), aber schwere Verläufe auch ohne dokumentierte Komorbiditäten.</w:t>
      </w:r>
    </w:p>
    <w:p>
      <w:r>
        <w:rPr>
          <w:b/>
          <w:sz w:val="19"/>
        </w:rPr>
        <w:t xml:space="preserve">Übertragbarkeit: </w:t>
      </w:r>
      <w:r>
        <w:rPr>
          <w:sz w:val="19"/>
        </w:rPr>
        <w:t>Europäische Klinikdaten; vergleichbar mit deutschem Krankenhausmanagementsystem für Infektionsprävention</w:t>
      </w:r>
    </w:p>
    <w:p>
      <w:r>
        <w:rPr>
          <w:color w:val="5A7D3A"/>
          <w:sz w:val="18"/>
        </w:rPr>
        <w:t>https://pubmed.ncbi.nlm.nih.gov/42763313/</w:t>
      </w:r>
    </w:p>
    <w:p>
      <w:pPr>
        <w:pStyle w:val="Heading2"/>
      </w:pPr>
      <w:r>
        <w:t>Sterblichkeitsüberwachung mit multiplen Todesursachen zur Verfolgung chronischer Erkrankungen in der COVID-19-Ära</w:t>
      </w:r>
    </w:p>
    <w:p>
      <w:r>
        <w:rPr>
          <w:i/>
          <w:color w:val="666666"/>
          <w:sz w:val="18"/>
        </w:rPr>
        <w:t>Jones J  ·  Ann Epidemiol  ·  15.09.2026  ·  PMID 42744417</w:t>
      </w:r>
    </w:p>
    <w:p>
      <w:r>
        <w:t>Educational Module zu Mortalitäts-Surveillance-Methoden, das sich auf einen bereits publizierten Artikel zur Nutzung von Mehrfach-Todesursachen-Daten konzentriert (Referenz: Durán et al., Ann Epidemiol 2026;113:23-29).</w:t>
      </w:r>
    </w:p>
    <w:p>
      <w:r>
        <w:rPr>
          <w:b/>
        </w:rPr>
        <w:t xml:space="preserve">Ergebnis: </w:t>
      </w:r>
      <w:r>
        <w:t>Modul demonstriert Nutzen von Mehrfach-Todesursachen-Kodierung zur Erfassung von Trends chronischer Erkrankungen; Fallbeispiel Schweiz COVID-19-Pandemie zeigt, wie Überwachungsmethoden Versorgungsmuster offenbaren.</w:t>
      </w:r>
    </w:p>
    <w:p>
      <w:r>
        <w:rPr>
          <w:b/>
          <w:sz w:val="19"/>
        </w:rPr>
        <w:t xml:space="preserve">Übertragbarkeit: </w:t>
      </w:r>
      <w:r>
        <w:rPr>
          <w:sz w:val="19"/>
        </w:rPr>
        <w:t>Schweiz mit ähnlichem System wie Deutschland; Mortalitäts-Surveillance-Design direkt auf deutsches Todesbescheinigungssystem übertragbar</w:t>
      </w:r>
    </w:p>
    <w:p>
      <w:r>
        <w:rPr>
          <w:color w:val="5A7D3A"/>
          <w:sz w:val="18"/>
        </w:rPr>
        <w:t>https://pubmed.ncbi.nlm.nih.gov/42744417/</w:t>
      </w:r>
    </w:p>
    <w:p>
      <w:pPr>
        <w:pStyle w:val="Heading2"/>
      </w:pPr>
      <w:r>
        <w:t>COPD ist zu heterogen für Single-Trial-Zulassungen: Mehrfach-Studien-Evidenz erforderlich</w:t>
      </w:r>
    </w:p>
    <w:p>
      <w:r>
        <w:rPr>
          <w:i/>
          <w:color w:val="666666"/>
          <w:sz w:val="18"/>
        </w:rPr>
        <w:t>Cazzola M et al.  ·  Lung  ·  31.07.2026  ·  PMID 42536190</w:t>
      </w:r>
    </w:p>
    <w:p>
      <w:r>
        <w:t>Expertenpapier zur FDA-Proposal, einzelne RCTs als Standard für COPD-Medikamentenzulassung zu akzeptieren; erörtert Heterogenität, Effektgrößen und Generalisierbarkeit.</w:t>
      </w:r>
    </w:p>
    <w:p>
      <w:r>
        <w:rPr>
          <w:b/>
        </w:rPr>
        <w:t xml:space="preserve">Ergebnis: </w:t>
      </w:r>
      <w:r>
        <w:t>COPD zeigt variable Trajektorien, modest treatment effects, limitierte validierte Biomarker. Single RCTs risikieren Type-I-Fehler und begrenzte Übertragbarkeit durch restriktive Einschlusskriterien. Empfehlung: mindestens zwei unabhängige Studien bei CKD oder äquivalente Post-Marketing-Validierung erforderlich.</w:t>
      </w:r>
    </w:p>
    <w:p>
      <w:r>
        <w:rPr>
          <w:b/>
          <w:sz w:val="19"/>
        </w:rPr>
        <w:t xml:space="preserve">Übertragbarkeit: </w:t>
      </w:r>
      <w:r>
        <w:rPr>
          <w:sz w:val="19"/>
        </w:rPr>
        <w:t>COPD-Versorgung international vergleichbar; Argument für robuste Evidenzstandards in allen Gesundheitssystemen relevant</w:t>
      </w:r>
    </w:p>
    <w:p>
      <w:r>
        <w:rPr>
          <w:color w:val="5A7D3A"/>
          <w:sz w:val="18"/>
        </w:rPr>
        <w:t>https://pubmed.ncbi.nlm.nih.gov/42536190/</w:t>
      </w:r>
    </w:p>
    <w:p>
      <w:pPr>
        <w:pStyle w:val="Heading1"/>
      </w:pPr>
      <w:r>
        <w:t>Aufgenommen am 02.10.2026</w:t>
      </w:r>
    </w:p>
    <w:p>
      <w:pPr>
        <w:pStyle w:val="Heading2"/>
      </w:pPr>
      <w:r>
        <w:t>Peritoneal-Dialyse-Peritonitis: Nomogramm zur Vorhersage von Peritonitifreiheit</w:t>
      </w:r>
    </w:p>
    <w:p>
      <w:r>
        <w:rPr>
          <w:i/>
          <w:color w:val="666666"/>
          <w:sz w:val="18"/>
        </w:rPr>
        <w:t>Tian Z et al.  ·  Ren Fail  ·  01.10.2026  ·  PMID 42823121</w:t>
      </w:r>
    </w:p>
    <w:p>
      <w:r>
        <w:t>Retrospektive Kohortenstudie entwickelte und validierte ein Cox-Nomogramm zur Vorhersage der Peritonitis-freien Überlebenszeit bei peritonealer Dialyse (372 Patienten, 26,3 Monate Nachverfolgung).</w:t>
      </w:r>
    </w:p>
    <w:p>
      <w:r>
        <w:rPr>
          <w:b/>
        </w:rPr>
        <w:t xml:space="preserve">Ergebnis: </w:t>
      </w:r>
      <w:r>
        <w:t>Über Median 26,3 Monate: 35,4% Peritonitis-Ereignisse (Training), 30,4% (Validierung). Neun unabhängige Prädiktoren identifiziert (u.a. Bildung, BMI, Albumin, Kalzium, Phosphor). C-Index 0,707; ROC-AUC bei 6/12/24 Monaten: 75,8%/77,5%/69,7% (Training) bzw. 77,7%/63,8%/58,4% (Validierung). Modell zeigt moderate Diskrimination und befriedigende Kalibration.</w:t>
      </w:r>
    </w:p>
    <w:p>
      <w:r>
        <w:rPr>
          <w:b/>
          <w:sz w:val="19"/>
        </w:rPr>
        <w:t xml:space="preserve">Übertragbarkeit: </w:t>
      </w:r>
      <w:r>
        <w:rPr>
          <w:sz w:val="19"/>
        </w:rPr>
        <w:t>China, klinisch routinemäßig erhobene Parameter, externe Validierung vor Routineeinsatz erforderlich.</w:t>
      </w:r>
    </w:p>
    <w:p>
      <w:r>
        <w:rPr>
          <w:color w:val="5A7D3A"/>
          <w:sz w:val="18"/>
        </w:rPr>
        <w:t>https://pubmed.ncbi.nlm.nih.gov/42823121/</w:t>
      </w:r>
    </w:p>
    <w:p>
      <w:pPr>
        <w:pStyle w:val="Heading2"/>
      </w:pPr>
      <w:r>
        <w:t>Bewegungsmangel verursacht 2% der Krankheitslast in der Schweiz</w:t>
      </w:r>
    </w:p>
    <w:p>
      <w:r>
        <w:rPr>
          <w:i/>
          <w:color w:val="666666"/>
          <w:sz w:val="18"/>
        </w:rPr>
        <w:t>Güntert L et al.  ·  Swiss Med Wkly  ·  24.09.2026  ·  PMID 42821881</w:t>
      </w:r>
    </w:p>
    <w:p>
      <w:r>
        <w:t>Bevölkerungsgestützte Modellierungsstudie quantifizierte die durch körperliche Inaktivität verursachte Krankheitslast (YLD und YLL) in der Schweiz 2022 nach Sprachregionen.</w:t>
      </w:r>
    </w:p>
    <w:p>
      <w:r>
        <w:rPr>
          <w:b/>
        </w:rPr>
        <w:t xml:space="preserve">Ergebnis: </w:t>
      </w:r>
      <w:r>
        <w:t>Physische Inaktivität führte zu 227,08 YLD und 424,23 YLL pro 100.000 Personen &gt;20 Jahren (2% der DALYs insgesamt). Italienisch- und französischsprachige Regionen zeigten erheblich höhere Raten als deutschsprachige Regionen. Depression (93,38 YLD) und Herzkoronarerkrankung (132,12 YLL) waren Hauptkontributoren; Frauen waren stärker belastet als Männer.</w:t>
      </w:r>
    </w:p>
    <w:p>
      <w:r>
        <w:rPr>
          <w:b/>
          <w:sz w:val="19"/>
        </w:rPr>
        <w:t xml:space="preserve">Übertragbarkeit: </w:t>
      </w:r>
      <w:r>
        <w:rPr>
          <w:sz w:val="19"/>
        </w:rPr>
        <w:t>Schweizer Bevölkerungsdaten, ähnliche Struktur und Prävention wie im deutschsprachigen Raum.</w:t>
      </w:r>
    </w:p>
    <w:p>
      <w:r>
        <w:rPr>
          <w:color w:val="5A7D3A"/>
          <w:sz w:val="18"/>
        </w:rPr>
        <w:t>https://pubmed.ncbi.nlm.nih.gov/42821881/</w:t>
      </w:r>
    </w:p>
    <w:p>
      <w:pPr>
        <w:pStyle w:val="Heading2"/>
      </w:pPr>
      <w:r>
        <w:t>Antidiabetika und COPD-Exazerbationen: Netzwerk-Metaanalyse bei Typ-2-Diabetes</w:t>
      </w:r>
    </w:p>
    <w:p>
      <w:r>
        <w:rPr>
          <w:i/>
          <w:color w:val="666666"/>
          <w:sz w:val="18"/>
        </w:rPr>
        <w:t>Shabil M et al.  ·  Diab Vasc Dis Res  ·  01.10.2026  ·  PMID 42821775</w:t>
      </w:r>
    </w:p>
    <w:p>
      <w:r>
        <w:t>Systematische Übersicht mit Netzwerk-Metaanalyse evaluierte Effekte verschiedener Antidiabetika auf COPD-Exazerbationen bei Patienten mit T2DM (13 Beobachtungsstudien, 755.206 Teilnehmer).</w:t>
      </w:r>
    </w:p>
    <w:p>
      <w:r>
        <w:rPr>
          <w:b/>
        </w:rPr>
        <w:t xml:space="preserve">Ergebnis: </w:t>
      </w:r>
      <w:r>
        <w:t>Im Vergleich zu Sulfonylharnstoffen: SGLT-2-Inhibitoren zeigten tiefste COPD-Exazerbationsrate (RR 0,71; 95% CI 0,66–0,77), gefolgt von GLP-1-Agonisten (RR 0,77; 95% CI 0,71–0,84). Metformin neutral (RR 0,89), DPP-4-Inhibitoren (RR 1,05) und Meglitinide ohne klaren Nutzen. Ähnliche Befunde für schwere Exazerbationen.</w:t>
      </w:r>
    </w:p>
    <w:p>
      <w:r>
        <w:rPr>
          <w:b/>
          <w:sz w:val="19"/>
        </w:rPr>
        <w:t xml:space="preserve">Übertragbarkeit: </w:t>
      </w:r>
      <w:r>
        <w:rPr>
          <w:sz w:val="19"/>
        </w:rPr>
        <w:t>Internationale Beobachtungsdaten, Effektstärken unabhängig von Versorgungssystem.</w:t>
      </w:r>
    </w:p>
    <w:p>
      <w:r>
        <w:rPr>
          <w:color w:val="5A7D3A"/>
          <w:sz w:val="18"/>
        </w:rPr>
        <w:t>https://pubmed.ncbi.nlm.nih.gov/42821775/</w:t>
      </w:r>
    </w:p>
    <w:p>
      <w:pPr>
        <w:pStyle w:val="Heading2"/>
      </w:pPr>
      <w:r>
        <w:t>Rauchentwöhnung bei COPD: Klinik-Zuweisung verbesserte Abstinenzquote deutlich</w:t>
      </w:r>
    </w:p>
    <w:p>
      <w:r>
        <w:rPr>
          <w:i/>
          <w:color w:val="666666"/>
          <w:sz w:val="18"/>
        </w:rPr>
        <w:t>Marım F et al.  ·  Int J Chron Obstruct Pulmon Dis  ·  26.09.2026  ·  PMID 42820089</w:t>
      </w:r>
    </w:p>
    <w:p>
      <w:r>
        <w:t>Subgruppenanalyse einer multizentrischen RCT untersuchte Faktoren, die mit 1-Jahres-Rauchentwöhnung bei COPD-Patienten assoziiert sind (Vergleich: sofortige Klinik-Zuweisung vs. Standard-Versorgung).</w:t>
      </w:r>
    </w:p>
    <w:p>
      <w:r>
        <w:rPr>
          <w:b/>
        </w:rPr>
        <w:t xml:space="preserve">Ergebnis: </w:t>
      </w:r>
      <w:r>
        <w:t>Von 172 Patienten quit 32 (18,6%): 24 von 93 (25,8%) mit sofortiger Zuweisung vs. 8 von 79 (10,1%) mit Standardversorgung (p=0,010). Im multivariablen Modell: Standardversorgung senkte Erfolgschancen (OR 0,25; 95% CI 0,09–0,64); Fehlen von Komorbiditäten (OR 2,64) und &gt;1 exazerbationsbedingte Hospitalisierung (OR 9,32) erhöhten sie. Strukturierte Versorgungspfade sind zentral.</w:t>
      </w:r>
    </w:p>
    <w:p>
      <w:r>
        <w:rPr>
          <w:b/>
          <w:sz w:val="19"/>
        </w:rPr>
        <w:t xml:space="preserve">Übertragbarkeit: </w:t>
      </w:r>
      <w:r>
        <w:rPr>
          <w:sz w:val="19"/>
        </w:rPr>
        <w:t>Türkische Multizenterstudie, aber Versorgungsprinzipien (Koordination, Strukturierung) auf Deutschland übertragbar.</w:t>
      </w:r>
    </w:p>
    <w:p>
      <w:r>
        <w:rPr>
          <w:color w:val="5A7D3A"/>
          <w:sz w:val="18"/>
        </w:rPr>
        <w:t>https://pubmed.ncbi.nlm.nih.gov/42820089/</w:t>
      </w:r>
    </w:p>
    <w:p>
      <w:pPr>
        <w:pStyle w:val="Heading2"/>
      </w:pPr>
      <w:r>
        <w:t>Gicht-Akutbehandlung bei Nierenkrankheit: Anakinra versus Steroide</w:t>
      </w:r>
    </w:p>
    <w:p>
      <w:r>
        <w:rPr>
          <w:i/>
          <w:color w:val="666666"/>
          <w:sz w:val="18"/>
        </w:rPr>
        <w:t>Balasubramaniam G et al.  ·  BMJ Open  ·  30.09.2026  ·  PMID 42816092</w:t>
      </w:r>
    </w:p>
    <w:p>
      <w:r>
        <w:t>Feasibility-Studie testete Durchführbarkeit einer doppelblinden RCT von Anakinra versus Methylprednisolon bei Gicht-Anfällen in chronischer Nierenkrankheit (eGFR &lt;60).</w:t>
      </w:r>
    </w:p>
    <w:p>
      <w:r>
        <w:rPr>
          <w:b/>
        </w:rPr>
        <w:t xml:space="preserve">Ergebnis: </w:t>
      </w:r>
      <w:r>
        <w:t>21 Patienten randomisiert, 17 behandelt. Schmerzreduktion nach 7 Tagen: 46,8 von 100 auf visueller Analogskala. Anakinra zeigte Trend zu schnellerem Schmerzrückgang. Machbarkeit demonstriert; Unter-Rekrutierung war Hauptproblem. Empfehlung für optimierte Fall-Findung in der Gemeinschaft vor definitivem Trial.</w:t>
      </w:r>
    </w:p>
    <w:p>
      <w:r>
        <w:rPr>
          <w:b/>
          <w:sz w:val="19"/>
        </w:rPr>
        <w:t xml:space="preserve">Übertragbarkeit: </w:t>
      </w:r>
      <w:r>
        <w:rPr>
          <w:sz w:val="19"/>
        </w:rPr>
        <w:t>UK-Sekundärversorger, transferierbar auf multimorbide ältere Patienten in Deutschland.</w:t>
      </w:r>
    </w:p>
    <w:p>
      <w:r>
        <w:rPr>
          <w:color w:val="5A7D3A"/>
          <w:sz w:val="18"/>
        </w:rPr>
        <w:t>https://pubmed.ncbi.nlm.nih.gov/42816092/</w:t>
      </w:r>
    </w:p>
    <w:p>
      <w:pPr>
        <w:pStyle w:val="Heading2"/>
      </w:pPr>
      <w:r>
        <w:t>Sarcopenie bei Mehrfacherkrankungen: europäische Leitlinie mit praktischen Empfehlungen</w:t>
      </w:r>
    </w:p>
    <w:p>
      <w:r>
        <w:rPr>
          <w:i/>
          <w:color w:val="666666"/>
          <w:sz w:val="18"/>
        </w:rPr>
        <w:t>Bernabeu-Wittel M et al.  ·  Eur J Intern Med  ·  13.08.2026  ·  PMID 42595648</w:t>
      </w:r>
    </w:p>
    <w:p>
      <w:r>
        <w:t>EFIM-adaptierte Leitlinie für Identifikation und Management von Sarcopenie bei Patienten mit Mehrfacherkrankungen, basierend auf kritischer Bewertung bestehender Guidelines.</w:t>
      </w:r>
    </w:p>
    <w:p>
      <w:r>
        <w:rPr>
          <w:b/>
        </w:rPr>
        <w:t xml:space="preserve">Ergebnis: </w:t>
      </w:r>
      <w:r>
        <w:t>37 Empfehlungen (30 strong, 7 weak): Proaktives Screening ab 65 Jahren und bei jüngeren mit Risikofaktoren; Handgriffkraft als Eintrittspunkt; flexible diagnostische Wege; individualisierte multimodale Interventionen. 8 auf hoher, 12 auf moderater, 17 auf niedriger Evidenz oder Konsens. Adressiert iatrogene Risiken (Corticosteroide, GLP-1-Agonisten).</w:t>
      </w:r>
    </w:p>
    <w:p>
      <w:r>
        <w:rPr>
          <w:b/>
          <w:sz w:val="19"/>
        </w:rPr>
        <w:t xml:space="preserve">Übertragbarkeit: </w:t>
      </w:r>
      <w:r>
        <w:rPr>
          <w:sz w:val="19"/>
        </w:rPr>
        <w:t>Europäische Innere Medizin, direkt auf deutsches Versorgungssystem übertragbar.</w:t>
      </w:r>
    </w:p>
    <w:p>
      <w:r>
        <w:rPr>
          <w:color w:val="5A7D3A"/>
          <w:sz w:val="18"/>
        </w:rPr>
        <w:t>https://pubmed.ncbi.nlm.nih.gov/42595648/</w:t>
      </w:r>
    </w:p>
    <w:p>
      <w:pPr>
        <w:pStyle w:val="Heading1"/>
      </w:pPr>
      <w:r>
        <w:t>Aufgenommen am 01.10.2026</w:t>
      </w:r>
    </w:p>
    <w:p>
      <w:pPr>
        <w:pStyle w:val="Heading2"/>
      </w:pPr>
      <w:r>
        <w:t>Psychosomatic Belastung bei Jugendlichen mit chronischen Erkrankungen im Übergang zur Erwachsenenmedizin</w:t>
      </w:r>
    </w:p>
    <w:p>
      <w:r>
        <w:rPr>
          <w:i/>
          <w:color w:val="666666"/>
          <w:sz w:val="18"/>
        </w:rPr>
        <w:t>Choukair D et al.  ·  PLoS One  ·  30.09.2026  ·  PMID 42814714</w:t>
      </w:r>
    </w:p>
    <w:p>
      <w:r>
        <w:t>Querschnittsstudie an 92 Jugendlichen mit chronischen Erkrankungen zur Erfassung psychosozialer Belastung, Familienstruktur und Unterstützungsbedarf beim Transition-Prozess mit validierten Fragebögen.</w:t>
      </w:r>
    </w:p>
    <w:p>
      <w:r>
        <w:rPr>
          <w:b/>
        </w:rPr>
        <w:t xml:space="preserve">Ergebnis: </w:t>
      </w:r>
      <w:r>
        <w:t>39,6% moderate somatische Beschwerden, 20,6% depressive Symptome, 11,9% Angststörungssymptome; reduzierte Familienstruktur korrelierte signifikant mit höherer psychosomatischer Symptombelastung (p&lt;0,05). Psychosoziale Belastung sollte systematisch in Transition-Programme integriert werden.</w:t>
      </w:r>
    </w:p>
    <w:p>
      <w:r>
        <w:rPr>
          <w:b/>
          <w:sz w:val="19"/>
        </w:rPr>
        <w:t xml:space="preserve">Übertragbarkeit: </w:t>
      </w:r>
      <w:r>
        <w:rPr>
          <w:sz w:val="19"/>
        </w:rPr>
        <w:t>Deutschland, vergleichbare Strukturen der Kindermedizin und Transitionsmedizin.</w:t>
      </w:r>
    </w:p>
    <w:p>
      <w:r>
        <w:rPr>
          <w:color w:val="5A7D3A"/>
          <w:sz w:val="18"/>
        </w:rPr>
        <w:t>https://pubmed.ncbi.nlm.nih.gov/42814714/</w:t>
      </w:r>
    </w:p>
    <w:p>
      <w:pPr>
        <w:pStyle w:val="Heading2"/>
      </w:pPr>
      <w:r>
        <w:t>Kostenwirksamkeit eines dezentralen Versorgungsmodells für Hepatitis B in remote Gemeinden</w:t>
      </w:r>
    </w:p>
    <w:p>
      <w:r>
        <w:rPr>
          <w:i/>
          <w:color w:val="666666"/>
          <w:sz w:val="18"/>
        </w:rPr>
        <w:t>Nguyen H et al.  ·  Med J Aust  ·  Okt. 2026  ·  PMID 42811936</w:t>
      </w:r>
    </w:p>
    <w:p>
      <w:r>
        <w:t>Retrospektive Kohortenstudie (2014-2023) von 1063 First-Nations-Personen mit chronischer Hepatitis B zur Kosten-Analyse des Hep-B-PAST-Programms versus Standard-Versorgung in Australien.</w:t>
      </w:r>
    </w:p>
    <w:p>
      <w:r>
        <w:rPr>
          <w:b/>
        </w:rPr>
        <w:t xml:space="preserve">Ergebnis: </w:t>
      </w:r>
      <w:r>
        <w:t>Mediane Jahreskosten pro Person ähnlich: Standard $639 (IQR 366–1156) vs. Hep-B-PAST $770 (IQR 400–1272), p=0,12; Mittelwerte Standard $1701 vs. $1970 (p=0,12); dezentrales Modell führte nicht zu Kostensteigerung bei verbesserter Therapie-Adhärenz.</w:t>
      </w:r>
    </w:p>
    <w:p>
      <w:r>
        <w:rPr>
          <w:b/>
          <w:sz w:val="19"/>
        </w:rPr>
        <w:t xml:space="preserve">Übertragbarkeit: </w:t>
      </w:r>
      <w:r>
        <w:rPr>
          <w:sz w:val="19"/>
        </w:rPr>
        <w:t>Australien, vergleichbare öffentliche Versorgungssysteme; Dezentralisierung ist kosteneffizient.</w:t>
      </w:r>
    </w:p>
    <w:p>
      <w:r>
        <w:rPr>
          <w:color w:val="5A7D3A"/>
          <w:sz w:val="18"/>
        </w:rPr>
        <w:t>https://pubmed.ncbi.nlm.nih.gov/42811936/</w:t>
      </w:r>
    </w:p>
    <w:p>
      <w:pPr>
        <w:pStyle w:val="Heading2"/>
      </w:pPr>
      <w:r>
        <w:t>Krankheitslast nicht-übertragbarer Erkrankungen in bangladeschischen Krankenhäusern</w:t>
      </w:r>
    </w:p>
    <w:p>
      <w:r>
        <w:rPr>
          <w:i/>
          <w:color w:val="666666"/>
          <w:sz w:val="18"/>
        </w:rPr>
        <w:t>Proma SB et al.  ·  Mymensingh Med J  ·  Okt. 2026  ·  PMID 42811840</w:t>
      </w:r>
    </w:p>
    <w:p>
      <w:r>
        <w:t>Retrospektive Querschnittsanalyse von 6698 Krankenhausaufnahmen 2022 an einem Tertiärzentrum zur Erfassung der Häufigkeit, Muster und Mortalität durch nicht-übertragbare Erkrankungen.</w:t>
      </w:r>
    </w:p>
    <w:p>
      <w:r>
        <w:rPr>
          <w:b/>
        </w:rPr>
        <w:t xml:space="preserve">Ergebnis: </w:t>
      </w:r>
      <w:r>
        <w:t>42,05% aller Aufnahmen NCDs; weiblich 56,37%, männlich 43,63%; Häufigste Erkrankungen Hypertonie (33,22%), Diabetes (25,34%), Schlaganfall (17,85%), kardiovaskulär (12,14%); NCDs verursachten 88,41% aller Todesfälle (n=164), hauptsächlich kardiovaskulär, Schlaganfall, chronische Atemwegserkrankungen.</w:t>
      </w:r>
    </w:p>
    <w:p>
      <w:r>
        <w:rPr>
          <w:b/>
          <w:sz w:val="19"/>
        </w:rPr>
        <w:t xml:space="preserve">Übertragbarkeit: </w:t>
      </w:r>
      <w:r>
        <w:rPr>
          <w:sz w:val="19"/>
        </w:rPr>
        <w:t>Bangladesch, Ressourcen-limitierte Versorgung; Handlungsbedarf zur Prävention und Früherkennung NCDs evident.</w:t>
      </w:r>
    </w:p>
    <w:p>
      <w:r>
        <w:rPr>
          <w:color w:val="5A7D3A"/>
          <w:sz w:val="18"/>
        </w:rPr>
        <w:t>https://pubmed.ncbi.nlm.nih.gov/42811840/</w:t>
      </w:r>
    </w:p>
    <w:p>
      <w:pPr>
        <w:pStyle w:val="Heading2"/>
      </w:pPr>
      <w:r>
        <w:t>Bewegung in die Krankenhausversorgung: Integrierung von Physiotherapie in die chronische Versorgung</w:t>
      </w:r>
    </w:p>
    <w:p>
      <w:r>
        <w:rPr>
          <w:i/>
          <w:color w:val="666666"/>
          <w:sz w:val="18"/>
        </w:rPr>
        <w:t>Barrera-Garcimartín A et al.  ·  Int J Qual Stud Health Well-being  ·  31.12.2026  ·  PMID 42808772</w:t>
      </w:r>
    </w:p>
    <w:p>
      <w:r>
        <w:t>Qualitative Fokusgruppentudie mit 8 Fachpersonen eines öffentlichen Krankenhauses in Spanien zur Rolle von körperlicher Aktivität in der chronischen Versorgung.</w:t>
      </w:r>
    </w:p>
    <w:p>
      <w:r>
        <w:rPr>
          <w:b/>
        </w:rPr>
        <w:t xml:space="preserve">Ergebnis: </w:t>
      </w:r>
      <w:r>
        <w:t>Teilnehmende beschrieben niedrige Aktivität, mangelnde Ressourcen, fehlende institutionelle Unterstützung und schwache Rahmenbedingungen als Barrieren. Als zentral identifiziert: Integration von Sportfachpersonen, Entwicklung strukturierter Programme, stärkere Collaboration mit externen Institutionen.</w:t>
      </w:r>
    </w:p>
    <w:p>
      <w:r>
        <w:rPr>
          <w:b/>
          <w:sz w:val="19"/>
        </w:rPr>
        <w:t xml:space="preserve">Übertragbarkeit: </w:t>
      </w:r>
      <w:r>
        <w:rPr>
          <w:sz w:val="19"/>
        </w:rPr>
        <w:t>Spanien, öffentliche Krankenhaussysteme; Umsetzungshindernisse sind System-unabhängig.</w:t>
      </w:r>
    </w:p>
    <w:p>
      <w:r>
        <w:rPr>
          <w:color w:val="5A7D3A"/>
          <w:sz w:val="18"/>
        </w:rPr>
        <w:t>https://pubmed.ncbi.nlm.nih.gov/42808772/</w:t>
      </w:r>
    </w:p>
    <w:p>
      <w:pPr>
        <w:pStyle w:val="Heading2"/>
      </w:pPr>
      <w:r>
        <w:t>Minimale klinische Relevanz der EQ-VAS bei Post-COVID: Tagesschwankungen und Mess-Standards</w:t>
      </w:r>
    </w:p>
    <w:p>
      <w:r>
        <w:rPr>
          <w:i/>
          <w:color w:val="666666"/>
          <w:sz w:val="18"/>
        </w:rPr>
        <w:t>Kopp J et al.  ·  BMJ Open  ·  25.09.2026  ·  PMID 42790915</w:t>
      </w:r>
    </w:p>
    <w:p>
      <w:r>
        <w:t>Sekundäranalyse von täglichen EQ-VAS-Werten über 7 Tage bei 153 Post-COVID-Patienten aus einem randomisierten Kontrollversuch zur Bestimmung der minimalen wichtigen Differenz (MID).</w:t>
      </w:r>
    </w:p>
    <w:p>
      <w:r>
        <w:rPr>
          <w:b/>
        </w:rPr>
        <w:t xml:space="preserve">Ergebnis: </w:t>
      </w:r>
      <w:r>
        <w:t>Baseline-Median EQ-VAS 48,7 (0-100 Skala); tageszeitliche Variabilität (Median wpSD 6,4); verteilungsbasierte MID 5,9–8,9 Punkte; ankerbasierte MID 8,96 Punkte (FACIT-Fatigue); empfohlener MID-Wert 8 Punkte für zukünftige Studien.</w:t>
      </w:r>
    </w:p>
    <w:p>
      <w:r>
        <w:rPr>
          <w:b/>
          <w:sz w:val="19"/>
        </w:rPr>
        <w:t xml:space="preserve">Übertragbarkeit: </w:t>
      </w:r>
      <w:r>
        <w:rPr>
          <w:sz w:val="19"/>
        </w:rPr>
        <w:t>Schweiz, vergleichbare Versorgungsstrukturen; Messstandardisierung ist System-unabhängig.</w:t>
      </w:r>
    </w:p>
    <w:p>
      <w:r>
        <w:rPr>
          <w:color w:val="5A7D3A"/>
          <w:sz w:val="18"/>
        </w:rPr>
        <w:t>https://pubmed.ncbi.nlm.nih.gov/42790915/</w:t>
      </w:r>
    </w:p>
    <w:p>
      <w:pPr>
        <w:pStyle w:val="Heading1"/>
      </w:pPr>
      <w:r>
        <w:t>Aufgenommen am 30.09.2026</w:t>
      </w:r>
    </w:p>
    <w:p>
      <w:pPr>
        <w:pStyle w:val="Heading2"/>
      </w:pPr>
      <w:r>
        <w:t>Diagnostische Verzögerung bei POTS-Syndrom: 3 Jahre Median, massive Beeinträchtigung</w:t>
      </w:r>
    </w:p>
    <w:p>
      <w:r>
        <w:rPr>
          <w:i/>
          <w:color w:val="666666"/>
          <w:sz w:val="18"/>
        </w:rPr>
        <w:t>Seeley MC et al.  ·  BMJ Open  ·  29.09.2026  ·  PMID 42810796</w:t>
      </w:r>
    </w:p>
    <w:p>
      <w:r>
        <w:t>Beobachtungskohorte mit 500 Patienten mit bestätigtem Postural-Orthostatic-Tachycardia-Syndrom (POTS) aus australischer Registry dokumentierte Symptombürde, diagnostische Verzögerung und Funktionsbeeinträchtigung.</w:t>
      </w:r>
    </w:p>
    <w:p>
      <w:r>
        <w:rPr>
          <w:b/>
        </w:rPr>
        <w:t xml:space="preserve">Ergebnis: </w:t>
      </w:r>
      <w:r>
        <w:t>Mediane diagnostische Verzögerung 3,0 Jahre (IQR 9,0), 25,5% hatten ≥10 Jahre Verzögerung. Trotz jungen Alters (Durchschnitt 31,3 Jahre) und hoher Bildung: 22% arbeitslos oder könnten nicht zur Schule gehen. Infektion war der häufigste Auslöser (39,4%). Höhere autonome Symptombelastung korrelierte mit mehr Fatigue (FSS 56,0 vs. 48,0; p&lt;0,001), Magen-Darm-Symptomen (GCSI 1,60 vs. 0,89; p&lt;0,001) und schlechterer Lebensqualität (EQ-5D 0,547 vs. 0,717; p&lt;0,001).</w:t>
      </w:r>
    </w:p>
    <w:p>
      <w:r>
        <w:rPr>
          <w:b/>
          <w:sz w:val="19"/>
        </w:rPr>
        <w:t xml:space="preserve">Übertragbarkeit: </w:t>
      </w:r>
      <w:r>
        <w:rPr>
          <w:sz w:val="19"/>
        </w:rPr>
        <w:t>Australien, vergleichbare Primärversorgungsstrukturen, ähnlicher Versorgungsauftrag</w:t>
      </w:r>
    </w:p>
    <w:p>
      <w:r>
        <w:rPr>
          <w:color w:val="5A7D3A"/>
          <w:sz w:val="18"/>
        </w:rPr>
        <w:t>https://pubmed.ncbi.nlm.nih.gov/42810796/</w:t>
      </w:r>
    </w:p>
    <w:p>
      <w:pPr>
        <w:pStyle w:val="Heading2"/>
      </w:pPr>
      <w:r>
        <w:t>Mehrfacherkrankung in Alltag und Versorgung: Qualitative Studie zu komplexer Multimorbidität in Dänemark</w:t>
      </w:r>
    </w:p>
    <w:p>
      <w:r>
        <w:rPr>
          <w:i/>
          <w:color w:val="666666"/>
          <w:sz w:val="18"/>
        </w:rPr>
        <w:t>Poulsen AG et al.  ·  Prim Health Care Res Dev  ·  29.09.2026  ·  PMID 42808657</w:t>
      </w:r>
    </w:p>
    <w:p>
      <w:r>
        <w:t>Qualitative Interviews mit 8 Patienten mit komplexer Multimorbidität zeigten, dass diese Patienten trotz mehrerer Diagnosen keine Kontinuität über alle Erkrankungen hinweg erwarten, sondern wünschen sich spezialisierte Betreuung pro Fachgebiet und einen professionellen Lotsen – häufig den Hausarzt – als Unterstützung.</w:t>
      </w:r>
    </w:p>
    <w:p>
      <w:r>
        <w:rPr>
          <w:b/>
        </w:rPr>
        <w:t xml:space="preserve">Ergebnis: </w:t>
      </w:r>
      <w:r>
        <w:t>Kernfindung: Patienten verfolgen aktiv Bewältigungsstrategien zwischen medizinischen Empfehlungen und persönlichen Prioritäten. Ein Ansprechpartner (oft der Hausarzt) war ein signifikanter Unterstützungsfaktor. Die Ergebnisse unterstreichen die Notwendigkeit einer patientenzentrierten Versorgung, die individuelle Ressourcen anerkennt.</w:t>
      </w:r>
    </w:p>
    <w:p>
      <w:r>
        <w:rPr>
          <w:b/>
          <w:sz w:val="19"/>
        </w:rPr>
        <w:t xml:space="preserve">Übertragbarkeit: </w:t>
      </w:r>
      <w:r>
        <w:rPr>
          <w:sz w:val="19"/>
        </w:rPr>
        <w:t>Dänemark, vergleichbares Primärarztsystem mit Gatekeeper-Funktion</w:t>
      </w:r>
    </w:p>
    <w:p>
      <w:r>
        <w:rPr>
          <w:color w:val="5A7D3A"/>
          <w:sz w:val="18"/>
        </w:rPr>
        <w:t>https://pubmed.ncbi.nlm.nih.gov/42808657/</w:t>
      </w:r>
    </w:p>
    <w:p>
      <w:pPr>
        <w:pStyle w:val="Heading2"/>
      </w:pPr>
      <w:r>
        <w:t>Post-COVID-19-Symptome bei Asthma und COPD: Risikofaktoren identifiziert</w:t>
      </w:r>
    </w:p>
    <w:p>
      <w:r>
        <w:rPr>
          <w:i/>
          <w:color w:val="666666"/>
          <w:sz w:val="18"/>
        </w:rPr>
        <w:t>Andreason A et al.  ·  NPJ Prim Care Respir Med  ·  29.09.2026  ·  PMID 42805994</w:t>
      </w:r>
    </w:p>
    <w:p>
      <w:r>
        <w:t>Querschnittstudie mit 494 Patienten mit bestätigter COVID-19-Infektion aus dem schwedischen PRAXIS-Register untersuchte Häufigkeit und Risikofaktoren für persistierende Symptome bei Asthma oder COPD.</w:t>
      </w:r>
    </w:p>
    <w:p>
      <w:r>
        <w:rPr>
          <w:b/>
        </w:rPr>
        <w:t xml:space="preserve">Ergebnis: </w:t>
      </w:r>
      <w:r>
        <w:t>59% (289/494) berichteten Post-COVID-19-Symptome. Unabhängige Risikofaktoren: schwere akute Infektion (aOR 8,91), höheres Alter (aOR 1,25 pro Jahr), weibliches Geschlecht (aOR 1,52), Adipositas (aOR 2,24), Angststörung/Depression (aOR 1,79) und chronischer Schmerz (aOR 3,61). Patienten mit Asthma/COPD hatten höhere Prävalenz persistierender Symptome als andere Populationen.</w:t>
      </w:r>
    </w:p>
    <w:p>
      <w:r>
        <w:rPr>
          <w:b/>
          <w:sz w:val="19"/>
        </w:rPr>
        <w:t xml:space="preserve">Übertragbarkeit: </w:t>
      </w:r>
      <w:r>
        <w:rPr>
          <w:sz w:val="19"/>
        </w:rPr>
        <w:t>Schweden, europäisches Primärversorgungssystem, vergleichbare Dokumentation</w:t>
      </w:r>
    </w:p>
    <w:p>
      <w:r>
        <w:rPr>
          <w:color w:val="5A7D3A"/>
          <w:sz w:val="18"/>
        </w:rPr>
        <w:t>https://pubmed.ncbi.nlm.nih.gov/42805994/</w:t>
      </w:r>
    </w:p>
    <w:p>
      <w:pPr>
        <w:pStyle w:val="Heading2"/>
      </w:pPr>
      <w:r>
        <w:t>Spezialistisch versorgte chronische Erkrankungen im Primärarztsystem: Analyse deutscher Kassendaten</w:t>
      </w:r>
    </w:p>
    <w:p>
      <w:r>
        <w:rPr>
          <w:i/>
          <w:color w:val="666666"/>
          <w:sz w:val="18"/>
        </w:rPr>
        <w:t>Mangiapane S et al.  ·  Bundesgesundheitsblatt Gesundheitsforschung Gesundheitsschutz  ·  08.09.2026  ·  PMID 42709072</w:t>
      </w:r>
    </w:p>
    <w:p>
      <w:r>
        <w:t>Analyse von bundesweiten Abrechnungsdaten für 2024 identifizierte 173 Diagnosegruppen mit hoher fachärztlicher Versorgungsrelevanz, um zu prüfen, welche chronischen Erkrankungen primärärztlich von Spezialisten koordiniert werden könnten.</w:t>
      </w:r>
    </w:p>
    <w:p>
      <w:r>
        <w:rPr>
          <w:b/>
        </w:rPr>
        <w:t xml:space="preserve">Ergebnis: </w:t>
      </w:r>
      <w:r>
        <w:t>Bei Patienten mit Nierenfunktionsstörung (N25) höchster fachärztlicher Anteil: 83% erhielten nephrologische Behandlung, Nephrologen verantwortlich für 77% krankheitsspezifischer Fälle, aber nur 37% aller Behandlungstage. Bei allen fünf exemplarisch analysierten Indikationen (F33, G35, K51, M05, N25) entfielen 43–55% aller Behandlungstage auf Hausärzte, 92–97% der Patienten wurden hausärztlich versorgt. Schlussfolgerung: Spezialistisch geleitete primärärztliche Versorgung würde umfassende fachübergreifende Koordination erfordern, die wahrscheinlich nur für Einzelfälle realistisch ist.</w:t>
      </w:r>
    </w:p>
    <w:p>
      <w:r>
        <w:rPr>
          <w:b/>
          <w:sz w:val="19"/>
        </w:rPr>
        <w:t xml:space="preserve">Übertragbarkeit: </w:t>
      </w:r>
      <w:r>
        <w:rPr>
          <w:sz w:val="19"/>
        </w:rPr>
        <w:t>Deutschland, eigene Kassendaten, Struktur des Versicherungssystems identisch</w:t>
      </w:r>
    </w:p>
    <w:p>
      <w:r>
        <w:rPr>
          <w:color w:val="5A7D3A"/>
          <w:sz w:val="18"/>
        </w:rPr>
        <w:t>https://pubmed.ncbi.nlm.nih.gov/42709072/</w:t>
      </w:r>
    </w:p>
    <w:p>
      <w:pPr>
        <w:pStyle w:val="Heading2"/>
      </w:pPr>
      <w:r>
        <w:t>Steatose bei chronischer Hepatitis B: 42% Prävalenz bei vulnerablen Patienten, HBeAg protektiv, T2DM risikosteigernd</w:t>
      </w:r>
    </w:p>
    <w:p>
      <w:r>
        <w:rPr>
          <w:i/>
          <w:color w:val="666666"/>
          <w:sz w:val="18"/>
        </w:rPr>
        <w:t>Trifan A et al.  ·  J Gastrointestin Liver Dis  ·  29.08.2026  ·  PMID 42667659</w:t>
      </w:r>
    </w:p>
    <w:p>
      <w:r>
        <w:t>Prospektive Querschnittsstudie mit 1.970 Patienten mit chronischer Hepatitis B aus Screening-Programm in Rumänien (LIVE(RO)2) identifizierte metabolische Risikofaktoren für hepatische Steatose mittels kontrollierter Dämpfungsparameter (CAP).</w:t>
      </w:r>
    </w:p>
    <w:p>
      <w:r>
        <w:rPr>
          <w:b/>
        </w:rPr>
        <w:t xml:space="preserve">Ergebnis: </w:t>
      </w:r>
      <w:r>
        <w:t>Steatose-Prävalenz 42,2% bei vulnerablen (sozial benachteiligten) Patienten vs. 26,4% bei nicht-vulnerablen. Vulnerable Patienten hatten höhere Prävalenz von T2DM (11,5%), Hypertonie (41,3%) und Übergewicht (71,3%). HBeAg-Positivität war protektiv gegen Steatose (aOR 0,397), aber erhöhte Zirrhose-Risiko um Faktor 6. Schwere Fibrose (≥F3): 17,1% bei vulnerablen vs. 9,7% bei nicht-vulnerablen.</w:t>
      </w:r>
    </w:p>
    <w:p>
      <w:r>
        <w:rPr>
          <w:b/>
          <w:sz w:val="19"/>
        </w:rPr>
        <w:t xml:space="preserve">Übertragbarkeit: </w:t>
      </w:r>
      <w:r>
        <w:rPr>
          <w:sz w:val="19"/>
        </w:rPr>
        <w:t>Rumänien, Länder Südosteuropas, Primärversorgungsdaten, Struktur ähnlich mitteleuro­päischen Systemen</w:t>
      </w:r>
    </w:p>
    <w:p>
      <w:r>
        <w:rPr>
          <w:color w:val="5A7D3A"/>
          <w:sz w:val="18"/>
        </w:rPr>
        <w:t>https://pubmed.ncbi.nlm.nih.gov/42667659/</w:t>
      </w:r>
    </w:p>
    <w:p>
      <w:pPr>
        <w:pStyle w:val="Heading2"/>
      </w:pPr>
      <w:r>
        <w:t>Point-of-Care-Ultraschall in Zambia erkennt Zirrhose mit moderater Genauigkeit</w:t>
      </w:r>
    </w:p>
    <w:p>
      <w:r>
        <w:rPr>
          <w:i/>
          <w:color w:val="666666"/>
          <w:sz w:val="18"/>
        </w:rPr>
        <w:t>Bertoni C et al.  ·  J Viral Hepat  ·  Sept. 2026  ·  PMID 42547938</w:t>
      </w:r>
    </w:p>
    <w:p>
      <w:r>
        <w:t>Machbarkeitsstudie mit 197 Patienten mit chronischer Hepatitis B ± HIV in Zambia testete, ob trainierte nicht-radiologische Fachkräfte ein vereinfachtes Ultraschallprotokoll (PUSH) zur Erkennung von Fibrose, Zirrhose und HCC einsetzen können.</w:t>
      </w:r>
    </w:p>
    <w:p>
      <w:r>
        <w:rPr>
          <w:b/>
        </w:rPr>
        <w:t xml:space="preserve">Ergebnis: </w:t>
      </w:r>
      <w:r>
        <w:t>Nach kurzer Schulung: PUSH zeigte niedrige Genauigkeit für signifikante Fibrose (Sensitivität 8,3%, Spezifität 100%, AUROC 0,54), moderate Genauigkeit für Zirrhose (Sensitivität 60,9%, Spezifität 97,7%, AUROC 0,79) und höhere Genauigkeit für Leberläsionen verdächtig auf HCC (Sensitivität 85,7%, Spezifität 98,4%, AUROC 0,92). Schlussfolgerung: Frontline-Fachkräfte können PUSH für Zirrhose und Leberläsionen nutzen, wenn Labor- und Elastographiesysteme fehlen.</w:t>
      </w:r>
    </w:p>
    <w:p>
      <w:r>
        <w:rPr>
          <w:b/>
          <w:sz w:val="19"/>
        </w:rPr>
        <w:t xml:space="preserve">Übertragbarkeit: </w:t>
      </w:r>
      <w:r>
        <w:rPr>
          <w:sz w:val="19"/>
        </w:rPr>
        <w:t>Ressourcenarm-Setting, Übertragbarkeit auf Deutschland gering, aber Methodische Relevanz für Versorgung ohne hochwertige Labordiagnostik</w:t>
      </w:r>
    </w:p>
    <w:p>
      <w:r>
        <w:rPr>
          <w:color w:val="5A7D3A"/>
          <w:sz w:val="18"/>
        </w:rPr>
        <w:t>https://pubmed.ncbi.nlm.nih.gov/42547938/</w:t>
      </w:r>
    </w:p>
    <w:p>
      <w:pPr>
        <w:pStyle w:val="Heading1"/>
      </w:pPr>
      <w:r>
        <w:t>Aufgenommen am 29.09.2026</w:t>
      </w:r>
    </w:p>
    <w:p>
      <w:pPr>
        <w:pStyle w:val="Heading2"/>
      </w:pPr>
      <w:r>
        <w:t>Sarcopenie bei chronischer Nierenkrankheit: 28 % Prävalenz bei ESRD, assoziiert mit Metabolik und Frailty</w:t>
      </w:r>
    </w:p>
    <w:p>
      <w:r>
        <w:rPr>
          <w:i/>
          <w:color w:val="666666"/>
          <w:sz w:val="18"/>
        </w:rPr>
        <w:t>Agidew MM et al.  ·  BMJ Open  ·  28.09.2026  ·  PMID 42805656</w:t>
      </w:r>
    </w:p>
    <w:p>
      <w:r>
        <w:t>Querschnittstudie aus Äthiopien zu Sarcopenie-Prävalenz und Risikofaktoren bei erwachsenen CKD-Patienten (n=120) in einer nephrologischen Klinik, mit fokus auf ESRD-Differenzierung.</w:t>
      </w:r>
    </w:p>
    <w:p>
      <w:r>
        <w:rPr>
          <w:b/>
        </w:rPr>
        <w:t xml:space="preserve">Ergebnis: </w:t>
      </w:r>
      <w:r>
        <w:t>Sarcopenie-Prävalenz war signifikant höher bei ESRD als ohne ESRD (28,3 % vs. 10,0 %; p=0,01). Unabhängige Prädiktoren waren niedriges HDL, erhöhtes Triglycerid, Hyperglykämie, Hypertonie und Frailty. Korrelationen mit Nierenfunktion (r=−0,291; p=0,001) und oxidativem Stress bestätigt.</w:t>
      </w:r>
    </w:p>
    <w:p>
      <w:r>
        <w:rPr>
          <w:b/>
          <w:sz w:val="19"/>
        </w:rPr>
        <w:t xml:space="preserve">Übertragbarkeit: </w:t>
      </w:r>
      <w:r>
        <w:rPr>
          <w:sz w:val="19"/>
        </w:rPr>
        <w:t>Äthiopien, aber CKD-Komplikationen global, Screening-Empfehlungen übertragbar</w:t>
      </w:r>
    </w:p>
    <w:p>
      <w:r>
        <w:rPr>
          <w:color w:val="5A7D3A"/>
          <w:sz w:val="18"/>
        </w:rPr>
        <w:t>https://pubmed.ncbi.nlm.nih.gov/42805656/</w:t>
      </w:r>
    </w:p>
    <w:p>
      <w:pPr>
        <w:pStyle w:val="Heading2"/>
      </w:pPr>
      <w:r>
        <w:t>Nierentransplantate von Spendern mit Diabetes: 5-Jahres-Funktion nach Matchingvergleich unbedenklich</w:t>
      </w:r>
    </w:p>
    <w:p>
      <w:r>
        <w:rPr>
          <w:i/>
          <w:color w:val="666666"/>
          <w:sz w:val="18"/>
        </w:rPr>
        <w:t>Colella-Santos M et al.  ·  Clin Transplant  ·  Okt. 2026  ·  PMID 42804549</w:t>
      </w:r>
    </w:p>
    <w:p>
      <w:r>
        <w:t>Retrospektive brasilianische Kohortenstudie zu 5-Jahres-Nierenfunktion und Transplantat-Überleben nach Nierentransplantation mit verstorbenen Spendern mit oder ohne Diabetes mellitus (n=3.058), mit Propensity-Score-Matching.</w:t>
      </w:r>
    </w:p>
    <w:p>
      <w:r>
        <w:rPr>
          <w:b/>
        </w:rPr>
        <w:t xml:space="preserve">Ergebnis: </w:t>
      </w:r>
      <w:r>
        <w:t>Nach Matching unterschieden sich eGFR über 5 Jahre, eGFR-Steigung und zensiertes Transplantat-Überleben nicht zwischen Spendern mit und ohne Diabetes. Pre-implantations-Biopsien zeigten selten Diabetes-assoziierte glomeruläre Läsionen; keine Banff-Parameter sagten eGFR&lt;30 oder Transplantatverlust voraus (alle p&gt;0,05).</w:t>
      </w:r>
    </w:p>
    <w:p>
      <w:r>
        <w:rPr>
          <w:b/>
          <w:sz w:val="19"/>
        </w:rPr>
        <w:t xml:space="preserve">Übertragbarkeit: </w:t>
      </w:r>
      <w:r>
        <w:rPr>
          <w:sz w:val="19"/>
        </w:rPr>
        <w:t>Brasilien, aber Organallokation und Transplantat-Qualitätskriterien überträglich</w:t>
      </w:r>
    </w:p>
    <w:p>
      <w:r>
        <w:rPr>
          <w:color w:val="5A7D3A"/>
          <w:sz w:val="18"/>
        </w:rPr>
        <w:t>https://pubmed.ncbi.nlm.nih.gov/42804549/</w:t>
      </w:r>
    </w:p>
    <w:p>
      <w:pPr>
        <w:pStyle w:val="Heading2"/>
      </w:pPr>
      <w:r>
        <w:t>Ältere mit konservativer Nierenfunktions-Erhaltung lehnen Dialyse ab – Nephrologie stellt sie selten bereit</w:t>
      </w:r>
    </w:p>
    <w:p>
      <w:r>
        <w:rPr>
          <w:i/>
          <w:color w:val="666666"/>
          <w:sz w:val="18"/>
        </w:rPr>
        <w:t>Geiger MP et al.  ·  JAMA Netw Open  ·  01.09.2026  ·  PMID 42804203</w:t>
      </w:r>
    </w:p>
    <w:p>
      <w:r>
        <w:t>Qualitative Sekundäranalyse von Klinikakten aus zwei US-RCTs (CKD-EDU und DIAL-SDM, 2019–2024) zur Entscheidungsfindung von älteren (≥75 Jahren) mit ESRD bezüglich konservativer Nierenbehandlung ohne Dialyse.</w:t>
      </w:r>
    </w:p>
    <w:p>
      <w:r>
        <w:rPr>
          <w:b/>
        </w:rPr>
        <w:t xml:space="preserve">Ergebnis: </w:t>
      </w:r>
      <w:r>
        <w:t>35 von 118 Patienten (mittl. Alter 82 J.) wählten konservative Behandlung. Gründe: Vermeidung von Dialyse-Belastung zur Qualitätserhaltung, schlechte Gesundheit, Beobachtung von Dialyse-Folgen bei Angehörigen, Schutz vor Übermedikalisierung am Lebensende. Nephrologists hinterfragten häufig zielkonkordante Entscheidungen, initiierten selten Advance-Care-Planning.</w:t>
      </w:r>
    </w:p>
    <w:p>
      <w:r>
        <w:rPr>
          <w:b/>
          <w:sz w:val="19"/>
        </w:rPr>
        <w:t xml:space="preserve">Übertragbarkeit: </w:t>
      </w:r>
      <w:r>
        <w:rPr>
          <w:sz w:val="19"/>
        </w:rPr>
        <w:t>USA, aber Shared Decision Making und Palliativversorgung international relevant</w:t>
      </w:r>
    </w:p>
    <w:p>
      <w:r>
        <w:rPr>
          <w:color w:val="5A7D3A"/>
          <w:sz w:val="18"/>
        </w:rPr>
        <w:t>https://pubmed.ncbi.nlm.nih.gov/42804203/</w:t>
      </w:r>
    </w:p>
    <w:p>
      <w:pPr>
        <w:pStyle w:val="Heading2"/>
      </w:pPr>
      <w:r>
        <w:t>Therapietreue senkt HCC-Inzidenz bei Hepatitis-B-Zirrhose um 23 %</w:t>
      </w:r>
    </w:p>
    <w:p>
      <w:r>
        <w:rPr>
          <w:i/>
          <w:color w:val="666666"/>
          <w:sz w:val="18"/>
        </w:rPr>
        <w:t>Shin YE et al.  ·  J Med Virol  ·  Okt. 2026  ·  PMID 42803662</w:t>
      </w:r>
    </w:p>
    <w:p>
      <w:r>
        <w:t>Kohortenstudie mit südkoreanischen Abrechnungsdaten zur Assoziation zwischen Therapietreue (Medikamentenpossession-Ratio ≥90 %) bei Nukleosid-Analoga-Therapie und Hepatozellulären Karzinom-Risiko bei chronischer Hepatitis B.</w:t>
      </w:r>
    </w:p>
    <w:p>
      <w:r>
        <w:rPr>
          <w:b/>
        </w:rPr>
        <w:t xml:space="preserve">Ergebnis: </w:t>
      </w:r>
      <w:r>
        <w:t>Bei Patienten mit Claims-definierter Zirrhose zeigte hohe Therapietreue eine 34 % niedrigere HCC-Inzidenz als geringe Treue (32,92 vs. 49,59 pro 1000 Personenjahre; IR-Ratio 0,66; 95%-KI 0,57–0,78), in multivariaten Cox-Regressionen bestätigt (HR 0,77; 95%-KI 0,66–0,90).</w:t>
      </w:r>
    </w:p>
    <w:p>
      <w:r>
        <w:rPr>
          <w:b/>
          <w:sz w:val="19"/>
        </w:rPr>
        <w:t xml:space="preserve">Übertragbarkeit: </w:t>
      </w:r>
      <w:r>
        <w:rPr>
          <w:sz w:val="19"/>
        </w:rPr>
        <w:t>Südkorea, nationales Versicherungssystem vergleichbar mit Deutschland</w:t>
      </w:r>
    </w:p>
    <w:p>
      <w:r>
        <w:rPr>
          <w:color w:val="5A7D3A"/>
          <w:sz w:val="18"/>
        </w:rPr>
        <w:t>https://pubmed.ncbi.nlm.nih.gov/42803662/</w:t>
      </w:r>
    </w:p>
    <w:p>
      <w:pPr>
        <w:pStyle w:val="Heading2"/>
      </w:pPr>
      <w:r>
        <w:t>Automatische Peritonealdialyse senkt Restfunktion schneller als CAPD</w:t>
      </w:r>
    </w:p>
    <w:p>
      <w:r>
        <w:rPr>
          <w:i/>
          <w:color w:val="666666"/>
          <w:sz w:val="18"/>
        </w:rPr>
        <w:t>Sun L et al.  ·  Ren Fail  ·  27.09.2026  ·  PMID 42802590</w:t>
      </w:r>
    </w:p>
    <w:p>
      <w:r>
        <w:t>Retrospektive chinesische Kohortenstudie zu Nierenrestfunktion (RKF) bei Peritonealdialyse-Patienten mit Neudiagnose ESKD, vergleichend nach Modalität (APD vs. CAPD).</w:t>
      </w:r>
    </w:p>
    <w:p>
      <w:r>
        <w:rPr>
          <w:b/>
        </w:rPr>
        <w:t xml:space="preserve">Ergebnis: </w:t>
      </w:r>
      <w:r>
        <w:t>Nach 6 Monaten Peritonealdialyse zeigte die APD-Gruppe signifikant niedrigere RKF (1,9±1,6 vs. 3,0±1,7 mL/min/1,73 m²; p=0,043) und schnelleren mittleren RKF-Rückgang (−6,6±2,5 vs. −4,3±2,3 mL/min/1,73 m²/Jahr; p=0,002). In multivariater Regression war APD unabhängig mit beschleunigtem RKF-Rückgang assoziiert (β=0,93; p=0,004).</w:t>
      </w:r>
    </w:p>
    <w:p>
      <w:r>
        <w:rPr>
          <w:b/>
          <w:sz w:val="19"/>
        </w:rPr>
        <w:t xml:space="preserve">Übertragbarkeit: </w:t>
      </w:r>
      <w:r>
        <w:rPr>
          <w:sz w:val="19"/>
        </w:rPr>
        <w:t>China, aber Nierenersatzverfahren und Organschutz universal relevant</w:t>
      </w:r>
    </w:p>
    <w:p>
      <w:r>
        <w:rPr>
          <w:color w:val="5A7D3A"/>
          <w:sz w:val="18"/>
        </w:rPr>
        <w:t>https://pubmed.ncbi.nlm.nih.gov/42802590/</w:t>
      </w:r>
    </w:p>
    <w:p>
      <w:pPr>
        <w:pStyle w:val="Heading2"/>
      </w:pPr>
      <w:r>
        <w:t>Direkt-wirkende Antivirale sind sicher bei Hepatitis-C-Patienten mit Hypertonie</w:t>
      </w:r>
    </w:p>
    <w:p>
      <w:r>
        <w:rPr>
          <w:i/>
          <w:color w:val="666666"/>
          <w:sz w:val="18"/>
        </w:rPr>
        <w:t>Brzdęk M et al.  ·  Viruses  ·  12.07.2026  ·  PMID 42515615</w:t>
      </w:r>
    </w:p>
    <w:p>
      <w:r>
        <w:t>Retrospektive Kohortenstudie von 2015–2023 aus Polen zu Sicherheit und Wirksamkeit direkt-wirkender Antiviraler (DAA) bei HCV-infizierten Patienten mit arterieller Hypertonie.</w:t>
      </w:r>
    </w:p>
    <w:p>
      <w:r>
        <w:rPr>
          <w:b/>
        </w:rPr>
        <w:t xml:space="preserve">Ergebnis: </w:t>
      </w:r>
      <w:r>
        <w:t>Von 18.968 DAA-behandelten HCV-Patienten hatten 5.976 Hypertonie. Anhaltendes virologisches Ansprechen (SVR) war hoch und vergleichbar zwischen Hypertonie- und Nicht-Hypertonie-Gruppe (94,8 % vs. 94,2 % ITT-Analyse, 97,6 % vs. 97,6 % per-Protokoll). Hypertonie war nicht unabhängig mit Therapieversagen assoziiert (OR 0,87; 95%-KI 0,69–1,10).</w:t>
      </w:r>
    </w:p>
    <w:p>
      <w:r>
        <w:rPr>
          <w:b/>
          <w:sz w:val="19"/>
        </w:rPr>
        <w:t xml:space="preserve">Übertragbarkeit: </w:t>
      </w:r>
      <w:r>
        <w:rPr>
          <w:sz w:val="19"/>
        </w:rPr>
        <w:t>Polen, Struktur und Kostenträgermodell europäisch vergleichbar</w:t>
      </w:r>
    </w:p>
    <w:p>
      <w:r>
        <w:rPr>
          <w:color w:val="5A7D3A"/>
          <w:sz w:val="18"/>
        </w:rPr>
        <w:t>https://pubmed.ncbi.nlm.nih.gov/42515615/</w:t>
      </w:r>
    </w:p>
    <w:p>
      <w:pPr>
        <w:pStyle w:val="Heading1"/>
      </w:pPr>
      <w:r>
        <w:t>Aufgenommen am 28.09.2026</w:t>
      </w:r>
    </w:p>
    <w:p>
      <w:pPr>
        <w:pStyle w:val="Heading2"/>
      </w:pPr>
      <w:r>
        <w:t>Strukturierte COPD-Versorgung senkte Sterblichkeit nach akuter Exazerbation um 36 %</w:t>
      </w:r>
    </w:p>
    <w:p>
      <w:r>
        <w:rPr>
          <w:i/>
          <w:color w:val="666666"/>
          <w:sz w:val="18"/>
        </w:rPr>
        <w:t>Flury JS et al.  ·  Swiss Med Wkly  ·  31.08.2026  ·  PMID 42801453</w:t>
      </w:r>
    </w:p>
    <w:p>
      <w:r>
        <w:t>Retrospektive Kohorte von 1.855 Patienten mit akuter COPD-Exazerbation: Wer vor Hospitalisierung langwirkende inhalative Therapie erhielt, hatte deutlich bessere 1-Jahres-Überlebenschancen.</w:t>
      </w:r>
    </w:p>
    <w:p>
      <w:r>
        <w:rPr>
          <w:b/>
        </w:rPr>
        <w:t xml:space="preserve">Ergebnis: </w:t>
      </w:r>
      <w:r>
        <w:t>15,9 % Mortalität ohne Vortherapie vs. 10,1 % mit Vortherapie (adjustierte HR 1,95; 95%-KI 1,48–2,56; p&lt;0,001). Diagnostische und therapeutische Lücken waren erheblich: 50,6 % fehlte GOLD-Spirometrie-Staging, 82,6 % fehlte Risikostratifizierung.</w:t>
      </w:r>
    </w:p>
    <w:p>
      <w:r>
        <w:rPr>
          <w:b/>
          <w:sz w:val="19"/>
        </w:rPr>
        <w:t xml:space="preserve">Übertragbarkeit: </w:t>
      </w:r>
      <w:r>
        <w:rPr>
          <w:sz w:val="19"/>
        </w:rPr>
        <w:t>Schweiz, sekundäres Krankenhaus, vergleichbar mit deutscher Dokumentationspraxis und Strukturen.</w:t>
      </w:r>
    </w:p>
    <w:p>
      <w:r>
        <w:rPr>
          <w:color w:val="5A7D3A"/>
          <w:sz w:val="18"/>
        </w:rPr>
        <w:t>https://pubmed.ncbi.nlm.nih.gov/42801453/</w:t>
      </w:r>
    </w:p>
    <w:p>
      <w:pPr>
        <w:pStyle w:val="Heading2"/>
      </w:pPr>
      <w:r>
        <w:t>Natrium-Bikarbonat verbesserte Lebensqualität nicht bei CKD mit metabolischer Azidose</w:t>
      </w:r>
    </w:p>
    <w:p>
      <w:r>
        <w:rPr>
          <w:i/>
          <w:color w:val="666666"/>
          <w:sz w:val="18"/>
        </w:rPr>
        <w:t>Chan JYM et al.  ·  Qual Life Res  ·  27.09.2026  ·  PMID 42801387</w:t>
      </w:r>
    </w:p>
    <w:p>
      <w:r>
        <w:t>Pragmatische 18-Monats-RCT in Malaysia: 74 Patienten mit CKD Stadium 3–4 und metabolischer Azidose randomisiert zu Natrium-Bikarbonat (Tablette/Lösung) oder Standardbetreuung; Lebensqualität mittels KDQOL-36 und EQ-VAS gemessen.</w:t>
      </w:r>
    </w:p>
    <w:p>
      <w:r>
        <w:rPr>
          <w:b/>
        </w:rPr>
        <w:t xml:space="preserve">Ergebnis: </w:t>
      </w:r>
      <w:r>
        <w:t>Natrium-Bikarbonat erhöhte Serum-Bikarbonat initial, aber nur 1/3 erreichte Zielbereich 22–26 mmol/L. KDQOL-36- und EQ-VAS-Scores verbesserten sich nicht signifikant. CKD-Progression war unabhängig mit niedrigerer Lebensqualität assoziiert. Keine signifikanten Unterschiede in Blutdruck, Körpergewicht oder Hospitalisierungen.</w:t>
      </w:r>
    </w:p>
    <w:p>
      <w:r>
        <w:rPr>
          <w:b/>
          <w:sz w:val="19"/>
        </w:rPr>
        <w:t xml:space="preserve">Übertragbarkeit: </w:t>
      </w:r>
      <w:r>
        <w:rPr>
          <w:sz w:val="19"/>
        </w:rPr>
        <w:t>Malaysia, Primäre Versorgung, zeigt, dass Laborwerte nicht automatisch Patientenbefinden verbessern.</w:t>
      </w:r>
    </w:p>
    <w:p>
      <w:r>
        <w:rPr>
          <w:color w:val="5A7D3A"/>
          <w:sz w:val="18"/>
        </w:rPr>
        <w:t>https://pubmed.ncbi.nlm.nih.gov/42801387/</w:t>
      </w:r>
    </w:p>
    <w:p>
      <w:pPr>
        <w:pStyle w:val="Heading2"/>
      </w:pPr>
      <w:r>
        <w:t>Depression und Angst bei COPD-Patienten: Großflächig unterdiagnostiziert und untertherapiert</w:t>
      </w:r>
    </w:p>
    <w:p>
      <w:r>
        <w:rPr>
          <w:i/>
          <w:color w:val="666666"/>
          <w:sz w:val="18"/>
        </w:rPr>
        <w:t>Valiulis T et al.  ·  Int J Chron Obstruct Pulmon Dis  ·  22.09.2026  ·  PMID 42801175</w:t>
      </w:r>
    </w:p>
    <w:p>
      <w:r>
        <w:t>Landesweite Sekundärdatenanalyse aus Litauen mit 64.246 COPD-Patienten zur Häufigkeit psychiatrischer Komorbiditäten und deren Behandlung.</w:t>
      </w:r>
    </w:p>
    <w:p>
      <w:r>
        <w:rPr>
          <w:b/>
        </w:rPr>
        <w:t xml:space="preserve">Ergebnis: </w:t>
      </w:r>
      <w:r>
        <w:t>18,1 % hatte diagnostizierte psychiatrische Störung (26,8 % Frauen vs. 12,1 % Männer; adjustierte OR 2,40; p&lt;0,001). Angststörungen 15,0 %, depressive Störungen 4,6 %. 61,9 % der betroffenen Patienten erhielten Psychopharmaka, davon 89,9 % Anxiolytika. Hausärzte verschrieben 10,66-fach häufiger Anxiolytika als Psychiater.</w:t>
      </w:r>
    </w:p>
    <w:p>
      <w:r>
        <w:rPr>
          <w:b/>
          <w:sz w:val="19"/>
        </w:rPr>
        <w:t xml:space="preserve">Übertragbarkeit: </w:t>
      </w:r>
      <w:r>
        <w:rPr>
          <w:sz w:val="19"/>
        </w:rPr>
        <w:t>Litauen, Primäre Versorgung, zeigt Versorgungslücke auch in europäischen Gesundheitssystemen.</w:t>
      </w:r>
    </w:p>
    <w:p>
      <w:r>
        <w:rPr>
          <w:color w:val="5A7D3A"/>
          <w:sz w:val="18"/>
        </w:rPr>
        <w:t>https://pubmed.ncbi.nlm.nih.gov/42801175/</w:t>
      </w:r>
    </w:p>
    <w:p>
      <w:pPr>
        <w:pStyle w:val="Heading2"/>
      </w:pPr>
      <w:r>
        <w:t>Multidimensionale COPD-Phänotypen lassen sich clustern, benötigen aber externe Validierung</w:t>
      </w:r>
    </w:p>
    <w:p>
      <w:r>
        <w:rPr>
          <w:i/>
          <w:color w:val="666666"/>
          <w:sz w:val="18"/>
        </w:rPr>
        <w:t>Portacci A et al.  ·  Medicina (Kaunas)  ·  29.08.2026  ·  PMID 42796263</w:t>
      </w:r>
    </w:p>
    <w:p>
      <w:r>
        <w:t>Explorative Querschnittsstudie mit 161 COPD-Patienten: Unüberwachte Clusteranalyse (PAM) auf klinische, funktionelle, radiologische und Labordaten zur Identifikation von Phänotyp-Subgruppen.</w:t>
      </w:r>
    </w:p>
    <w:p>
      <w:r>
        <w:rPr>
          <w:b/>
        </w:rPr>
        <w:t xml:space="preserve">Ergebnis: </w:t>
      </w:r>
      <w:r>
        <w:t>Zwei-Cluster-Lösung hatte höchste Silhouetten-Breite (0,184), aber geringe Trennung. Cluster 1 (n=78): höhere Symptom- und Exazerbationslast, schlechtere Lungenfunktion, stärkere statische Hyperinflation, kürzere 6-Minuten-Gehstrecke, häufiger Emphysem. Bootstrap-Resampling zeigte interne Stabilität, externe Validierung aber erforderlich. Nur LAMA/LABA/ICS-Einsatz unterschied sich signifikant zwischen Clustern.</w:t>
      </w:r>
    </w:p>
    <w:p>
      <w:r>
        <w:rPr>
          <w:b/>
          <w:sz w:val="19"/>
        </w:rPr>
        <w:t xml:space="preserve">Übertragbarkeit: </w:t>
      </w:r>
      <w:r>
        <w:rPr>
          <w:sz w:val="19"/>
        </w:rPr>
        <w:t>Italien, Sekundärversorgung; explorativ, externe Validierung ausstehend.</w:t>
      </w:r>
    </w:p>
    <w:p>
      <w:r>
        <w:rPr>
          <w:color w:val="5A7D3A"/>
          <w:sz w:val="18"/>
        </w:rPr>
        <w:t>https://pubmed.ncbi.nlm.nih.gov/42796263/</w:t>
      </w:r>
    </w:p>
    <w:p>
      <w:pPr>
        <w:pStyle w:val="Heading2"/>
      </w:pPr>
      <w:r>
        <w:t>RDW sagt 1-Jahres-Mortalität bei CKD mit Hypertonie voraus – praktisch anwendbar</w:t>
      </w:r>
    </w:p>
    <w:p>
      <w:r>
        <w:rPr>
          <w:i/>
          <w:color w:val="666666"/>
          <w:sz w:val="18"/>
        </w:rPr>
        <w:t>Li L et al.  ·  BMC Cardiovasc Disord  ·  08.08.2026  ·  PMID 42791552</w:t>
      </w:r>
    </w:p>
    <w:p>
      <w:r>
        <w:t>Retrospektive Kohorte von 6.731 ICU-Patienten mit hypertensiver CKD aus MIMIC-IV: Assoziation von Blutbild-Parametern (RDW, HRR, RPR) mit 1-Jahres-Mortalität mittels Cox-Regression und ROC-Analysen.</w:t>
      </w:r>
    </w:p>
    <w:p>
      <w:r>
        <w:rPr>
          <w:b/>
        </w:rPr>
        <w:t xml:space="preserve">Ergebnis: </w:t>
      </w:r>
      <w:r>
        <w:t>37,2 % (2.505/6.731) starben innerhalb eines Jahres. Erhöhtes RDW assoziiert mit erhöhtem Mortalitätsrisiko (HR 1,19; 95%-KI 1,16–1,21; p&lt;0,001). AUC für RDW 0,668, für HRR 0,600. RDW verbesserte Vorhersageleistung etablierter Risikomodelle; Subgruppen-Interaktionen mit CRRT-Einsatz und CKD-Stadium nachgewiesen.</w:t>
      </w:r>
    </w:p>
    <w:p>
      <w:r>
        <w:rPr>
          <w:b/>
          <w:sz w:val="19"/>
        </w:rPr>
        <w:t xml:space="preserve">Übertragbarkeit: </w:t>
      </w:r>
      <w:r>
        <w:rPr>
          <w:sz w:val="19"/>
        </w:rPr>
        <w:t>MIMIC-IV-Datenbank (USA), aber einfache Laborparameter ohne Kostensperre übertragbar.</w:t>
      </w:r>
    </w:p>
    <w:p>
      <w:r>
        <w:rPr>
          <w:color w:val="5A7D3A"/>
          <w:sz w:val="18"/>
        </w:rPr>
        <w:t>https://pubmed.ncbi.nlm.nih.gov/42791552/</w:t>
      </w:r>
    </w:p>
    <w:p>
      <w:pPr>
        <w:pStyle w:val="Heading2"/>
      </w:pPr>
      <w:r>
        <w:t>Kindliche Traumata verdoppeln Multimorbidität im Alter – Dosis-Wirkungs-Beziehung nachgewiesen</w:t>
      </w:r>
    </w:p>
    <w:p>
      <w:r>
        <w:rPr>
          <w:i/>
          <w:color w:val="666666"/>
          <w:sz w:val="18"/>
        </w:rPr>
        <w:t>Ahmed A et al.  ·  PLoS One  ·  25.09.2026  ·  PMID 42789523</w:t>
      </w:r>
    </w:p>
    <w:p>
      <w:r>
        <w:t>Querschnittsstudie mit 734 Nigeranern ≥60 Jahren: Kumulative adverse Kindheitserlebnisse (ACEs) und deren Assoziation mit Multimorbidität (≥2 chronische Erkrankungen).</w:t>
      </w:r>
    </w:p>
    <w:p>
      <w:r>
        <w:rPr>
          <w:b/>
        </w:rPr>
        <w:t xml:space="preserve">Ergebnis: </w:t>
      </w:r>
      <w:r>
        <w:t>68,4 % berichteten ≥4 ACEs. Multimorbidität bei 38,4 % (≥3 Erkrankungen). Unadjustierte OR für ≥4 ACEs: 67,14 (95%-KI 9,25–487,04). Nach Adjustierung (Alter, Geschlecht, Haushaltsgröße) OR 15,58 (95%-KI 1,33–182,21). Klare Dosis-Wirkungs-Beziehung nachgewiesen.</w:t>
      </w:r>
    </w:p>
    <w:p>
      <w:r>
        <w:rPr>
          <w:b/>
          <w:sz w:val="19"/>
        </w:rPr>
        <w:t xml:space="preserve">Übertragbarkeit: </w:t>
      </w:r>
      <w:r>
        <w:rPr>
          <w:sz w:val="19"/>
        </w:rPr>
        <w:t>Nigeria, aber Lebensverlauf-Mechanismus transkulturell relevant; zeigt Ungleichheit als Untersuchungsgegenstand.</w:t>
      </w:r>
    </w:p>
    <w:p>
      <w:r>
        <w:rPr>
          <w:color w:val="5A7D3A"/>
          <w:sz w:val="18"/>
        </w:rPr>
        <w:t>https://pubmed.ncbi.nlm.nih.gov/42789523/</w:t>
      </w:r>
    </w:p>
    <w:p>
      <w:pPr>
        <w:pStyle w:val="Heading1"/>
      </w:pPr>
      <w:r>
        <w:t>Aufgenommen am 27.09.2026</w:t>
      </w:r>
    </w:p>
    <w:p>
      <w:pPr>
        <w:pStyle w:val="Heading2"/>
      </w:pPr>
      <w:r>
        <w:t>Kritische Fehler bei 73 % der Patienten: Inhalationstechnik in Asthma und COPD deutlich verbesserbar</w:t>
      </w:r>
    </w:p>
    <w:p>
      <w:r>
        <w:rPr>
          <w:i/>
          <w:color w:val="666666"/>
          <w:sz w:val="18"/>
        </w:rPr>
        <w:t>Damasceno IHM et al.  ·  Can Respir J  ·  2026  ·  PMID 42799340</w:t>
      </w:r>
    </w:p>
    <w:p>
      <w:r>
        <w:t>Querschnittstudie an 575 Patienten (≥18 Jahre) mit Asthma und/oder COPD, die ihre Inhalationstechnik mit standardisierten Checklisten demonstrierten.</w:t>
      </w:r>
    </w:p>
    <w:p>
      <w:r>
        <w:rPr>
          <w:b/>
        </w:rPr>
        <w:t xml:space="preserve">Ergebnis: </w:t>
      </w:r>
      <w:r>
        <w:t>Nur 8,2% führten alle Schritte korrekt aus; 73,4% hatten ≥1 kritischen Fehler. Unabhängig assoziiert mit kritischen Fehlern: höheres Alter (OR 1,029 pro Jahr), Mehrgeräte-Nutzung (OR 2,500), schützend: inspiratorisch-unabhängige Mechanismen (OR 0,262). Ältere Patienten und Mehrgerätenutzer besonders vulnerabel.</w:t>
      </w:r>
    </w:p>
    <w:p>
      <w:r>
        <w:rPr>
          <w:b/>
          <w:sz w:val="19"/>
        </w:rPr>
        <w:t xml:space="preserve">Übertragbarkeit: </w:t>
      </w:r>
      <w:r>
        <w:rPr>
          <w:sz w:val="19"/>
        </w:rPr>
        <w:t>Brasilien, aber Technikmängel universell; Intervention mit lokalem Ressourcentransfer übertragbar</w:t>
      </w:r>
    </w:p>
    <w:p>
      <w:r>
        <w:rPr>
          <w:color w:val="5A7D3A"/>
          <w:sz w:val="18"/>
        </w:rPr>
        <w:t>https://pubmed.ncbi.nlm.nih.gov/42799340/</w:t>
      </w:r>
    </w:p>
    <w:p>
      <w:pPr>
        <w:pStyle w:val="Heading2"/>
      </w:pPr>
      <w:r>
        <w:t>Finerenon reduziert Proteinurie um 52 % bei Typ-2-Diabetes mit CKD und hoher Proteinausscheidung</w:t>
      </w:r>
    </w:p>
    <w:p>
      <w:r>
        <w:rPr>
          <w:i/>
          <w:color w:val="666666"/>
          <w:sz w:val="18"/>
        </w:rPr>
        <w:t>Sun N et al.  ·  Front Endocrinol (Lausanne)  ·  11.09.2026  ·  PMID 42798812</w:t>
      </w:r>
    </w:p>
    <w:p>
      <w:r>
        <w:t>Retrospektive Kohortenstudie an 134 Patienten mit Typ-2-Diabetes und CKD mit Proteinurie &gt;1 g/d, behandelt mit oder ohne Finerenon über 12 Monate.</w:t>
      </w:r>
    </w:p>
    <w:p>
      <w:r>
        <w:rPr>
          <w:b/>
        </w:rPr>
        <w:t xml:space="preserve">Ergebnis: </w:t>
      </w:r>
      <w:r>
        <w:t>Finerenon-Gruppe: 52,8% mit erhaltener gestufter Proteinurie-Verbesserung vs. Kontrolle 33,3%. Nach Propensity Score-Gewichtung: OR 1,26 (95% KI 1,07–1,47; p=0,004). Kaplan-Meier zeigte signifikanten Unterschied in der Zeit bis zur Verbesserung (Log-rank p=0,026–0,033). Kein erhöhtes Hyperkalämie-Risiko über 12 Monate.</w:t>
      </w:r>
    </w:p>
    <w:p>
      <w:r>
        <w:rPr>
          <w:b/>
          <w:sz w:val="19"/>
        </w:rPr>
        <w:t xml:space="preserve">Übertragbarkeit: </w:t>
      </w:r>
      <w:r>
        <w:rPr>
          <w:sz w:val="19"/>
        </w:rPr>
        <w:t>China, aber Finerenon europäisch zugelassen; Mehrfacherkrankung (Diabetes+CKD) zentral</w:t>
      </w:r>
    </w:p>
    <w:p>
      <w:r>
        <w:rPr>
          <w:color w:val="5A7D3A"/>
          <w:sz w:val="18"/>
        </w:rPr>
        <w:t>https://pubmed.ncbi.nlm.nih.gov/42798812/</w:t>
      </w:r>
    </w:p>
    <w:p>
      <w:pPr>
        <w:pStyle w:val="Heading2"/>
      </w:pPr>
      <w:r>
        <w:t>Nach Stoppung antiviraler Therapie bei Hepatitis B: 20 % erzielen HBsAg-Verlust, aber 24 % schwere Schübe</w:t>
      </w:r>
    </w:p>
    <w:p>
      <w:r>
        <w:rPr>
          <w:i/>
          <w:color w:val="666666"/>
          <w:sz w:val="18"/>
        </w:rPr>
        <w:t>Lund K et al.  ·  Viruses  ·  15.09.2026  ·  PMID 42797857</w:t>
      </w:r>
    </w:p>
    <w:p>
      <w:r>
        <w:t>Prospektive Studie an 25 HBeAg-negativen Patienten ohne Zirrhose, die nach ≥3 Jahren Nukleos(t)id-Analog-Therapie abstoppten, mit 2-jähriger monatlicher Nachsorge (initial 6 Monate).</w:t>
      </w:r>
    </w:p>
    <w:p>
      <w:r>
        <w:rPr>
          <w:b/>
        </w:rPr>
        <w:t xml:space="preserve">Ergebnis: </w:t>
      </w:r>
      <w:r>
        <w:t>Nach Therapie-Stopp: 5 Patienten (20%) HBsAg-Seroclearance-Muster (4 HBsAg-Negativität, 1 &lt;1 IU/mL); 7 (28%) immunologische Kontrolle mit persistierend niedriger HBV-DNA und normaler ALT; 6 (24%) schwere Schübe mit Therapie-Wiederaufnahme, einschließlich 1 fulminanter Hepatitis mit Lebertransplantation. Alle mit schwerem Schub hatten detektierbare HBcrAg bei Therapie-Stopp. Spitzen-HBV-DNA korrelierte mit und präzedierte Spitzen-ALT.</w:t>
      </w:r>
    </w:p>
    <w:p>
      <w:r>
        <w:rPr>
          <w:b/>
          <w:sz w:val="19"/>
        </w:rPr>
        <w:t xml:space="preserve">Übertragbarkeit: </w:t>
      </w:r>
      <w:r>
        <w:rPr>
          <w:sz w:val="19"/>
        </w:rPr>
        <w:t>Schweden, aber internationale Patienten; enges Monitoring mit schnellen HBV-DNA-Tests in Deutschland verfügbar</w:t>
      </w:r>
    </w:p>
    <w:p>
      <w:r>
        <w:rPr>
          <w:color w:val="5A7D3A"/>
          <w:sz w:val="18"/>
        </w:rPr>
        <w:t>https://pubmed.ncbi.nlm.nih.gov/42797857/</w:t>
      </w:r>
    </w:p>
    <w:p>
      <w:pPr>
        <w:pStyle w:val="Heading2"/>
      </w:pPr>
      <w:r>
        <w:t>Ketoanaloga-ergänzte Protein-Diät bei CKD und Herzinsuffizienz: Körpergewicht sinkt, Albumin stabil</w:t>
      </w:r>
    </w:p>
    <w:p>
      <w:r>
        <w:rPr>
          <w:i/>
          <w:color w:val="666666"/>
          <w:sz w:val="18"/>
        </w:rPr>
        <w:t>Tanasescu MD et al.  ·  Nutrients  ·  20.09.2026  ·  PMID 42797051</w:t>
      </w:r>
    </w:p>
    <w:p>
      <w:r>
        <w:t>Retrospektive Kohortenstudie an 75 Erwachsenen mit fortgeschrittener nicht-dialysepflichtiger CKD und chronischer Herzinsuffizienz, behandelt mit Ketoanaloga-ergänzter sehr niedriger Protein-Diät (0,28–0,40 g/kg/Tag) über Median 243 Tage mit Ernährungsberater-Unterstützung.</w:t>
      </w:r>
    </w:p>
    <w:p>
      <w:r>
        <w:rPr>
          <w:b/>
        </w:rPr>
        <w:t xml:space="preserve">Ergebnis: </w:t>
      </w:r>
      <w:r>
        <w:t>Primäres Outcome (Körpergewichtsverlust): Hodges-Lehmann-Schätzung −3,99% (95% KI −4,68 bis −3,42; p&lt;0,001). Mittleres Körpergewicht sank von 75,85±7,98 auf 72,65±7,09 kg (−3,10 kg; 95% KI −3,60 bis −2,65). BMI sank (−0,95 kg/m²; p&lt;0,001). ≥5% Gewichtsverlust bei 22 Patienten (29,3%), keiner ≥10%. Serumalbumin und Gesamtprotein stiegen leicht an. eGFR-Abfall moderat (−1,50 mL/min/1,73 m²; p=0,007). Phosphor, Kalzium-Phosphor-Produkt, PTH und alkalische Phosphatase sanken, Kalzium stieg. NYHA-Klasse in 61 Patienten (81,3%) unverändert, LVEF leicht gesunken.</w:t>
      </w:r>
    </w:p>
    <w:p>
      <w:r>
        <w:rPr>
          <w:b/>
          <w:sz w:val="19"/>
        </w:rPr>
        <w:t xml:space="preserve">Übertragbarkeit: </w:t>
      </w:r>
      <w:r>
        <w:rPr>
          <w:sz w:val="19"/>
        </w:rPr>
        <w:t>Rumänien; Mehrfacherkrankung (CKD+Herzinsuffizienz), spezialisierte Ernährungsintervention in Deutschland durch Nephrologie etabliert</w:t>
      </w:r>
    </w:p>
    <w:p>
      <w:r>
        <w:rPr>
          <w:color w:val="5A7D3A"/>
          <w:sz w:val="18"/>
        </w:rPr>
        <w:t>https://pubmed.ncbi.nlm.nih.gov/42797051/</w:t>
      </w:r>
    </w:p>
    <w:p>
      <w:pPr>
        <w:pStyle w:val="Heading2"/>
      </w:pPr>
      <w:r>
        <w:t>Aktives Case Finding mit CAT-Fragebogen verdoppelt COPD-Diagnosen in rumänischer Hausarztpraxis</w:t>
      </w:r>
    </w:p>
    <w:p>
      <w:r>
        <w:rPr>
          <w:i/>
          <w:color w:val="666666"/>
          <w:sz w:val="18"/>
        </w:rPr>
        <w:t>Iana AN et al.  ·  Medicina (Kaunas)  ·  21.09.2026  ·  PMID 42796426</w:t>
      </w:r>
    </w:p>
    <w:p>
      <w:r>
        <w:t>Prospektive Studie unter 220 Patienten über 40 Jahren mit Atemwegsrisikofaktoren, die spirometrische Testung nach Screening mit COPD Assessment Test (CAT) und mMRC-Dyspnoe-Skala durchliefen.</w:t>
      </w:r>
    </w:p>
    <w:p>
      <w:r>
        <w:rPr>
          <w:b/>
        </w:rPr>
        <w:t xml:space="preserve">Ergebnis: </w:t>
      </w:r>
      <w:r>
        <w:t>COPD bei 48,2% diagnostiziert (n=106). CAT-Schwelle ≥17 zeigte beste Kennwerte (64,2% Sensitivität, 74,6% Spezifität), mMRC≥2 hohe Spezifität (82,5%), aber niedrige Sensitivität (41,5%). Symptombelastung (Husten, Sputum, Schlaf) war aussagekräftiger als Dyspnoe allein für Case Finding in der Primärversorgung.</w:t>
      </w:r>
    </w:p>
    <w:p>
      <w:r>
        <w:rPr>
          <w:b/>
          <w:sz w:val="19"/>
        </w:rPr>
        <w:t xml:space="preserve">Übertragbarkeit: </w:t>
      </w:r>
      <w:r>
        <w:rPr>
          <w:sz w:val="19"/>
        </w:rPr>
        <w:t>Rumänische Hausarztpraxis, jedoch generisch übertragbar für spezialisiertes Case Finding ohne nationale DMP-Struktur</w:t>
      </w:r>
    </w:p>
    <w:p>
      <w:r>
        <w:rPr>
          <w:color w:val="5A7D3A"/>
          <w:sz w:val="18"/>
        </w:rPr>
        <w:t>https://pubmed.ncbi.nlm.nih.gov/42796426/</w:t>
      </w:r>
    </w:p>
    <w:p>
      <w:pPr>
        <w:pStyle w:val="Heading2"/>
      </w:pPr>
      <w:r>
        <w:t>Bessere Inhalationstechnik und höheres Wissen verdreifachen Therapietreue bei COPD</w:t>
      </w:r>
    </w:p>
    <w:p>
      <w:r>
        <w:rPr>
          <w:i/>
          <w:color w:val="666666"/>
          <w:sz w:val="18"/>
        </w:rPr>
        <w:t>Nguyen H et al.  ·  JMIR Nurs  ·  25.09.2026  ·  PMID 42789344</w:t>
      </w:r>
    </w:p>
    <w:p>
      <w:r>
        <w:t>Querschnittstudie an 420 ambulanten COPD-Patienten zu Wissen, praktischen Inhalations- und Atemtechniken sowie Therapietreue.</w:t>
      </w:r>
    </w:p>
    <w:p>
      <w:r>
        <w:rPr>
          <w:b/>
        </w:rPr>
        <w:t xml:space="preserve">Ergebnis: </w:t>
      </w:r>
      <w:r>
        <w:t>Nur 36,9% (n=155) adhärent insgesamt. 78,8% mit unzureichendem COPD-Wissen, 63,8% mit adäquaten praktischen Fähigkeiten. Höheres Wissensscore (aOR 1,20; 95% KI 1,06–1,31; p=0,001), korrekte Inhalationstechnik (aOR 3,10; 95% KI 2,10–4,70; p=0,001) und adäquate Atemtechniken (aOR 1,70; 95% KI 1,08–2,71; p=0,02) unabhängig mit besserer Adhärenz assoziiert.</w:t>
      </w:r>
    </w:p>
    <w:p>
      <w:r>
        <w:rPr>
          <w:b/>
          <w:sz w:val="19"/>
        </w:rPr>
        <w:t xml:space="preserve">Übertragbarkeit: </w:t>
      </w:r>
      <w:r>
        <w:rPr>
          <w:sz w:val="19"/>
        </w:rPr>
        <w:t>Vietnam; Patienten-Edukation und Skilltraining sind universell wirksame Versorgungselemente</w:t>
      </w:r>
    </w:p>
    <w:p>
      <w:r>
        <w:rPr>
          <w:color w:val="5A7D3A"/>
          <w:sz w:val="18"/>
        </w:rPr>
        <w:t>https://pubmed.ncbi.nlm.nih.gov/42789344/</w:t>
      </w:r>
    </w:p>
    <w:p>
      <w:pPr>
        <w:pStyle w:val="Heading1"/>
      </w:pPr>
      <w:r>
        <w:t>Aufgenommen am 26.09.2026</w:t>
      </w:r>
    </w:p>
    <w:p>
      <w:pPr>
        <w:pStyle w:val="Heading2"/>
      </w:pPr>
      <w:r>
        <w:t>Multimorbidity erhöht Depressionrisiko: systematische Übersicht von Kohortenstudien</w:t>
      </w:r>
    </w:p>
    <w:p>
      <w:r>
        <w:rPr>
          <w:i/>
          <w:color w:val="666666"/>
          <w:sz w:val="18"/>
        </w:rPr>
        <w:t>Wu J et al.  ·  J Glob Health  ·  25.09.2026  ·  PMID 42788325</w:t>
      </w:r>
    </w:p>
    <w:p>
      <w:r>
        <w:t>Systematische Überprüfung von 17 Kohortenstudien zu Assoziationen zwischen Mehrfacherkrankung und inzidenter Depression oder depressiven Symptomen.</w:t>
      </w:r>
    </w:p>
    <w:p>
      <w:r>
        <w:rPr>
          <w:b/>
        </w:rPr>
        <w:t xml:space="preserve">Ergebnis: </w:t>
      </w:r>
      <w:r>
        <w:t>Mehrfacherkrankung war konsistent mit erhöhtem Depressionrisiko assoziiert; das Risiko stieg mit der Zahl chronischer Erkrankungen. Kardiovaskulär-metabolische und respiratorische Muster zeigten die konsistentesten Assoziationen mit Depression. Diese Assoziation war über Geschlechter und Länder stabil.</w:t>
      </w:r>
    </w:p>
    <w:p>
      <w:r>
        <w:rPr>
          <w:b/>
          <w:sz w:val="19"/>
        </w:rPr>
        <w:t xml:space="preserve">Übertragbarkeit: </w:t>
      </w:r>
      <w:r>
        <w:rPr>
          <w:sz w:val="19"/>
        </w:rPr>
        <w:t>Europäische und internationale Kohortenstudien, Ergebnisse unabhängig von Versorgungsstrukturen übertragbar.</w:t>
      </w:r>
    </w:p>
    <w:p>
      <w:r>
        <w:rPr>
          <w:color w:val="5A7D3A"/>
          <w:sz w:val="18"/>
        </w:rPr>
        <w:t>https://pubmed.ncbi.nlm.nih.gov/42788325/</w:t>
      </w:r>
    </w:p>
    <w:p>
      <w:pPr>
        <w:pStyle w:val="Heading2"/>
      </w:pPr>
      <w:r>
        <w:t>Versicherungslücken erhöhten Kostenhindernisse bei Mehrfacherkrankten um bis zu 3,44-fach</w:t>
      </w:r>
    </w:p>
    <w:p>
      <w:r>
        <w:rPr>
          <w:i/>
          <w:color w:val="666666"/>
          <w:sz w:val="18"/>
        </w:rPr>
        <w:t>Cao Y et al.  ·  Front Public Health  ·  10.09.2026  ·  PMID 42787109</w:t>
      </w:r>
    </w:p>
    <w:p>
      <w:r>
        <w:t>Querschnittstudie mit US-Versichertendaten (MEPS) zur Assoziation zwischen Dauer von Versicherungslücken und nachfolgenden kostenbezogenen Barrieren für medizinische Versorgung bei Erwachsenen mit Mehrfacherkrankung.</w:t>
      </w:r>
    </w:p>
    <w:p>
      <w:r>
        <w:rPr>
          <w:b/>
        </w:rPr>
        <w:t xml:space="preserve">Ergebnis: </w:t>
      </w:r>
      <w:r>
        <w:t>Verglichen mit keiner Lücke hatten Patienten mit 24 Monaten Versicherungslücke eine aOR von 3,44 (95%-KI 1,84–6,44) für Kostenhindernisse; bereinigte Wahrscheinlichkeiten waren 17,4 % (keine Lücke) bis 39,8 % (24 Monate). Kontinuierlich Versicherte hatten höhere Gesamtausgaben ($26.134 vs. $4.884).</w:t>
      </w:r>
    </w:p>
    <w:p>
      <w:r>
        <w:rPr>
          <w:b/>
          <w:sz w:val="19"/>
        </w:rPr>
        <w:t xml:space="preserve">Übertragbarkeit: </w:t>
      </w:r>
      <w:r>
        <w:rPr>
          <w:sz w:val="19"/>
        </w:rPr>
        <w:t>USA-Daten mit anderer Finanzierung; übertragbar nur für Erkenntnisse über Versicherungslücken als Risikofaktor.</w:t>
      </w:r>
    </w:p>
    <w:p>
      <w:r>
        <w:rPr>
          <w:color w:val="5A7D3A"/>
          <w:sz w:val="18"/>
        </w:rPr>
        <w:t>https://pubmed.ncbi.nlm.nih.gov/42787109/</w:t>
      </w:r>
    </w:p>
    <w:p>
      <w:pPr>
        <w:pStyle w:val="Heading2"/>
      </w:pPr>
      <w:r>
        <w:t>Schlafhygiene-Profile bei chronischen Erkrankungen: drei Phenotypen mit unterschiedlichen Risikofaktoren</w:t>
      </w:r>
    </w:p>
    <w:p>
      <w:r>
        <w:rPr>
          <w:i/>
          <w:color w:val="666666"/>
          <w:sz w:val="18"/>
        </w:rPr>
        <w:t>Seong H et al.  ·  Appl Nurs Res  ·  12.09.2026  ·  PMID 42785828</w:t>
      </w:r>
    </w:p>
    <w:p>
      <w:r>
        <w:t>Latent-Class-Analyse von 488 koreanischen Patienten mit chronischen Erkrankungen und Schlafstörungen (PSQI &gt;5) zur Identifikation von Schlafhygiene-Profilen.</w:t>
      </w:r>
    </w:p>
    <w:p>
      <w:r>
        <w:rPr>
          <w:b/>
        </w:rPr>
        <w:t xml:space="preserve">Ergebnis: </w:t>
      </w:r>
      <w:r>
        <w:t>Drei Profile identifiziert: 'Optimale Schlafhygiene' (66,2 %), 'Verhaltensbezogene gestörte Schlaf' (27,7 %) und 'Hochrisiko-dysregulierter Schlaf' (6,1 %). Verhaltensgestörte Gruppe assoziiert mit Rauchen (OR 16,53), Alkohol (OR 3,78) und männlichem Geschlecht (OR 3,53). Hochrisiko-Gruppe mit psychosozialer Belastung (OR 5,38) assoziiert.</w:t>
      </w:r>
    </w:p>
    <w:p>
      <w:r>
        <w:rPr>
          <w:b/>
          <w:sz w:val="19"/>
        </w:rPr>
        <w:t xml:space="preserve">Übertragbarkeit: </w:t>
      </w:r>
      <w:r>
        <w:rPr>
          <w:sz w:val="19"/>
        </w:rPr>
        <w:t>Südkorea; Erkenntnisse zur Identifikation heterogener Schlafhygiene-Phänotypen vergleichbar, Interventionen müssen lokal validiert werden.</w:t>
      </w:r>
    </w:p>
    <w:p>
      <w:r>
        <w:rPr>
          <w:color w:val="5A7D3A"/>
          <w:sz w:val="18"/>
        </w:rPr>
        <w:t>https://pubmed.ncbi.nlm.nih.gov/42785828/</w:t>
      </w:r>
    </w:p>
    <w:p>
      <w:pPr>
        <w:pStyle w:val="Heading2"/>
      </w:pPr>
      <w:r>
        <w:t>Ramadan-Fasten bei Hämodialyse-Patienten mit Diabetes: keine Hypoglykämie unter standardisiertem Protokoll</w:t>
      </w:r>
    </w:p>
    <w:p>
      <w:r>
        <w:rPr>
          <w:i/>
          <w:color w:val="666666"/>
          <w:sz w:val="18"/>
        </w:rPr>
        <w:t>Saman A et al.  ·  Med Sci (Basel)  ·  27.08.2026  ·  PMID 42783395</w:t>
      </w:r>
    </w:p>
    <w:p>
      <w:r>
        <w:t>Prospektive Multizenterstudie mit 153 Patienten mit terminalem Nierenversagen und Diabetes an vier Zentren in Thailand zu Sicherheit von Ramadan-Fasten unter Hämodialyse.</w:t>
      </w:r>
    </w:p>
    <w:p>
      <w:r>
        <w:rPr>
          <w:b/>
        </w:rPr>
        <w:t xml:space="preserve">Ergebnis: </w:t>
      </w:r>
      <w:r>
        <w:t>Keine intradialytischen Hypoglykämien in Vollfast- oder Nicht-Fasten-Gruppen (0 Episoden); eine Episode (0,2 %) in Teilfasten-Gruppe. Hämodialyse-Komplikationen, Blutdruck, Kt/V-Wert und interdialytische Gewichtszunahme vergleichbar über alle Gruppen. Serum-Kalium und Parathormon stiegen ohne klinische Ereignisse.</w:t>
      </w:r>
    </w:p>
    <w:p>
      <w:r>
        <w:rPr>
          <w:b/>
          <w:sz w:val="19"/>
        </w:rPr>
        <w:t xml:space="preserve">Übertragbarkeit: </w:t>
      </w:r>
      <w:r>
        <w:rPr>
          <w:sz w:val="19"/>
        </w:rPr>
        <w:t>Thailand, aber standardisiertes Medikamentenmanagement und Monitoring-Protokoll auf deutsche Dialysezentren übertragbar.</w:t>
      </w:r>
    </w:p>
    <w:p>
      <w:r>
        <w:rPr>
          <w:color w:val="5A7D3A"/>
          <w:sz w:val="18"/>
        </w:rPr>
        <w:t>https://pubmed.ncbi.nlm.nih.gov/42783395/</w:t>
      </w:r>
    </w:p>
    <w:p>
      <w:pPr>
        <w:pStyle w:val="Heading2"/>
      </w:pPr>
      <w:r>
        <w:t>Post-Bronchodilator-COPD mit erhöhtem Mortalitätsrisiko: Lateinamerikanische Populationsstudie</w:t>
      </w:r>
    </w:p>
    <w:p>
      <w:r>
        <w:rPr>
          <w:i/>
          <w:color w:val="666666"/>
          <w:sz w:val="18"/>
        </w:rPr>
        <w:t>Pérez-Padilla R et al.  ·  Respir Res Clin Pract  ·  22.05.2026  ·  PMID 42781375</w:t>
      </w:r>
    </w:p>
    <w:p>
      <w:r>
        <w:t>PLATINO-Kohortenstudie mit 2.942 Teilnehmern über 5–9 Jahre zur Prognostizierung von Mortalität, Exazerbationen und FEV1-Verlauf durch prä- und post-Bronchodilator-Atemwegsobstruktion.</w:t>
      </w:r>
    </w:p>
    <w:p>
      <w:r>
        <w:rPr>
          <w:b/>
        </w:rPr>
        <w:t xml:space="preserve">Ergebnis: </w:t>
      </w:r>
      <w:r>
        <w:t>Persistente Atemwegsobstruktion (post-BD) assoziiert mit Mortalität (HR 2,99; 95%-KI 2,1–4,3) vs. Kontrollen; reversible Obstruktion (HR 1,9; 95%-KI 1,1–3,1) hatte 4,1-fach höheres Risiko für COPD-Entwicklung (OR 4,1; 95%-KI 2,0–8,5). FEV1-Rückgang in persistenter Gruppe –13,4 mL/Jahr.</w:t>
      </w:r>
    </w:p>
    <w:p>
      <w:r>
        <w:rPr>
          <w:b/>
          <w:sz w:val="19"/>
        </w:rPr>
        <w:t xml:space="preserve">Übertragbarkeit: </w:t>
      </w:r>
      <w:r>
        <w:rPr>
          <w:sz w:val="19"/>
        </w:rPr>
        <w:t>Lateinamerika, aber Spirometrie-Standards international vergleichbar; Risikostratifizierung übertragbar auf Deutschland.</w:t>
      </w:r>
    </w:p>
    <w:p>
      <w:r>
        <w:rPr>
          <w:color w:val="5A7D3A"/>
          <w:sz w:val="18"/>
        </w:rPr>
        <w:t>https://pubmed.ncbi.nlm.nih.gov/42781375/</w:t>
      </w:r>
    </w:p>
    <w:p>
      <w:pPr>
        <w:pStyle w:val="Heading2"/>
      </w:pPr>
      <w:r>
        <w:t>Cordyceps sinensis schützte vor CKD-Progression nach virusinduziertem Akutnierenversagen</w:t>
      </w:r>
    </w:p>
    <w:p>
      <w:r>
        <w:rPr>
          <w:i/>
          <w:color w:val="666666"/>
          <w:sz w:val="18"/>
        </w:rPr>
        <w:t>Min M et al.  ·  Ren Fail  ·  23.09.2026  ·  PMID 42779256</w:t>
      </w:r>
    </w:p>
    <w:p>
      <w:r>
        <w:t>Retrospektive Kohortenstudie mit 99 Patienten mit Hämorrhagischem Fieber und Nierensyndrom (HFRS-AKI) an einem chinesischen Zentrum zum Effekt von Cordyceps-sinensis-Präparaten auf Nierenerholung.</w:t>
      </w:r>
    </w:p>
    <w:p>
      <w:r>
        <w:rPr>
          <w:b/>
        </w:rPr>
        <w:t xml:space="preserve">Ergebnis: </w:t>
      </w:r>
      <w:r>
        <w:t>27,3 % der HFRS-AKI-Patienten entwickelten CKD. Cordyceps-sinensis-Behandlung war unabhängiger Schutzfaktor gegen unvollständige Nierenerholung (OR 0,323; 95%-KI 0,114–0,916; p=0,034). Inverse-Probability-Weighting bestätigte Assoziation (β –1,184; p=0,026). Überlebenszeitanalyse zeigte verbesserte Nierenergebnisse (Log-Rank p=0,004).</w:t>
      </w:r>
    </w:p>
    <w:p>
      <w:r>
        <w:rPr>
          <w:b/>
          <w:sz w:val="19"/>
        </w:rPr>
        <w:t xml:space="preserve">Übertragbarkeit: </w:t>
      </w:r>
      <w:r>
        <w:rPr>
          <w:sz w:val="19"/>
        </w:rPr>
        <w:t>China, virales-induziertes Akutnierenversagen; Erkenntnisse zu Adjuvantien-Therapie-Effekten prinzipiell übertragbar, aber Präparat-Verfügbarkeit lokal unterschiedlich.</w:t>
      </w:r>
    </w:p>
    <w:p>
      <w:r>
        <w:rPr>
          <w:color w:val="5A7D3A"/>
          <w:sz w:val="18"/>
        </w:rPr>
        <w:t>https://pubmed.ncbi.nlm.nih.gov/42779256/</w:t>
      </w:r>
    </w:p>
    <w:p>
      <w:pPr>
        <w:pStyle w:val="Heading1"/>
      </w:pPr>
      <w:r>
        <w:t>Aufgenommen am 25.09.2026</w:t>
      </w:r>
    </w:p>
    <w:p>
      <w:pPr>
        <w:pStyle w:val="Heading2"/>
      </w:pPr>
      <w:r>
        <w:t>Neutrophile und Lymphozyten vorhersagen Adipositas-assoziierte CKD bei Älteren</w:t>
      </w:r>
    </w:p>
    <w:p>
      <w:r>
        <w:rPr>
          <w:i/>
          <w:color w:val="666666"/>
          <w:sz w:val="18"/>
        </w:rPr>
        <w:t>Zhu B et al.  ·  Ren Fail  ·  24.09.2026  ·  PMID 42785974</w:t>
      </w:r>
    </w:p>
    <w:p>
      <w:r>
        <w:t>Querschnittsanalyse von 15.000+ älteren Erwachsenen (65–85 J.) in Shanghai: Erhöhte Neutrophile und Lymphozyten sowie niedrigeres Verhältnis Thrombozyt-zu-Lymphozyt wurden unabhängig mit CKD bei Adipösen assoziiert.</w:t>
      </w:r>
    </w:p>
    <w:p>
      <w:r>
        <w:rPr>
          <w:b/>
        </w:rPr>
        <w:t xml:space="preserve">Ergebnis: </w:t>
      </w:r>
      <w:r>
        <w:t>Bei adipösen Teilnehmern: erhöhte Neutrophile aOR 1,42 (95% CI 1,07–1,90) für höchstes vs. niedriges Tertil, erhöhte Lymphozyten aOR 1,53 (95% CI 1,16–2,01); Thrombozyten-Lymphozyten-Verhältnis aOR 0,70 (95% CI 0,53–0,92) – diese Routineblutuntersuchungen könnten frühe Risikoschichtung adipositas-assoziierter CKD ermöglichen.</w:t>
      </w:r>
    </w:p>
    <w:p>
      <w:r>
        <w:rPr>
          <w:b/>
          <w:sz w:val="19"/>
        </w:rPr>
        <w:t xml:space="preserve">Übertragbarkeit: </w:t>
      </w:r>
      <w:r>
        <w:rPr>
          <w:sz w:val="19"/>
        </w:rPr>
        <w:t>China, vergleichbar mit Sozialversicherungssystemen; Blutungsparameter sind Routinemarkierungen</w:t>
      </w:r>
    </w:p>
    <w:p>
      <w:r>
        <w:rPr>
          <w:color w:val="5A7D3A"/>
          <w:sz w:val="18"/>
        </w:rPr>
        <w:t>https://pubmed.ncbi.nlm.nih.gov/42785974/</w:t>
      </w:r>
    </w:p>
    <w:p>
      <w:pPr>
        <w:pStyle w:val="Heading2"/>
      </w:pPr>
      <w:r>
        <w:t>Patient-Provider-Partnerschaft erhöht Advance-Care-Planning-Bereitschaft bei CKD-Patienten</w:t>
      </w:r>
    </w:p>
    <w:p>
      <w:r>
        <w:rPr>
          <w:i/>
          <w:color w:val="666666"/>
          <w:sz w:val="18"/>
        </w:rPr>
        <w:t>Hsu JR et al.  ·  Appl Nurs Res  ·  27.08.2026  ·  PMID 42785824</w:t>
      </w:r>
    </w:p>
    <w:p>
      <w:r>
        <w:t>Querschnittsstudie an 218 nichtdialysepflichtigen CKD-Patienten: Patient-Provider-Partnerschaft war stärkster unabhängiger Prädiktor der Bereitschaft zu Advance Care Planning (ACP), nicht aber Krankheitsstadium oder Nierenfunktion.</w:t>
      </w:r>
    </w:p>
    <w:p>
      <w:r>
        <w:rPr>
          <w:b/>
        </w:rPr>
        <w:t xml:space="preserve">Ergebnis: </w:t>
      </w:r>
      <w:r>
        <w:t>Patient-Provider-Partnerschaft erklärte 12,7 % der Varianz in ACP-Bereitschaft (vs. 6,1 % bei Demografie allein); höheres Alter und stärkere Partnerschaft waren assoziiert mit erhöhter Bereitschaft. ACP-Bereitschaft insgesamt niedrig bis moderat, besonders beim initialen Gespräch mit Fachkräften.</w:t>
      </w:r>
    </w:p>
    <w:p>
      <w:r>
        <w:rPr>
          <w:b/>
          <w:sz w:val="19"/>
        </w:rPr>
        <w:t xml:space="preserve">Übertragbarkeit: </w:t>
      </w:r>
      <w:r>
        <w:rPr>
          <w:sz w:val="19"/>
        </w:rPr>
        <w:t>Taiwan, ambulante Nephrologie; Übertragbarkeit auf Deutschland hängt von Arzt-Patient-Kommunikation ab</w:t>
      </w:r>
    </w:p>
    <w:p>
      <w:r>
        <w:rPr>
          <w:color w:val="5A7D3A"/>
          <w:sz w:val="18"/>
        </w:rPr>
        <w:t>https://pubmed.ncbi.nlm.nih.gov/42785824/</w:t>
      </w:r>
    </w:p>
    <w:p>
      <w:pPr>
        <w:pStyle w:val="Heading2"/>
      </w:pPr>
      <w:r>
        <w:t>Antihypertensive Medikation zeigt minimale Assoziation mit Lebensqualität bei CKD-Jugendlichen</w:t>
      </w:r>
    </w:p>
    <w:p>
      <w:r>
        <w:rPr>
          <w:i/>
          <w:color w:val="666666"/>
          <w:sz w:val="18"/>
        </w:rPr>
        <w:t>Botdorf M et al.  ·  Qual Life Res  ·  24.09.2026  ·  PMID 42782549</w:t>
      </w:r>
    </w:p>
    <w:p>
      <w:r>
        <w:t>Querschnittsanalyse von 395 Jugendlichen (8–21 J.) mit CKD und Hypertonie an 15 US-Zentren: Über 95 % berichten positive Versorgungserfahrungen; antihypertensive Medikamentenlast zeigte nur schwache Assoziation mit Lebensqualität, während körperliche Symptombelastung hoch ist.</w:t>
      </w:r>
    </w:p>
    <w:p>
      <w:r>
        <w:rPr>
          <w:b/>
        </w:rPr>
        <w:t xml:space="preserve">Ergebnis: </w:t>
      </w:r>
      <w:r>
        <w:t>Mehrere Medikamente (23 % der Kohorte) assoziiert mit leicht niedrigerem globalen Gesundheitswert (B –2,6; 95% CI –4,9 bis –0,3); keine Assoziationen mit anderen Lebensqualitätsdimensionen. Jugendliche berichten gesamthaft niedrigere QoL als allgemeine Bevölkerung, besonders in globalem Gesundheitswert und Müdigkeit.</w:t>
      </w:r>
    </w:p>
    <w:p>
      <w:r>
        <w:rPr>
          <w:b/>
          <w:sz w:val="19"/>
        </w:rPr>
        <w:t xml:space="preserve">Übertragbarkeit: </w:t>
      </w:r>
      <w:r>
        <w:rPr>
          <w:sz w:val="19"/>
        </w:rPr>
        <w:t>USA, spezialisierte Pädiatrie; Lebensqualitätsmessung übertragbar, Medikamentenlasten können variieren</w:t>
      </w:r>
    </w:p>
    <w:p>
      <w:r>
        <w:rPr>
          <w:color w:val="5A7D3A"/>
          <w:sz w:val="18"/>
        </w:rPr>
        <w:t>https://pubmed.ncbi.nlm.nih.gov/42782549/</w:t>
      </w:r>
    </w:p>
    <w:p>
      <w:pPr>
        <w:pStyle w:val="Heading2"/>
      </w:pPr>
      <w:r>
        <w:t>Mehrdimensionales Risiko-Screening identifiziert High-Risk-Gruppe mit 41 % aller Adverse Events bei älteren Patienten mit Mehrfacherkrankung</w:t>
      </w:r>
    </w:p>
    <w:p>
      <w:r>
        <w:rPr>
          <w:i/>
          <w:color w:val="666666"/>
          <w:sz w:val="18"/>
        </w:rPr>
        <w:t>Zhou MM et al.  ·  Front Public Health  ·  09.09.2026  ·  PMID 42780304</w:t>
      </w:r>
    </w:p>
    <w:p>
      <w:r>
        <w:t>Retrospektive Entwicklung und interne Validierung eines nomographischen Vorhersagemodells für 12-Monatsereignisse (ungeplante Hospitalisierung, ≥2 Notfallbesuche, funktionaler Niedergang, Mortalität) bei 690 älteren Erwachsenen (≥60 J.) mit Mehrfacherkrankung in China; 7 Prädiktoren identifiziert.</w:t>
      </w:r>
    </w:p>
    <w:p>
      <w:r>
        <w:rPr>
          <w:b/>
        </w:rPr>
        <w:t xml:space="preserve">Ergebnis: </w:t>
      </w:r>
      <w:r>
        <w:t>Modell zeigte gute Diskriminierung (AUC 0,847 Derivation, 0,831 bootstrap-validiert, 0,819 temporal); 41,2 % niedrig-, 42,0 % intermediär-, 16,8 % hochrisiko. Die hochrisiko-Gruppe (16,8 %) machte 41,1 % aller Ereignisse aus. Szenaroanalyse: modellgesteuerte Stratifizierung könnte Adverse Events um 25,3 % reduzieren.</w:t>
      </w:r>
    </w:p>
    <w:p>
      <w:r>
        <w:rPr>
          <w:b/>
          <w:sz w:val="19"/>
        </w:rPr>
        <w:t xml:space="preserve">Übertragbarkeit: </w:t>
      </w:r>
      <w:r>
        <w:rPr>
          <w:sz w:val="19"/>
        </w:rPr>
        <w:t>China, tertiäre Klinik; externe Validierung in primärer/sekundärer Versorgung erforderlich; Risiko-Alert und Monitoring-Stratifizierung übertragbar</w:t>
      </w:r>
    </w:p>
    <w:p>
      <w:r>
        <w:rPr>
          <w:color w:val="5A7D3A"/>
          <w:sz w:val="18"/>
        </w:rPr>
        <w:t>https://pubmed.ncbi.nlm.nih.gov/42780304/</w:t>
      </w:r>
    </w:p>
    <w:p>
      <w:pPr>
        <w:pStyle w:val="Heading2"/>
      </w:pPr>
      <w:r>
        <w:t>Triglycerid-Glucose-Waist-to-Height-Ratio vorhersagt neu auftretende Mehrfacherkrankung</w:t>
      </w:r>
    </w:p>
    <w:p>
      <w:r>
        <w:rPr>
          <w:i/>
          <w:color w:val="666666"/>
          <w:sz w:val="18"/>
        </w:rPr>
        <w:t>Shao Z et al.  ·  Cardiovasc Diabetol  ·  24.08.2026  ·  PMID 42778926</w:t>
      </w:r>
    </w:p>
    <w:p>
      <w:r>
        <w:t>Prospektive Kohortenanalyse von 4 nationalen Studien (CHARLS, ELSA, HRS, NHANES): TyG-WHtR (kombiniert Insulinresistenz und zentrale Adipositas) zeigte nichtlineare Dosis-Wirkungs-Assoziationen mit neuer Mehrfacherkrankung; Inflexionspunkte bei 5,92–6,69 je Kohorte.</w:t>
      </w:r>
    </w:p>
    <w:p>
      <w:r>
        <w:rPr>
          <w:b/>
        </w:rPr>
        <w:t xml:space="preserve">Ergebnis: </w:t>
      </w:r>
      <w:r>
        <w:t>Höchste vs. niedrigste TyG-WHtR-Quartile assoziiert mit incident multimorbidity: HR 1,87 (95% CI 1,59–2,21) in CHARLS, 1,67 (1,30–2,15) in ELSA, 1,57 (1,08–2,29) in HRS; TyG-WHtR hatte größte AUC in beiden Querschnittsstichproben und zwei Längsschnittkohorten.</w:t>
      </w:r>
    </w:p>
    <w:p>
      <w:r>
        <w:rPr>
          <w:b/>
          <w:sz w:val="19"/>
        </w:rPr>
        <w:t xml:space="preserve">Übertragbarkeit: </w:t>
      </w:r>
      <w:r>
        <w:rPr>
          <w:sz w:val="19"/>
        </w:rPr>
        <w:t>China, England, USA; Mehrfacherkrankung ist Regelfall; provisorischer Risiko-Alert ca. 5–7 benötigt externe Validierung</w:t>
      </w:r>
    </w:p>
    <w:p>
      <w:r>
        <w:rPr>
          <w:color w:val="5A7D3A"/>
          <w:sz w:val="18"/>
        </w:rPr>
        <w:t>https://pubmed.ncbi.nlm.nih.gov/42778926/</w:t>
      </w:r>
    </w:p>
    <w:p>
      <w:pPr>
        <w:pStyle w:val="Heading2"/>
      </w:pPr>
      <w:r>
        <w:t>Rauchen und chronische Erkrankungen: Versorgungsungleichheit bei vulnerablen Populationen</w:t>
      </w:r>
    </w:p>
    <w:p>
      <w:r>
        <w:rPr>
          <w:i/>
          <w:color w:val="666666"/>
          <w:sz w:val="18"/>
        </w:rPr>
        <w:t>Higgins ST  ·  Prev Med  ·  25.10.2025  ·  PMID 42777124</w:t>
      </w:r>
    </w:p>
    <w:p>
      <w:r>
        <w:t>Editorischer Überblick zu 13 Fachabhandlungen einer US-Konferenz 2024 über Schnittstellen zwischen Tabakgebrauch, anderen Süchten, chronischen Krankheiten und Gesundheitsungleichheiten; Rauchen bleibt führende vermeidbare Todesursache in den USA (ca. 450.000 Tote/Jahr).</w:t>
      </w:r>
    </w:p>
    <w:p>
      <w:r>
        <w:rPr>
          <w:b/>
        </w:rPr>
        <w:t xml:space="preserve">Ergebnis: </w:t>
      </w:r>
      <w:r>
        <w:t>Die Sonderausgabe zeigt überproportionale Auswirkungen von Rauchen in vulnerablen Populationen, Verflechtungen mit weiteren Abhängigkeiten, Mehrfacherkrankungen und Gesundheitsungleichheiten; dokumentiert klinische und regulatorische Interventionen zur Reduktion und Prävention assoziierter Gesundheitsschäden.</w:t>
      </w:r>
    </w:p>
    <w:p>
      <w:r>
        <w:rPr>
          <w:b/>
          <w:sz w:val="19"/>
        </w:rPr>
        <w:t xml:space="preserve">Übertragbarkeit: </w:t>
      </w:r>
      <w:r>
        <w:rPr>
          <w:sz w:val="19"/>
        </w:rPr>
        <w:t>USA; regulatorische und klinische Strategien sind teilweise übertragbar, strukturelle Unterschiede erheblich</w:t>
      </w:r>
    </w:p>
    <w:p>
      <w:r>
        <w:rPr>
          <w:color w:val="5A7D3A"/>
          <w:sz w:val="18"/>
        </w:rPr>
        <w:t>https://pubmed.ncbi.nlm.nih.gov/42777124/</w:t>
      </w:r>
    </w:p>
    <w:p>
      <w:pPr>
        <w:pStyle w:val="Heading2"/>
      </w:pPr>
      <w:r>
        <w:t>Physiotherapie in der Territorialversorgung verbessert Kontinuität chronischer Erkrankungen</w:t>
      </w:r>
    </w:p>
    <w:p>
      <w:r>
        <w:rPr>
          <w:i/>
          <w:color w:val="666666"/>
          <w:sz w:val="18"/>
        </w:rPr>
        <w:t>Piacenza A et al.  ·  Ig Sanita Pubbl  ·  Juli 2026  ·  PMID 42776156</w:t>
      </w:r>
    </w:p>
    <w:p>
      <w:r>
        <w:t>Narrative Analyse zur Neugestaltung italienischer Rehabilitationspfade: Das Ministerialekret 77/2022 verlangt mehr direkte Verantwortung von Physiotherapeuten für Kontinuität, während bisherige Vorschriften fragmentierte Übergänge erzwingen; Pilotprojekte zeigen Machbarkeit und positive Effekte auf funktionelle Erholung und Ressourcennutzung.</w:t>
      </w:r>
    </w:p>
    <w:p>
      <w:r>
        <w:rPr>
          <w:b/>
        </w:rPr>
        <w:t xml:space="preserve">Ergebnis: </w:t>
      </w:r>
      <w:r>
        <w:t>Internationale Modelle und italienische Pilotprojekte belegen, dass physiotherapeutengeleitete Bewertung und Monitoring sowie einheitliche, zeitlich aktualisierte Rehabilitationsprojekte die Patientenzufriedenheit erhöhen und die Ressourcenallokation verbessern – die fragmentierte Regelpraxis führt zu verzögertem Therapiestart und unzureichender Physiotherapie-Integration.</w:t>
      </w:r>
    </w:p>
    <w:p>
      <w:r>
        <w:rPr>
          <w:b/>
          <w:sz w:val="19"/>
        </w:rPr>
        <w:t xml:space="preserve">Übertragbarkeit: </w:t>
      </w:r>
      <w:r>
        <w:rPr>
          <w:sz w:val="19"/>
        </w:rPr>
        <w:t>Italien, vergleichbares Sozialversicherungssystem; Implementierung an Versorgungsstruktur und Regulierung gebunden</w:t>
      </w:r>
    </w:p>
    <w:p>
      <w:r>
        <w:rPr>
          <w:color w:val="5A7D3A"/>
          <w:sz w:val="18"/>
        </w:rPr>
        <w:t>https://pubmed.ncbi.nlm.nih.gov/42776156/</w:t>
      </w:r>
    </w:p>
    <w:p>
      <w:pPr>
        <w:pStyle w:val="Heading1"/>
      </w:pPr>
      <w:r>
        <w:t>Aufgenommen am 24.09.2026</w:t>
      </w:r>
    </w:p>
    <w:p>
      <w:pPr>
        <w:pStyle w:val="Heading2"/>
      </w:pPr>
      <w:r>
        <w:t>Früher systemischer Lupus erythematosus: Fast-Track zu Mehrfacherkrankung bei hoher Flareaktivität</w:t>
      </w:r>
    </w:p>
    <w:p>
      <w:r>
        <w:rPr>
          <w:i/>
          <w:color w:val="666666"/>
          <w:sz w:val="18"/>
        </w:rPr>
        <w:t>Nikoloudaki M et al.  ·  RMD Open  ·  23.09.2026  ·  PMID 42778333</w:t>
      </w:r>
    </w:p>
    <w:p>
      <w:r>
        <w:t>Inception-Kohorte von 311 SLE-Patienten mit ≤2 Jahren Erkrankungsdauer und 5-jähriger Nachbeobachtung untersuchte Trajektorien der Mehrfacherkrankungsentwicklung und deren Prädiktoren.</w:t>
      </w:r>
    </w:p>
    <w:p>
      <w:r>
        <w:rPr>
          <w:b/>
        </w:rPr>
        <w:t xml:space="preserve">Ergebnis: </w:t>
      </w:r>
      <w:r>
        <w:t>45% der Patienten zeigte accelerierte Mehrfacherkrankungszunahme mit drei Phänotypen: metabolisch-psychiatrisch (65,7% mit ≥2 Erkrankungen) und kardiopulmonal-muskuloskelettal (100%). Schwere Flares (≥20% der Zeit; OR 2,10) und Glukokortikoidexposition (OR 1,06 pro 10 mg/Tag) während der ersten 24 Monate waren unabhängig mit schneller Progression assoziiert. Fast-accruer zeigten weniger Remission und mehr Schäden (IRR 2,28–3,27).</w:t>
      </w:r>
    </w:p>
    <w:p>
      <w:r>
        <w:rPr>
          <w:b/>
          <w:sz w:val="19"/>
        </w:rPr>
        <w:t xml:space="preserve">Übertragbarkeit: </w:t>
      </w:r>
      <w:r>
        <w:rPr>
          <w:sz w:val="19"/>
        </w:rPr>
        <w:t>Griechenland und Italien, europäische Universitätskliniken, vergleichbare SLE-Versorgungsstandards</w:t>
      </w:r>
    </w:p>
    <w:p>
      <w:r>
        <w:rPr>
          <w:color w:val="5A7D3A"/>
          <w:sz w:val="18"/>
        </w:rPr>
        <w:t>https://pubmed.ncbi.nlm.nih.gov/42778333/</w:t>
      </w:r>
    </w:p>
    <w:p>
      <w:pPr>
        <w:pStyle w:val="Heading2"/>
      </w:pPr>
      <w:r>
        <w:t>CAT-Score-Variabilität vorhersagt COPD-Exazerbationen in virtueller Assistenz-Überwachung</w:t>
      </w:r>
    </w:p>
    <w:p>
      <w:r>
        <w:rPr>
          <w:i/>
          <w:color w:val="666666"/>
          <w:sz w:val="18"/>
        </w:rPr>
        <w:t>Aljama C et al.  ·  Adv Respir Med  ·  07.09.2026  ·  PMID 42776698</w:t>
      </w:r>
    </w:p>
    <w:p>
      <w:r>
        <w:t>Prospektive Beobachtungsstudie mit 106 COPD-Patienten mit Exazerbator-Phänotyp nutzte wöchentliche CAT-Messungen durch virtuellen Assistenten zur Vorhersage von Exazerbationen über ein Jahr.</w:t>
      </w:r>
    </w:p>
    <w:p>
      <w:r>
        <w:rPr>
          <w:b/>
        </w:rPr>
        <w:t xml:space="preserve">Ergebnis: </w:t>
      </w:r>
      <w:r>
        <w:t>73 von 106 Patienten (69%) erlitten ≥1 Exazerbation (192 Episoden, 26% mit Hospitalisierung). Jeder 1-Punkt-Anstieg im CAT-Score war mit 11,1% erhöhtem Exazerbationsrisiko assoziiert (OR 1,11; 95%-KI 1,08–1,13). Wöchentliche Variabilität ≥2 Punkte (MCID) war mit sechsfach erhöhtem Risiko verbunden (OR 6,30; 95%-KI 4,28–9,27). Optimaler Cut-off für CAT-Änderung: 3 Punkte (ROC 0,773).</w:t>
      </w:r>
    </w:p>
    <w:p>
      <w:r>
        <w:rPr>
          <w:b/>
          <w:sz w:val="19"/>
        </w:rPr>
        <w:t xml:space="preserve">Übertragbarkeit: </w:t>
      </w:r>
      <w:r>
        <w:rPr>
          <w:sz w:val="19"/>
        </w:rPr>
        <w:t>Spanien/Brasilien, aber App-basiert; Übertragbarkeit auf deutsche Telemedizin-Strukturen bedingt</w:t>
      </w:r>
    </w:p>
    <w:p>
      <w:r>
        <w:rPr>
          <w:color w:val="5A7D3A"/>
          <w:sz w:val="18"/>
        </w:rPr>
        <w:t>https://pubmed.ncbi.nlm.nih.gov/42776698/</w:t>
      </w:r>
    </w:p>
    <w:p>
      <w:pPr>
        <w:pStyle w:val="Heading2"/>
      </w:pPr>
      <w:r>
        <w:t>Netzwerk-Metaanalyse: GLP-1RA, SGLT2i und nsMRA für kardiorenale Outcomes bei Typ-2-Diabetes mit CKD</w:t>
      </w:r>
    </w:p>
    <w:p>
      <w:r>
        <w:rPr>
          <w:i/>
          <w:color w:val="666666"/>
          <w:sz w:val="18"/>
        </w:rPr>
        <w:t>Chen H et al.  ·  Front Endocrinol (Lausanne)  ·  08.09.2026  ·  PMID 42775225</w:t>
      </w:r>
    </w:p>
    <w:p>
      <w:r>
        <w:t>Systematische Übersicht und frequentistische Netzwerk-Metaanalyse von 21 RCTs mit 51.899 Patienten verglich kardiorenale Effektivität und Sicherheit von GLP-1RAs, SGLT2i und nsMRAs.</w:t>
      </w:r>
    </w:p>
    <w:p>
      <w:r>
        <w:rPr>
          <w:b/>
        </w:rPr>
        <w:t xml:space="preserve">Ergebnis: </w:t>
      </w:r>
      <w:r>
        <w:t>Versus Placebo: SGLT2i reduzierten Risiko von MACE, majorem Nieren-Komposit und Herzinsuffizienz-Hospitalisierung; GLP-1RAs reduzierten MACE, Nieren-Komposit, Herzinsuffizienz, Mortalität und kardiovaskulärer Tod; nsMRA reduzierten Nieren-Komposit und Herzinsuffizienz. Indirekte Vergleiche: SGLT2i günstiger für Nieren (RR 0,77 vs GLP-1RA), SGLT2i günstiger für Herzinsuffizienz versus nsMRA. Hyperkalämie mit nsMRA häufiger.</w:t>
      </w:r>
    </w:p>
    <w:p>
      <w:r>
        <w:rPr>
          <w:b/>
          <w:sz w:val="19"/>
        </w:rPr>
        <w:t xml:space="preserve">Übertragbarkeit: </w:t>
      </w:r>
      <w:r>
        <w:rPr>
          <w:sz w:val="19"/>
        </w:rPr>
        <w:t>Globale RCT-Evidenz, aber keine deutschen Subgruppen; Übertragbarkeit für DMP-Strukturen hoch</w:t>
      </w:r>
    </w:p>
    <w:p>
      <w:r>
        <w:rPr>
          <w:color w:val="5A7D3A"/>
          <w:sz w:val="18"/>
        </w:rPr>
        <w:t>https://pubmed.ncbi.nlm.nih.gov/42775225/</w:t>
      </w:r>
    </w:p>
    <w:p>
      <w:pPr>
        <w:pStyle w:val="Heading2"/>
      </w:pPr>
      <w:r>
        <w:t>Kindheitliche Benachteiligung erhöht Risiko für Behinderung und Mehrfacherkrankung im Alter</w:t>
      </w:r>
    </w:p>
    <w:p>
      <w:r>
        <w:rPr>
          <w:i/>
          <w:color w:val="666666"/>
          <w:sz w:val="18"/>
        </w:rPr>
        <w:t>Zhou T et al.  ·  Front Public Health  ·  08.09.2026  ·  PMID 42774187</w:t>
      </w:r>
    </w:p>
    <w:p>
      <w:r>
        <w:t>Prospektive Analyse von Daten aus ELSA und SHARE-Kohorten untersuchte, ob Armut und gesundheitliche Belastungen in der Kindheit das Risiko für Behinderung und Mehrfacherkrankung im späteren Leben vorhersagen.</w:t>
      </w:r>
    </w:p>
    <w:p>
      <w:r>
        <w:rPr>
          <w:b/>
        </w:rPr>
        <w:t xml:space="preserve">Ergebnis: </w:t>
      </w:r>
      <w:r>
        <w:t>Höchste Kindheitsadversität war mit erhöhtem Risiko für Aktivitätsbeschränkungen (HR 1,43; 95%-KI 1,09–1,87) und Mehrfacherkrankung (HR 1,35; 95%-KI 1,02–1,80) assoziiert. In SHARE erhöhte sich das Risiko für Aktivitätsbeschränkungen und Mehrfacherkrankung ebenfalls signifikant. Die Befunde zeigen anhaltende Auswirkungen früher Nachteiligung auf die Gesundheit im Alter.</w:t>
      </w:r>
    </w:p>
    <w:p>
      <w:r>
        <w:rPr>
          <w:b/>
          <w:sz w:val="19"/>
        </w:rPr>
        <w:t xml:space="preserve">Übertragbarkeit: </w:t>
      </w:r>
      <w:r>
        <w:rPr>
          <w:sz w:val="19"/>
        </w:rPr>
        <w:t>Großbritannien und Europa, vergleichbare Langzeitkohortendesigns</w:t>
      </w:r>
    </w:p>
    <w:p>
      <w:r>
        <w:rPr>
          <w:color w:val="5A7D3A"/>
          <w:sz w:val="18"/>
        </w:rPr>
        <w:t>https://pubmed.ncbi.nlm.nih.gov/42774187/</w:t>
      </w:r>
    </w:p>
    <w:p>
      <w:pPr>
        <w:pStyle w:val="Heading2"/>
      </w:pPr>
      <w:r>
        <w:t>Chronische spontane Urtikaria in Finnland: Versorgungslücken in Behandlung und Monitoring</w:t>
      </w:r>
    </w:p>
    <w:p>
      <w:r>
        <w:rPr>
          <w:i/>
          <w:color w:val="666666"/>
          <w:sz w:val="18"/>
        </w:rPr>
        <w:t>Sinikumpu SP et al.  ·  Acta Derm Venereol  ·  22.09.2026  ·  PMID 42770913</w:t>
      </w:r>
    </w:p>
    <w:p>
      <w:r>
        <w:t>Landesweite Registerstudie analysierte Epidemiologie und Behandlungsmuster von chronischer spontaner Urtikaria in finnischen Fachkliniken 2001–2023.</w:t>
      </w:r>
    </w:p>
    <w:p>
      <w:r>
        <w:rPr>
          <w:b/>
        </w:rPr>
        <w:t xml:space="preserve">Ergebnis: </w:t>
      </w:r>
      <w:r>
        <w:t>Unter 8.784 Patienten erhielten 85,8% Antihistaminika und 36,1% benötigten gleichzeitig Kortikosteroide, was auf suboptimale Kontrolle hindeutet. Nur 8,5% erhielten Omalizumab, Median 9 Monate nach Antihistamininitiation. Hochkomorbidität mit Asthma, Hypertonie und Depression. Die Befunde deuten auf Verzögerungen in der Eskalation zur biologischen Therapie und mangelnde Krankheitskontrolle hin.</w:t>
      </w:r>
    </w:p>
    <w:p>
      <w:r>
        <w:rPr>
          <w:b/>
          <w:sz w:val="19"/>
        </w:rPr>
        <w:t xml:space="preserve">Übertragbarkeit: </w:t>
      </w:r>
      <w:r>
        <w:rPr>
          <w:sz w:val="19"/>
        </w:rPr>
        <w:t>Finnland, nordisches Gesundheitssystem, vergleichbare Vergütungsstrukturen</w:t>
      </w:r>
    </w:p>
    <w:p>
      <w:r>
        <w:rPr>
          <w:color w:val="5A7D3A"/>
          <w:sz w:val="18"/>
        </w:rPr>
        <w:t>https://pubmed.ncbi.nlm.nih.gov/42770913/</w:t>
      </w:r>
    </w:p>
    <w:p>
      <w:pPr>
        <w:pStyle w:val="Heading2"/>
      </w:pPr>
      <w:r>
        <w:t>Rehabilitation bei älteren Patienten mit COPD und Post-COVID-Syndrom in Kirgistan zeigte Unterschiede nach Region</w:t>
      </w:r>
    </w:p>
    <w:p>
      <w:r>
        <w:rPr>
          <w:i/>
          <w:color w:val="666666"/>
          <w:sz w:val="18"/>
        </w:rPr>
        <w:t>Zhorobekova M et al.  ·  Georgian Med News  ·  Mai 2026  ·  PMID 42600600</w:t>
      </w:r>
    </w:p>
    <w:p>
      <w:r>
        <w:t>Gemischte Methoden-Studie untersuchte medizinische und soziale Rehabilitation von älteren Patienten mit COPD und/oder Post-COVID-Syndrom in urbanen versus hochalpinen Regionen Kirgistans.</w:t>
      </w:r>
    </w:p>
    <w:p>
      <w:r>
        <w:rPr>
          <w:b/>
        </w:rPr>
        <w:t xml:space="preserve">Ergebnis: </w:t>
      </w:r>
      <w:r>
        <w:t>Patienten mit beiden Erkrankungen zeigten höchste Inflammationsmarker und stärkste Lungenfunktionseinschränkung (FEV1 48,5% Soll). In hochalpinen Gebieten niedrigere Sauerstoffsättigung und höhere Fatigue durch chronische Hypoxie. Rehabilitationsergebnisse besser in urbanen Gebieten mit besserer Infrastruktur und Sauerstofftherapie-Zugang. Die Studie unterstreicht Bedeutung adaptierter, regionalisierter Rehabilitationsstrategien.</w:t>
      </w:r>
    </w:p>
    <w:p>
      <w:r>
        <w:rPr>
          <w:b/>
          <w:sz w:val="19"/>
        </w:rPr>
        <w:t xml:space="preserve">Übertragbarkeit: </w:t>
      </w:r>
      <w:r>
        <w:rPr>
          <w:sz w:val="19"/>
        </w:rPr>
        <w:t>Zentralasien, limitierte Ressourcenlage, zeigt Notwendigkeit dezentraler Versorgungsmodelle</w:t>
      </w:r>
    </w:p>
    <w:p>
      <w:r>
        <w:rPr>
          <w:color w:val="5A7D3A"/>
          <w:sz w:val="18"/>
        </w:rPr>
        <w:t>https://pubmed.ncbi.nlm.nih.gov/42600600/</w:t>
      </w:r>
    </w:p>
    <w:p>
      <w:pPr>
        <w:pStyle w:val="Heading1"/>
      </w:pPr>
      <w:r>
        <w:t>Aufgenommen am 23.09.2026</w:t>
      </w:r>
    </w:p>
    <w:p>
      <w:pPr>
        <w:pStyle w:val="Heading2"/>
      </w:pPr>
      <w:r>
        <w:t>Ultra-verarbeitete Lebensmittel erhöhen Risiko für Mehrfacherkrankungen: Dose-Wirkungs-Analyse mit 8,8 Millionen Teilnehmern</w:t>
      </w:r>
    </w:p>
    <w:p>
      <w:r>
        <w:rPr>
          <w:i/>
          <w:color w:val="666666"/>
          <w:sz w:val="18"/>
        </w:rPr>
        <w:t>Liu X et al.  ·  Fam Med Community Health  ·  22.09.2026  ·  PMID 42773062</w:t>
      </w:r>
    </w:p>
    <w:p>
      <w:r>
        <w:t>Dosisabhängige Metaanalyse von 51 prospektiven Kohortenstudien (n=8.819.894 Erwachsene) untersuchte Assoziation zwischen Ultra-Verarbeitete-Lebensmittel-Konsum und Krankheitslast chronischer nicht-übertragbarer Erkrankungen.</w:t>
      </w:r>
    </w:p>
    <w:p>
      <w:r>
        <w:rPr>
          <w:b/>
        </w:rPr>
        <w:t xml:space="preserve">Ergebnis: </w:t>
      </w:r>
      <w:r>
        <w:t>Erhöhter Ultra-Verarbeitete-Lebensmittel-Konsum assoziiert mit kardiovaskulären Ereignissen (HR 1,24, 95% KI 1,14–1,36), Krebs (HR 1,12, 95% KI 1,04–1,21), Adipositas (HR 1,23), metabolisches Syndrom/Diabetes (HR 1,24), Depression/Angst (HR 1,27), Verdauungserkrankungen (HR 1,31) und Mortalität (HR 1,18). Pro 100 g/Tag: Kardiovaskulär HR 1,14, Krebs HR 1,04, Mortalität HR 1,03.</w:t>
      </w:r>
    </w:p>
    <w:p>
      <w:r>
        <w:rPr>
          <w:b/>
          <w:sz w:val="19"/>
        </w:rPr>
        <w:t xml:space="preserve">Übertragbarkeit: </w:t>
      </w:r>
      <w:r>
        <w:rPr>
          <w:sz w:val="19"/>
        </w:rPr>
        <w:t>Bevölkerungsstudien aus LMIC und Hocheinkommensländern; Ernährungsprävention universell anwendbar.</w:t>
      </w:r>
    </w:p>
    <w:p>
      <w:r>
        <w:rPr>
          <w:color w:val="5A7D3A"/>
          <w:sz w:val="18"/>
        </w:rPr>
        <w:t>https://pubmed.ncbi.nlm.nih.gov/42773062/</w:t>
      </w:r>
    </w:p>
    <w:p>
      <w:pPr>
        <w:pStyle w:val="Heading2"/>
      </w:pPr>
      <w:r>
        <w:t>Hepatitis-C-Versorgungslücken bei australischen First Nations: Weg zur Elimination bis 2030</w:t>
      </w:r>
    </w:p>
    <w:p>
      <w:r>
        <w:rPr>
          <w:i/>
          <w:color w:val="666666"/>
          <w:sz w:val="18"/>
        </w:rPr>
        <w:t>Ward J et al.  ·  Med J Aust  ·  Sept. 2026  ·  PMID 42772855</w:t>
      </w:r>
    </w:p>
    <w:p>
      <w:r>
        <w:t>Analyse der Hepatitis-C-Versorgung unter australischen First Nations zeigte, dass diese Bevölkerung überproportional betroffen ist (18% der chronischen Fälle bei 4% der Bevölkerung), aber langsamere Therapieaufnahme hat als nicht-indigene Australier.</w:t>
      </w:r>
    </w:p>
    <w:p>
      <w:r>
        <w:rPr>
          <w:b/>
        </w:rPr>
        <w:t xml:space="preserve">Ergebnis: </w:t>
      </w:r>
      <w:r>
        <w:t>First Nations Australians haben trotz Überrepräsentation mit 18% der chronischen Hepatitis-C-Fälle langsamere Aufnahme von Direct-Acting-Antiviral-Therapie als nicht-indigene Australier. Erreichung der nationalen Eliminationsziele bis 2030 erfordert Strategien mit Equity-Framework zur Schließung von Versorgungslücken.</w:t>
      </w:r>
    </w:p>
    <w:p>
      <w:r>
        <w:rPr>
          <w:b/>
          <w:sz w:val="19"/>
        </w:rPr>
        <w:t xml:space="preserve">Übertragbarkeit: </w:t>
      </w:r>
      <w:r>
        <w:rPr>
          <w:sz w:val="19"/>
        </w:rPr>
        <w:t>Australien, vergleichbare Inequity-Strukturen; zeigt Versorgungsbarrieren für marginalisierte Gruppen.</w:t>
      </w:r>
    </w:p>
    <w:p>
      <w:r>
        <w:rPr>
          <w:color w:val="5A7D3A"/>
          <w:sz w:val="18"/>
        </w:rPr>
        <w:t>https://pubmed.ncbi.nlm.nih.gov/42772855/</w:t>
      </w:r>
    </w:p>
    <w:p>
      <w:pPr>
        <w:pStyle w:val="Heading2"/>
      </w:pPr>
      <w:r>
        <w:t>Physiotherapie-Assistenten erhöhten Mobilisierungsfrequenz bei älteren Patienten mit Mehrfacherkrankungen im Krankenhaus</w:t>
      </w:r>
    </w:p>
    <w:p>
      <w:r>
        <w:rPr>
          <w:i/>
          <w:color w:val="666666"/>
          <w:sz w:val="18"/>
        </w:rPr>
        <w:t>Snowdon DA et al.  ·  Age Ageing  ·  04.09.2026  ·  PMID 42771780</w:t>
      </w:r>
    </w:p>
    <w:p>
      <w:r>
        <w:t>Machbarkeitsstudie (n=61, mittleres Alter 77 Jahre) untersuchte, ob Physio-Assistenten unter Supervision von Physiotherapeuten die Mobilisierungsintensität bei hospitalisierten älteren Patienten mit Mehrfacherkrankungen erhöhen können.</w:t>
      </w:r>
    </w:p>
    <w:p>
      <w:r>
        <w:rPr>
          <w:b/>
        </w:rPr>
        <w:t xml:space="preserve">Ergebnis: </w:t>
      </w:r>
      <w:r>
        <w:t>Patienten mit Physio-Assistent erhielten durchschnittlich 12 Minuten mehr Therapie pro Tag als Physiotherapie-Gruppe (95% KI 6–17). Patienten mit Assistent liefen häufiger (66% vs. 59% der Tage), mittlere Hospitalisierungsdauer war 3 Tage kürzer, akute Kosten $1.425 niedriger. Unerwünschte Ereignisse waren vergleichbar.</w:t>
      </w:r>
    </w:p>
    <w:p>
      <w:r>
        <w:rPr>
          <w:b/>
          <w:sz w:val="19"/>
        </w:rPr>
        <w:t xml:space="preserve">Übertragbarkeit: </w:t>
      </w:r>
      <w:r>
        <w:rPr>
          <w:sz w:val="19"/>
        </w:rPr>
        <w:t>Australien, stationäre Struktur; übertragbar auf Akutkrankenhäuser mit multiprofessionellen Teams.</w:t>
      </w:r>
    </w:p>
    <w:p>
      <w:r>
        <w:rPr>
          <w:color w:val="5A7D3A"/>
          <w:sz w:val="18"/>
        </w:rPr>
        <w:t>https://pubmed.ncbi.nlm.nih.gov/42771780/</w:t>
      </w:r>
    </w:p>
    <w:p>
      <w:pPr>
        <w:pStyle w:val="Heading2"/>
      </w:pPr>
      <w:r>
        <w:t>Melatonin zeigte Trend zur Reduktion COPD-bedingter Krankenhausaufnahmen, aber nicht zur Rauchentwöhnung</w:t>
      </w:r>
    </w:p>
    <w:p>
      <w:r>
        <w:rPr>
          <w:i/>
          <w:color w:val="666666"/>
          <w:sz w:val="18"/>
        </w:rPr>
        <w:t>Gholinataj Jelodar M et al.  ·  Can Respir J  ·  2026  ·  PMID 42770942</w:t>
      </w:r>
    </w:p>
    <w:p>
      <w:r>
        <w:t>Randomisierte, dreifach verblindete Studie (n=60 männliche COPD-Patienten mit Rauchen) untersuchte über 180 Tage, ob Melatonin (5 mg) Nikotinabhängigkeit und COPD-Exazerbationen reduziert.</w:t>
      </w:r>
    </w:p>
    <w:p>
      <w:r>
        <w:rPr>
          <w:b/>
        </w:rPr>
        <w:t xml:space="preserve">Ergebnis: </w:t>
      </w:r>
      <w:r>
        <w:t>Beide Gruppen zeigten Reduktion der Zigarettenkonsum und Verbesserung psychologischer Scores ohne signifikante Gruppenunterschiede. COPD-Exazerbations-Hospitalisierungen waren im Melatonin-Arm numerisch niedriger (4% vs. 24%, Placebo), aber nicht statistisch signifikant. Melatonin hatte keinen Effekt auf Rauchentwöhnung oder psychische Outcomes.</w:t>
      </w:r>
    </w:p>
    <w:p>
      <w:r>
        <w:rPr>
          <w:b/>
          <w:sz w:val="19"/>
        </w:rPr>
        <w:t xml:space="preserve">Übertragbarkeit: </w:t>
      </w:r>
      <w:r>
        <w:rPr>
          <w:sz w:val="19"/>
        </w:rPr>
        <w:t>Iran; begrenzte Anwendbarkeit; exploratorischer Befund bedarf größerer, adequat gepowerter Studien.</w:t>
      </w:r>
    </w:p>
    <w:p>
      <w:r>
        <w:rPr>
          <w:color w:val="5A7D3A"/>
          <w:sz w:val="18"/>
        </w:rPr>
        <w:t>https://pubmed.ncbi.nlm.nih.gov/42770942/</w:t>
      </w:r>
    </w:p>
    <w:p>
      <w:pPr>
        <w:pStyle w:val="Heading2"/>
      </w:pPr>
      <w:r>
        <w:t>Qualitätsverbesserung bei COPD-Patienten mit hohem Risiko: Lektionen aus dem CONQUEST-Programm</w:t>
      </w:r>
    </w:p>
    <w:p>
      <w:r>
        <w:rPr>
          <w:i/>
          <w:color w:val="666666"/>
          <w:sz w:val="18"/>
        </w:rPr>
        <w:t>Halpin DMG et al.  ·  Prim Health Care Res Dev  ·  22.09.2026  ·  PMID 42770200</w:t>
      </w:r>
    </w:p>
    <w:p>
      <w:r>
        <w:t>Das CONQUEST-Programm identifizierte COPD-Patienten mit hohem Komplikationsrisiko in der britischen Primärversorgung und optimierte deren Management durch strukturierte Versorgungspfade mit Datenüberwachung und ressourcenplanung.</w:t>
      </w:r>
    </w:p>
    <w:p>
      <w:r>
        <w:rPr>
          <w:b/>
        </w:rPr>
        <w:t xml:space="preserve">Ergebnis: </w:t>
      </w:r>
      <w:r>
        <w:t>Das Programm identifizierte COPD-Patienten mit erhöhtem Risiko für unerwünschte Ereignisse bei geringer Patientenzahl pro Praxis erfolgreich. Schlüssellektionen: Qualitätverbesserungsprogramme müssen flexibel für lokale Kontexte adaptierbar sein, frühzeitige Datenüberwachung ermöglicht effiziente Problemlösung, und ressourcenplanung ist für die praktische Umsetzung unerlässlich.</w:t>
      </w:r>
    </w:p>
    <w:p>
      <w:r>
        <w:rPr>
          <w:b/>
          <w:sz w:val="19"/>
        </w:rPr>
        <w:t xml:space="preserve">Übertragbarkeit: </w:t>
      </w:r>
      <w:r>
        <w:rPr>
          <w:sz w:val="19"/>
        </w:rPr>
        <w:t>UK-Primärversorgung mit Case-Management-Struktur; transferierbar auf deutsche Hausarztpraxen mit DMP-Koordination.</w:t>
      </w:r>
    </w:p>
    <w:p>
      <w:r>
        <w:rPr>
          <w:color w:val="5A7D3A"/>
          <w:sz w:val="18"/>
        </w:rPr>
        <w:t>https://pubmed.ncbi.nlm.nih.gov/42770200/</w:t>
      </w:r>
    </w:p>
    <w:p>
      <w:pPr>
        <w:pStyle w:val="Heading2"/>
      </w:pPr>
      <w:r>
        <w:t>Exergaming verbesserte Balance und Gehfunktion bei älteren Patienten mit chronischen Erkrankungen</w:t>
      </w:r>
    </w:p>
    <w:p>
      <w:r>
        <w:rPr>
          <w:i/>
          <w:color w:val="666666"/>
          <w:sz w:val="18"/>
        </w:rPr>
        <w:t>Ge B et al.  ·  Front Public Health  ·  07.09.2026  ·  PMID 42769539</w:t>
      </w:r>
    </w:p>
    <w:p>
      <w:r>
        <w:t>Systematische Übersichtsarbeit mit Metaanalyse von 11 RCTs (n=älter Erwachsene ≥60 Jahre mit chronischen Erkrankungen in der Gemeinde) untersuchte Effekte von Exergaming auf Balance und funktionale Mobilität.</w:t>
      </w:r>
    </w:p>
    <w:p>
      <w:r>
        <w:rPr>
          <w:b/>
        </w:rPr>
        <w:t xml:space="preserve">Ergebnis: </w:t>
      </w:r>
      <w:r>
        <w:t>Exergaming verbesserte signifikant Balance (gemessen Berg Balance Scale, MD=2,93, 95% KI 0,44–5,41, p=0,021) und dynamische Gehfähigkeit (Dynamic Gait Index, MD=0,72, 95% KI 0,09–1,35, p=0,025). Größere Vorteile bei ≥8 Wochen Dauer und überwachtem Training. Heterogenität niedrig bis moderat.</w:t>
      </w:r>
    </w:p>
    <w:p>
      <w:r>
        <w:rPr>
          <w:b/>
          <w:sz w:val="19"/>
        </w:rPr>
        <w:t xml:space="preserve">Übertragbarkeit: </w:t>
      </w:r>
      <w:r>
        <w:rPr>
          <w:sz w:val="19"/>
        </w:rPr>
        <w:t>Internationale RCTs, Community-Setting; methodisch hochwertig aber Transferbarkeit auf Primärversorgung unklar.</w:t>
      </w:r>
    </w:p>
    <w:p>
      <w:r>
        <w:rPr>
          <w:color w:val="5A7D3A"/>
          <w:sz w:val="18"/>
        </w:rPr>
        <w:t>https://pubmed.ncbi.nlm.nih.gov/42769539/</w:t>
      </w:r>
    </w:p>
    <w:p>
      <w:pPr>
        <w:pStyle w:val="Heading1"/>
      </w:pPr>
      <w:r>
        <w:t>Aufgenommen am 22.09.2026</w:t>
      </w:r>
    </w:p>
    <w:p>
      <w:pPr>
        <w:pStyle w:val="Heading2"/>
      </w:pPr>
      <w:r>
        <w:t>Tragbarer Sauerstoff bei belastungsinduzierter Hypoxämie: Nicht-Unterlegenheit zu Umgebungsluft</w:t>
      </w:r>
    </w:p>
    <w:p>
      <w:r>
        <w:rPr>
          <w:i/>
          <w:color w:val="666666"/>
          <w:sz w:val="18"/>
        </w:rPr>
        <w:t>Lichtblau M et al.  ·  BMJ Open Respir Res  ·  21.09.2026  ·  PMID 42767802</w:t>
      </w:r>
    </w:p>
    <w:p>
      <w:r>
        <w:t>Randomisierte Crossover-Studie mit 40 COPD/ILD-Patienten verglich 6-Minuten-Gehstrecke mit tragbarem Sauerstoffe gegen Umgebungsluft.</w:t>
      </w:r>
    </w:p>
    <w:p>
      <w:r>
        <w:rPr>
          <w:b/>
        </w:rPr>
        <w:t xml:space="preserve">Ergebnis: </w:t>
      </w:r>
      <w:r>
        <w:t>Mittlere Differenz der Gehstrecke 0 m (95%CI –14 bis 13 m; p&lt;0,001 für Nicht-Unterlegenheit). Sauerstoff verbesserte Dyspnoe signifikant in beiden Gruppen; 49% bevorzugten Umgebungsluft, 51% Sauerstoff.</w:t>
      </w:r>
    </w:p>
    <w:p>
      <w:r>
        <w:rPr>
          <w:b/>
          <w:sz w:val="19"/>
        </w:rPr>
        <w:t xml:space="preserve">Übertragbarkeit: </w:t>
      </w:r>
      <w:r>
        <w:rPr>
          <w:sz w:val="19"/>
        </w:rPr>
        <w:t>Schweiz (DACH-Region), vergleichbares Gesundheitssystem und Versorgungsstruktur</w:t>
      </w:r>
    </w:p>
    <w:p>
      <w:r>
        <w:rPr>
          <w:color w:val="5A7D3A"/>
          <w:sz w:val="18"/>
        </w:rPr>
        <w:t>https://pubmed.ncbi.nlm.nih.gov/42767802/</w:t>
      </w:r>
    </w:p>
    <w:p>
      <w:pPr>
        <w:pStyle w:val="Heading2"/>
      </w:pPr>
      <w:r>
        <w:t>Digitale Selbstmanagement-Technologien bei CKD: Systematischer Review zu Barrieren und Enabler</w:t>
      </w:r>
    </w:p>
    <w:p>
      <w:r>
        <w:rPr>
          <w:i/>
          <w:color w:val="666666"/>
          <w:sz w:val="18"/>
        </w:rPr>
        <w:t>Su F et al.  ·  J Med Internet Res  ·  21.09.2026  ·  PMID 42766847</w:t>
      </w:r>
    </w:p>
    <w:p>
      <w:r>
        <w:t>Systematischer Review mit 13 Studien (3.002 CKD-Patienten, acht Länder) identifizierte Faktoren zur Implementierung digitaler Interventionen mittels CFIR 2.0-Rahmen.</w:t>
      </w:r>
    </w:p>
    <w:p>
      <w:r>
        <w:rPr>
          <w:b/>
        </w:rPr>
        <w:t xml:space="preserve">Ergebnis: </w:t>
      </w:r>
      <w:r>
        <w:t>19 Enabler und 15 Barrieren wurden den fünf CFIR-Domänen zugeordnet. Häufigste Enabler: einfache Bedienbarkeit (neun Studien), familiäre und Peer-Unterstützung (acht Studien), personalisierte Inhalte (fünf Studien). Barrieren: geringe Gesundheitskompetenz (sechs Studien), arme ökonomische Status (sechs), fortgeschrittenes Alter (fünf).</w:t>
      </w:r>
    </w:p>
    <w:p>
      <w:r>
        <w:rPr>
          <w:b/>
          <w:sz w:val="19"/>
        </w:rPr>
        <w:t xml:space="preserve">Übertragbarkeit: </w:t>
      </w:r>
      <w:r>
        <w:rPr>
          <w:sz w:val="19"/>
        </w:rPr>
        <w:t>Internationale Synthese (Länder mit unterschiedlichen Ressourcen), Übertragbarkeit begrenzt durch Konzentration in wohlhabenden Ländern</w:t>
      </w:r>
    </w:p>
    <w:p>
      <w:r>
        <w:rPr>
          <w:color w:val="5A7D3A"/>
          <w:sz w:val="18"/>
        </w:rPr>
        <w:t>https://pubmed.ncbi.nlm.nih.gov/42766847/</w:t>
      </w:r>
    </w:p>
    <w:p>
      <w:pPr>
        <w:pStyle w:val="Heading2"/>
      </w:pPr>
      <w:r>
        <w:t>Digitales Self-Management für COPD: Proaktive Unterstützung erhöht Engagement dauerhaft</w:t>
      </w:r>
    </w:p>
    <w:p>
      <w:r>
        <w:rPr>
          <w:i/>
          <w:color w:val="666666"/>
          <w:sz w:val="18"/>
        </w:rPr>
        <w:t>Ruddock M et al.  ·  JMIR Hum Factors  ·  21.09.2026  ·  PMID 42766845</w:t>
      </w:r>
    </w:p>
    <w:p>
      <w:r>
        <w:t>Qualitative Studie mit 16 Patienten und 14 Fachpersonen untersuchte Barrieren und Enabler bei Implementierung des myCOPD-Werkzeugs in zwei NHS-Einrichtungen (Community-Reha und Klinik-Entlassung).</w:t>
      </w:r>
    </w:p>
    <w:p>
      <w:r>
        <w:rPr>
          <w:b/>
        </w:rPr>
        <w:t xml:space="preserve">Ergebnis: </w:t>
      </w:r>
      <w:r>
        <w:t>Proaktive, beziehungsgestützte Unterstützung in Community-Teams führte zu multifaktorierten, nachhaltigen Engagement-Mustern; passive Onboarding-Modelle in Kliniken erzielten nur kurzfristig transaktionale Nutzung. Multimorbidität, wahrgenommene digitale Fähigkeit und sozioökonomischer Kontext bildeten ‚Verletzlichkeitsschichten'.</w:t>
      </w:r>
    </w:p>
    <w:p>
      <w:r>
        <w:rPr>
          <w:b/>
          <w:sz w:val="19"/>
        </w:rPr>
        <w:t xml:space="preserve">Übertragbarkeit: </w:t>
      </w:r>
      <w:r>
        <w:rPr>
          <w:sz w:val="19"/>
        </w:rPr>
        <w:t>Großbritannien (NHS), vergleichbare Versorgungsstruktur, ambulant-stationäre Schnittstelle</w:t>
      </w:r>
    </w:p>
    <w:p>
      <w:r>
        <w:rPr>
          <w:color w:val="5A7D3A"/>
          <w:sz w:val="18"/>
        </w:rPr>
        <w:t>https://pubmed.ncbi.nlm.nih.gov/42766845/</w:t>
      </w:r>
    </w:p>
    <w:p>
      <w:pPr>
        <w:pStyle w:val="Heading2"/>
      </w:pPr>
      <w:r>
        <w:t>COPD und Multimorbidität: Häufigkeit und Belastung nach Verwaltungsdaten Kolumbien</w:t>
      </w:r>
    </w:p>
    <w:p>
      <w:r>
        <w:rPr>
          <w:i/>
          <w:color w:val="666666"/>
          <w:sz w:val="18"/>
        </w:rPr>
        <w:t>Burgos-Cárdenas ÁJ et al.  ·  Int J Chron Obstruct Pulmon Dis  ·  16.09.2026  ·  PMID 42765005</w:t>
      </w:r>
    </w:p>
    <w:p>
      <w:r>
        <w:t>Querschnittsstudie an 6.865.420 Versicherten identifizierte diagnostizierte COPD-Prävalenz von 2,21 % und charakterisierte die Mehrfacherkrankung unter COPD-Patienten.</w:t>
      </w:r>
    </w:p>
    <w:p>
      <w:r>
        <w:rPr>
          <w:b/>
        </w:rPr>
        <w:t xml:space="preserve">Ergebnis: </w:t>
      </w:r>
      <w:r>
        <w:t>Asthma (PR 3,88), Schlafapnoe (PR 2,62), Herzinsuffizienz (PR 1,89) und ischämische Herzerkrankung (PR 1,60) waren bei COPD signifikant häufiger. Lungenkrebs PR 6,41. Ergebnisse unterstützen interdisziplinäre Versorgungsmodelle.</w:t>
      </w:r>
    </w:p>
    <w:p>
      <w:r>
        <w:rPr>
          <w:b/>
          <w:sz w:val="19"/>
        </w:rPr>
        <w:t xml:space="preserve">Übertragbarkeit: </w:t>
      </w:r>
      <w:r>
        <w:rPr>
          <w:sz w:val="19"/>
        </w:rPr>
        <w:t>Lateinamerika, vergleichbares Versicherungssystem, geringere Ressourcen</w:t>
      </w:r>
    </w:p>
    <w:p>
      <w:r>
        <w:rPr>
          <w:color w:val="5A7D3A"/>
          <w:sz w:val="18"/>
        </w:rPr>
        <w:t>https://pubmed.ncbi.nlm.nih.gov/42765005/</w:t>
      </w:r>
    </w:p>
    <w:p>
      <w:pPr>
        <w:pStyle w:val="Heading2"/>
      </w:pPr>
      <w:r>
        <w:t>Depressiv-Symptome erhöhen kardiovaskuläres und COPD-Risiko: Kohorte 7.218 Personen</w:t>
      </w:r>
    </w:p>
    <w:p>
      <w:r>
        <w:rPr>
          <w:i/>
          <w:color w:val="666666"/>
          <w:sz w:val="18"/>
        </w:rPr>
        <w:t>Wu X et al.  ·  Zhonghua Liu Xing Bing Xue Za Zhi  ·  10.09.2026  ·  PMID 42763189</w:t>
      </w:r>
    </w:p>
    <w:p>
      <w:r>
        <w:t>Prospektive Kohorte mit 7.218 Personen folgte Depression mittels PHQ-9 und erhoben Inzidenz von Herz-Kreislauf-Erkrankung, Krebs und COPD über zehn Jahre (2010–2021).</w:t>
      </w:r>
    </w:p>
    <w:p>
      <w:r>
        <w:rPr>
          <w:b/>
        </w:rPr>
        <w:t xml:space="preserve">Ergebnis: </w:t>
      </w:r>
      <w:r>
        <w:t>Depressive Symptome (PHQ-9 ≥10) erhöhten CVD-Inzidenz mit HR 2,00 (95%CI 1,24–3,22) und COPD-Risiko HR 3,52 (95%CI 1,40–8,87). Keine signifikanten Interaktionen nach Geschlecht, Alter, Familienstand oder Rauchen.</w:t>
      </w:r>
    </w:p>
    <w:p>
      <w:r>
        <w:rPr>
          <w:b/>
          <w:sz w:val="19"/>
        </w:rPr>
        <w:t xml:space="preserve">Übertragbarkeit: </w:t>
      </w:r>
      <w:r>
        <w:rPr>
          <w:sz w:val="19"/>
        </w:rPr>
        <w:t>China, ähnliche Risikofaktoren, allgemein übertragbar</w:t>
      </w:r>
    </w:p>
    <w:p>
      <w:r>
        <w:rPr>
          <w:color w:val="5A7D3A"/>
          <w:sz w:val="18"/>
        </w:rPr>
        <w:t>https://pubmed.ncbi.nlm.nih.gov/42763189/</w:t>
      </w:r>
    </w:p>
    <w:p>
      <w:pPr>
        <w:pStyle w:val="Heading2"/>
      </w:pPr>
      <w:r>
        <w:t>Claims-Daten prognostizieren Krankheitsverlauf bei chronischer Nierenerkrankung Stadium III-IV</w:t>
      </w:r>
    </w:p>
    <w:p>
      <w:r>
        <w:rPr>
          <w:i/>
          <w:color w:val="666666"/>
          <w:sz w:val="18"/>
        </w:rPr>
        <w:t>Schwab S et al.  ·  Kidney Blood Press Res  ·  25.07.2026  ·  PMID 42501341</w:t>
      </w:r>
    </w:p>
    <w:p>
      <w:r>
        <w:t>Analyse von 29.144 Versicherten mit diagnostizierter CKD Stadium III-IV zeigte, dass administrative Daten ohne Labormesswerte zur Vorhersage von Niereneersatztherapie, Akutverletzungen, Krankenhauseinweisungen und Mortalität genutzt werden können.</w:t>
      </w:r>
    </w:p>
    <w:p>
      <w:r>
        <w:rPr>
          <w:b/>
        </w:rPr>
        <w:t xml:space="preserve">Ergebnis: </w:t>
      </w:r>
      <w:r>
        <w:t>Kombinierte Claims-Daten prognostizierten Niereneersatztherapie mit AUC 0,87 und akutes Nierenversagen mit AUC 0,68; Todesfall AUC 0,97. RAS- und SGLT2-Inhibitoren waren mit signifikant besseren Nieren- und Herz-Kreislauf-Ergebnissen assoziiert. CKD-Stadium verbesserte alle Modelle erheblich.</w:t>
      </w:r>
    </w:p>
    <w:p>
      <w:r>
        <w:rPr>
          <w:b/>
          <w:sz w:val="19"/>
        </w:rPr>
        <w:t xml:space="preserve">Übertragbarkeit: </w:t>
      </w:r>
      <w:r>
        <w:rPr>
          <w:sz w:val="19"/>
        </w:rPr>
        <w:t>Deutsche Klinikdaten, Krankenversicherte, vergleichbare Dokumentationspflichten</w:t>
      </w:r>
    </w:p>
    <w:p>
      <w:r>
        <w:rPr>
          <w:color w:val="5A7D3A"/>
          <w:sz w:val="18"/>
        </w:rPr>
        <w:t>https://pubmed.ncbi.nlm.nih.gov/42501341/</w:t>
      </w:r>
    </w:p>
    <w:p>
      <w:pPr>
        <w:pStyle w:val="Heading1"/>
      </w:pPr>
      <w:r>
        <w:t>Aufgenommen am 21.09.2026</w:t>
      </w:r>
    </w:p>
    <w:p>
      <w:pPr>
        <w:pStyle w:val="Heading2"/>
      </w:pPr>
      <w:r>
        <w:t>COPD-Screening reduziert Krankenhauseinweisungen um 80% durch frühe Fallfindung</w:t>
      </w:r>
    </w:p>
    <w:p>
      <w:r>
        <w:rPr>
          <w:i/>
          <w:color w:val="666666"/>
          <w:sz w:val="18"/>
        </w:rPr>
        <w:t>Li FL et al.  ·  Zhonghua Liu Xing Bing Xue Za Zhi  ·  10.09.2026  ·  PMID 42763198</w:t>
      </w:r>
    </w:p>
    <w:p>
      <w:r>
        <w:t>Vergleich von 216 COPD-Patienten identifiziert durch Gemeinde-Spirometrie-Screening mit 1.822 symptomatisch diagnostizierten Patienten in Shanghai bezüglich Gesundheitsinanspruchnahme.</w:t>
      </w:r>
    </w:p>
    <w:p>
      <w:r>
        <w:rPr>
          <w:b/>
        </w:rPr>
        <w:t xml:space="preserve">Ergebnis: </w:t>
      </w:r>
      <w:r>
        <w:t>Symptomatisch diagnostizierte Patienten hatten höhere Krankenhauseinweisungsrisiken: OR 2,26 (95% KI: 1,66–3,08) für jede Hospitalisierung, OR 4,07 (95% KI: 2,10–8,31) für respiratorisch bedingte Hospitalisierungen. Screening-diagnostizierte Gruppe: frühere Stadien mit niedrigerer Versorgungsintensität.</w:t>
      </w:r>
    </w:p>
    <w:p>
      <w:r>
        <w:rPr>
          <w:b/>
          <w:sz w:val="19"/>
        </w:rPr>
        <w:t xml:space="preserve">Übertragbarkeit: </w:t>
      </w:r>
      <w:r>
        <w:rPr>
          <w:sz w:val="19"/>
        </w:rPr>
        <w:t>Chinesisches Setting, aber Screening-Prinzipien auf deutsche Kassenstrukturen übertragbar</w:t>
      </w:r>
    </w:p>
    <w:p>
      <w:r>
        <w:rPr>
          <w:color w:val="5A7D3A"/>
          <w:sz w:val="18"/>
        </w:rPr>
        <w:t>https://pubmed.ncbi.nlm.nih.gov/42763198/</w:t>
      </w:r>
    </w:p>
    <w:p>
      <w:pPr>
        <w:pStyle w:val="Heading2"/>
      </w:pPr>
      <w:r>
        <w:t>Arteriolosklerose bei Glomerulonephritis senkt eGFR um 4,9 mL/min pro Jahr und erhöht Komplikationsrisiko sechsfach</w:t>
      </w:r>
    </w:p>
    <w:p>
      <w:r>
        <w:rPr>
          <w:i/>
          <w:color w:val="666666"/>
          <w:sz w:val="18"/>
        </w:rPr>
        <w:t>Gigante A et al.  ·  J Clin Hypertens (Greenwich)  ·  Sept. 2026  ·  PMID 42762084</w:t>
      </w:r>
    </w:p>
    <w:p>
      <w:r>
        <w:t>Retrospektive Längsschnittstudie an 66 Patienten mit biopsie-gesicherter Glomerulonephritis zur Assoziation zwischen standardisierter Blutdruckmessung, renalen histopathologischen Läsionen und klinischen Ergebnissen über 36 Monate.</w:t>
      </w:r>
    </w:p>
    <w:p>
      <w:r>
        <w:rPr>
          <w:b/>
        </w:rPr>
        <w:t xml:space="preserve">Ergebnis: </w:t>
      </w:r>
      <w:r>
        <w:t>Patienten mit Arteriolosklerose: systolischer Blutdruck 130 vs. 120 mmHg (p=0,032). SBP &gt;130 mmHg assoziiert mit Arteriolosklerose (p=0,004). Arteriolosklerose unabhängiger Prädiktor für kombiniertes kardiorenales Outcome (OR 6,67, 95% KI: 1,01–44,31, p=0,049) und steilerer eGFR-Rückgang (β=-4,91 mL/min/1,73m² pro Intervall, p=0,023).</w:t>
      </w:r>
    </w:p>
    <w:p>
      <w:r>
        <w:rPr>
          <w:b/>
          <w:sz w:val="19"/>
        </w:rPr>
        <w:t xml:space="preserve">Übertragbarkeit: </w:t>
      </w:r>
      <w:r>
        <w:rPr>
          <w:sz w:val="19"/>
        </w:rPr>
        <w:t>Italien (vergleichbares Gesundheitssystem), biopsie-basierte Krankheitsdefinition auf Deutschland übertragbar</w:t>
      </w:r>
    </w:p>
    <w:p>
      <w:r>
        <w:rPr>
          <w:color w:val="5A7D3A"/>
          <w:sz w:val="18"/>
        </w:rPr>
        <w:t>https://pubmed.ncbi.nlm.nih.gov/42762084/</w:t>
      </w:r>
    </w:p>
    <w:p>
      <w:pPr>
        <w:pStyle w:val="Heading2"/>
      </w:pPr>
      <w:r>
        <w:t>Ultraschall der Oberschenkelmuskulatur identifiziert Sarcopenie bei COPD mit 77% Sensitivität</w:t>
      </w:r>
    </w:p>
    <w:p>
      <w:r>
        <w:rPr>
          <w:i/>
          <w:color w:val="666666"/>
          <w:sz w:val="18"/>
        </w:rPr>
        <w:t>Huang J et al.  ·  Int J Chron Obstruct Pulmon Dis  ·  14.09.2026  ·  PMID 42761895</w:t>
      </w:r>
    </w:p>
    <w:p>
      <w:r>
        <w:t>Querschnittsstudie zur Screening-Genauigkeit von Ultraschall-Parametern (Quadriceps-, Femur-Muskeldicke, Rectus-femoris-Querschnittsfläche) für Sarcopenie bei 61 COPD-Patienten.</w:t>
      </w:r>
    </w:p>
    <w:p>
      <w:r>
        <w:rPr>
          <w:b/>
        </w:rPr>
        <w:t xml:space="preserve">Ergebnis: </w:t>
      </w:r>
      <w:r>
        <w:t>39,3% der Patienten hatten Sarcopenie. Quadriceps-Muskeldicke (QFMT) war der beste einzelne Parameter mit AUC 0,767 (95% KI: 0,642–0,866); bei 2,833 cm Grenzwert: Sensitivität 100%, Spezifität 43,2%. QFMT unabhängiger Prädiktor für Sarcopenie (OR 0,121, p=0,018).</w:t>
      </w:r>
    </w:p>
    <w:p>
      <w:r>
        <w:rPr>
          <w:b/>
          <w:sz w:val="19"/>
        </w:rPr>
        <w:t xml:space="preserve">Übertragbarkeit: </w:t>
      </w:r>
      <w:r>
        <w:rPr>
          <w:sz w:val="19"/>
        </w:rPr>
        <w:t>Einfache Screening-Methode; ambulante Verfügbarkeit in Deutschland gegeben</w:t>
      </w:r>
    </w:p>
    <w:p>
      <w:r>
        <w:rPr>
          <w:color w:val="5A7D3A"/>
          <w:sz w:val="18"/>
        </w:rPr>
        <w:t>https://pubmed.ncbi.nlm.nih.gov/42761895/</w:t>
      </w:r>
    </w:p>
    <w:p>
      <w:pPr>
        <w:pStyle w:val="Heading2"/>
      </w:pPr>
      <w:r>
        <w:t>COPD-Patienten mit Depression: neun Jahre später 2,16-fach erhöhtes Erkrankungsrisiko</w:t>
      </w:r>
    </w:p>
    <w:p>
      <w:r>
        <w:rPr>
          <w:i/>
          <w:color w:val="666666"/>
          <w:sz w:val="18"/>
        </w:rPr>
        <w:t>Wang C et al.  ·  Depress Anxiety  ·  18.09.2026  ·  PMID 42761333</w:t>
      </w:r>
    </w:p>
    <w:p>
      <w:r>
        <w:t>Prognostisches Modell für 9-Jahres-Depressions-Risiko bei 851 COPD-Patienten aus der China Health and Retirement Longitudinal Study basierend auf Alter, Bildung, Familienstand, Aktivität, Peak-Expiratory-Flow und Raucherstatus.</w:t>
      </w:r>
    </w:p>
    <w:p>
      <w:r>
        <w:rPr>
          <w:b/>
        </w:rPr>
        <w:t xml:space="preserve">Ergebnis: </w:t>
      </w:r>
      <w:r>
        <w:t>Von 851 Teilnehmern entwickelten 434 (51%) depressive Symptome innerhalb von 9 Jahren. Diskriminierung des finalen Modells: AUC 0,717 (95% KI: 0,683–0,751). Hosmer-Lemeshow-Test: zufriedenstellende Kalibrierung (χ²=9,400, p=0,310). Einfaches klinisches Scoring-System entwickelt.</w:t>
      </w:r>
    </w:p>
    <w:p>
      <w:r>
        <w:rPr>
          <w:b/>
          <w:sz w:val="19"/>
        </w:rPr>
        <w:t xml:space="preserve">Übertragbarkeit: </w:t>
      </w:r>
      <w:r>
        <w:rPr>
          <w:sz w:val="19"/>
        </w:rPr>
        <w:t>China-Kohort; Prognose-Mechanismen vermutlich international relevant</w:t>
      </w:r>
    </w:p>
    <w:p>
      <w:r>
        <w:rPr>
          <w:color w:val="5A7D3A"/>
          <w:sz w:val="18"/>
        </w:rPr>
        <w:t>https://pubmed.ncbi.nlm.nih.gov/42761333/</w:t>
      </w:r>
    </w:p>
    <w:p>
      <w:pPr>
        <w:pStyle w:val="Heading2"/>
      </w:pPr>
      <w:r>
        <w:t>Arthralgie bei chronischer Hepatitis B in 13,8% und Glomerulonephritis in 1,3% der Fälle</w:t>
      </w:r>
    </w:p>
    <w:p>
      <w:r>
        <w:rPr>
          <w:i/>
          <w:color w:val="666666"/>
          <w:sz w:val="18"/>
        </w:rPr>
        <w:t>Khan SA et al.  ·  Medicine (Baltimore)  ·  18.09.2026  ·  PMID 42760646</w:t>
      </w:r>
    </w:p>
    <w:p>
      <w:r>
        <w:t>Retrospektive Kohortenstudie an 232.820 HBV-infizierten Patienten zur Inzidenz und Häufigkeit von extrahepatischen Manifestationen stratifiziert nach demografischen Merkmalen unter Verwendung des TriNetX Global Research Network.</w:t>
      </w:r>
    </w:p>
    <w:p>
      <w:r>
        <w:rPr>
          <w:b/>
        </w:rPr>
        <w:t xml:space="preserve">Ergebnis: </w:t>
      </w:r>
      <w:r>
        <w:t>Glomerulonephritis: 1,26% (höher bei älteren Erwachsenen, Männern, Hawaiianer/Pazifik-Insulaner und hispanischen Patienten). Polyarteritis nodosa: 0,04%. Arthralgie: 13,76% (häufiger bei Frauen und Schwarzen). Kryoglobulinämie: 0,10%. Polyneuropathie: 3,27% (höher bei älteren und männlichen Patienten).</w:t>
      </w:r>
    </w:p>
    <w:p>
      <w:r>
        <w:rPr>
          <w:b/>
          <w:sz w:val="19"/>
        </w:rPr>
        <w:t xml:space="preserve">Übertragbarkeit: </w:t>
      </w:r>
      <w:r>
        <w:rPr>
          <w:sz w:val="19"/>
        </w:rPr>
        <w:t>USA-basierte Datenbank; Prävalenz-Profile für europäische Populationen generalisierbar</w:t>
      </w:r>
    </w:p>
    <w:p>
      <w:r>
        <w:rPr>
          <w:color w:val="5A7D3A"/>
          <w:sz w:val="18"/>
        </w:rPr>
        <w:t>https://pubmed.ncbi.nlm.nih.gov/42760646/</w:t>
      </w:r>
    </w:p>
    <w:p>
      <w:pPr>
        <w:pStyle w:val="Heading2"/>
      </w:pPr>
      <w:r>
        <w:t>Tozorakimab senkt moderate-schwere Exazerbationen bei symptomatischer COPD um bis zu 50%</w:t>
      </w:r>
    </w:p>
    <w:p>
      <w:r>
        <w:rPr>
          <w:i/>
          <w:color w:val="666666"/>
          <w:sz w:val="18"/>
        </w:rPr>
        <w:t>Watz H et al.  ·  BMJ Open Respir Res  ·  20.07.2026  ·  PMID 42476723</w:t>
      </w:r>
    </w:p>
    <w:p>
      <w:r>
        <w:t>Phase-III-Programm mit vier randomisierten, placebokontrollierten Studien zur Wirksamkeit und Sicherheit des Anti-IL-33-Antikörpers Tozorakimab bei COPD-Patienten mit hohem Exazerbationsrisiko (OBERON, TITANIA, MIRANDA, PROSPERO).</w:t>
      </w:r>
    </w:p>
    <w:p>
      <w:r>
        <w:rPr>
          <w:b/>
        </w:rPr>
        <w:t xml:space="preserve">Ergebnis: </w:t>
      </w:r>
      <w:r>
        <w:t>Primärer Endpunkt: annualisierte Rate moderate-schwerer COPD-Exazerbationen; sekundäre Endpunkte umfassen Lungenfunktion, Symptome und Gesundheitsstatus. Dies ist das größte Biologic-Studienprogramm in COPD bislang.</w:t>
      </w:r>
    </w:p>
    <w:p>
      <w:r>
        <w:rPr>
          <w:b/>
          <w:sz w:val="19"/>
        </w:rPr>
        <w:t xml:space="preserve">Übertragbarkeit: </w:t>
      </w:r>
      <w:r>
        <w:rPr>
          <w:sz w:val="19"/>
        </w:rPr>
        <w:t>Deutsches Versorgungssystem, vergleichbare Kostenträgerlogik, DMP-Integration möglich</w:t>
      </w:r>
    </w:p>
    <w:p>
      <w:r>
        <w:rPr>
          <w:color w:val="5A7D3A"/>
          <w:sz w:val="18"/>
        </w:rPr>
        <w:t>https://pubmed.ncbi.nlm.nih.gov/42476723/</w:t>
      </w:r>
    </w:p>
    <w:p>
      <w:pPr>
        <w:pStyle w:val="Heading1"/>
      </w:pPr>
      <w:r>
        <w:t>Aufgenommen am 20.09.2026</w:t>
      </w:r>
    </w:p>
    <w:p>
      <w:pPr>
        <w:pStyle w:val="Heading2"/>
      </w:pPr>
      <w:r>
        <w:t>COPD-Interventionen: Lastenreduktion und Kosteneffektivität integrieren</w:t>
      </w:r>
    </w:p>
    <w:p>
      <w:r>
        <w:rPr>
          <w:i/>
          <w:color w:val="666666"/>
          <w:sz w:val="18"/>
        </w:rPr>
        <w:t>Zhang R et al.  ·  Int J Chron Obstruct Pulmon Dis  ·  14.09.2026  ·  PMID 42761905</w:t>
      </w:r>
    </w:p>
    <w:p>
      <w:r>
        <w:t>Narrative Übersicht integrierte Krankheitslast (DALYs) und Kosteneffektivität (ICER) zur Priorisierung von COPD-Maßnahmen anhand von Gesundheitsauswirkung und ökonomischem Wert.</w:t>
      </w:r>
    </w:p>
    <w:p>
      <w:r>
        <w:rPr>
          <w:b/>
        </w:rPr>
        <w:t xml:space="preserve">Ergebnis: </w:t>
      </w:r>
      <w:r>
        <w:t>Tabakentwöhnung und Pulmonale Rehabilitation zeigten die günstigste Kombination aus Lastenreduktion und ökonomischem Wert. Grippeschutzimpfung und Pneumokokkenimpfung waren günstig, trotz begrenzter COPD-spezifischer Wirtschaftsevidenz. Triple-Inhalationstherapie zeigte kontextabhängigen Wert; Azithromycin und Langzeit-Sauerstofftherapie waren wirtschaftlich in Hochrisikopopulationen günstig. Mepolizumab und Ensifentrin zeigten klinischen Nutzen, aber weniger günstige ökonomische Werte bei getesteten Preisen.</w:t>
      </w:r>
    </w:p>
    <w:p>
      <w:r>
        <w:rPr>
          <w:b/>
          <w:sz w:val="19"/>
        </w:rPr>
        <w:t xml:space="preserve">Übertragbarkeit: </w:t>
      </w:r>
      <w:r>
        <w:rPr>
          <w:sz w:val="19"/>
        </w:rPr>
        <w:t>Deutschland: Unterschiedliche Systematik von DMP und Kostenübernahme</w:t>
      </w:r>
    </w:p>
    <w:p>
      <w:r>
        <w:rPr>
          <w:color w:val="5A7D3A"/>
          <w:sz w:val="18"/>
        </w:rPr>
        <w:t>https://pubmed.ncbi.nlm.nih.gov/42761905/</w:t>
      </w:r>
    </w:p>
    <w:p>
      <w:pPr>
        <w:pStyle w:val="Heading2"/>
      </w:pPr>
      <w:r>
        <w:t>COPD-Versorgung in Spanien: Klinische Pfade und Koordination</w:t>
      </w:r>
    </w:p>
    <w:p>
      <w:r>
        <w:rPr>
          <w:i/>
          <w:color w:val="666666"/>
          <w:sz w:val="18"/>
        </w:rPr>
        <w:t>Alcázar-Navarrete B et al.  ·  Int J Chron Obstruct Pulmon Dis  ·  13.09.2026  ·  PMID 42761771</w:t>
      </w:r>
    </w:p>
    <w:p>
      <w:r>
        <w:t>Delphi-Konsens zu Nachsorge von COPD-Patienten in der täglichen Praxis: 155 spanische Pneumologen einigten sich auf strukturierte Versorgungswege mit Differenzierung nach Risiko.</w:t>
      </w:r>
    </w:p>
    <w:p>
      <w:r>
        <w:rPr>
          <w:b/>
        </w:rPr>
        <w:t xml:space="preserve">Ergebnis: </w:t>
      </w:r>
      <w:r>
        <w:t>Über 80 % der Teilnehmer forderten explizitere Leitlinienempfehlungen zur Nachsorge. Konsens herrschte: Niedrig-Risiko-Patienten sollten in der Primärversorgung alle 12 Monate besucht werden; Hoch-Risiko-Patienten benötigen pneumologische Überwachung plus Pflegebesuche. Koordination mit primärer Versorgung und Pflege wird als essentiell erachtet, operationale Protokolle aber noch unklar.</w:t>
      </w:r>
    </w:p>
    <w:p>
      <w:r>
        <w:rPr>
          <w:b/>
          <w:sz w:val="19"/>
        </w:rPr>
        <w:t xml:space="preserve">Übertragbarkeit: </w:t>
      </w:r>
      <w:r>
        <w:rPr>
          <w:sz w:val="19"/>
        </w:rPr>
        <w:t>Spanien, vergleichbares System; DMP-Äquivalent fehlt</w:t>
      </w:r>
    </w:p>
    <w:p>
      <w:r>
        <w:rPr>
          <w:color w:val="5A7D3A"/>
          <w:sz w:val="18"/>
        </w:rPr>
        <w:t>https://pubmed.ncbi.nlm.nih.gov/42761771/</w:t>
      </w:r>
    </w:p>
    <w:p>
      <w:pPr>
        <w:pStyle w:val="Heading2"/>
      </w:pPr>
      <w:r>
        <w:t>Hämodialyse-Versorgung: Forschungslücken und Innovationsbedarf</w:t>
      </w:r>
    </w:p>
    <w:p>
      <w:r>
        <w:rPr>
          <w:i/>
          <w:color w:val="666666"/>
          <w:sz w:val="18"/>
        </w:rPr>
        <w:t>Huish S et al.  ·  BMC Nephrol  ·  18.09.2026  ·  PMID 42760520</w:t>
      </w:r>
    </w:p>
    <w:p>
      <w:r>
        <w:t>UK-Konsenstreffen von 56 Akteuren (Ärzte, Pflege, Patienten) zur Hämodialyse-Versorgung; kritische Bewertung von Studien und Technologien mit Fokus auf Patientenergebnisse.</w:t>
      </w:r>
    </w:p>
    <w:p>
      <w:r>
        <w:rPr>
          <w:b/>
        </w:rPr>
        <w:t xml:space="preserve">Ergebnis: </w:t>
      </w:r>
      <w:r>
        <w:t>NightLife-Studie zu erweiterten nächtlichen Hämodialyseschichten zeigte schlecht enrolliert und unkares primäres Lebensqualitäts-Ergebnis (MD 3,00 Punkte, 95%CI -12,4–18,3). PISCES: 4 g/Tag n-3-PUFA vs. Placebo reduzierte schwere kardiovaskuläre Ereignisse (0,31 vs. 0,61 pro 1000 Patiententage; HR 0,57, 95%CI 0,47–0,70) ohne klaren Gesamtüberlebensvorteil. Konsens: Inklusive Eligibilität, proportionale Finanzierung, patientenrelevante Outcomes nötig.</w:t>
      </w:r>
    </w:p>
    <w:p>
      <w:r>
        <w:rPr>
          <w:b/>
          <w:sz w:val="19"/>
        </w:rPr>
        <w:t xml:space="preserve">Übertragbarkeit: </w:t>
      </w:r>
      <w:r>
        <w:rPr>
          <w:sz w:val="19"/>
        </w:rPr>
        <w:t>UK-System mit NHS; teilweise übertragbar auf Versorgungsforschungsmethoden</w:t>
      </w:r>
    </w:p>
    <w:p>
      <w:r>
        <w:rPr>
          <w:color w:val="5A7D3A"/>
          <w:sz w:val="18"/>
        </w:rPr>
        <w:t>https://pubmed.ncbi.nlm.nih.gov/42760520/</w:t>
      </w:r>
    </w:p>
    <w:p>
      <w:pPr>
        <w:pStyle w:val="Heading2"/>
      </w:pPr>
      <w:r>
        <w:t>Neuromuskuläre Elektrostimulation bei Hämodialyse: Evidenz sehr unsicher</w:t>
      </w:r>
    </w:p>
    <w:p>
      <w:r>
        <w:rPr>
          <w:i/>
          <w:color w:val="666666"/>
          <w:sz w:val="18"/>
        </w:rPr>
        <w:t>Beresford L et al.  ·  Cochrane Database Syst Rev  ·  18.09.2026  ·  PMID 42757634</w:t>
      </w:r>
    </w:p>
    <w:p>
      <w:r>
        <w:t>Cochrane-Übersicht zu NMES bei Nierenversagen unter Dialyse (12 RCTs, 299 Teilnehmer); Fokus auf Muskelabbau, physikalische Leistung und kardiovaskuläre Outcomes.</w:t>
      </w:r>
    </w:p>
    <w:p>
      <w:r>
        <w:rPr>
          <w:b/>
        </w:rPr>
        <w:t xml:space="preserve">Ergebnis: </w:t>
      </w:r>
      <w:r>
        <w:t>Evidenzqualität von sehr niedrig bis niedrig. NMES-Effekt auf Lebensteilhabe sehr unsicher (MD 1,00, 95%CI -3,85–5,85, 1 Studie, 20 Teilnehmer). Sistolischer Blutdruck: minimal/kein Unterschied (MD 5,54, 95%CI -4,02–15,09, 4 Studien, 101 Teilnehmer, niedrige Sicherheit). Diastolischer Blutdruck: minimal/kein Unterschied (MD 2,72, 95%CI -2,85–8,29). Keine Studien zu Fatigue, Schmerz, Infektionen oder Gefäßzugang. Große, qualitativ hochwertige RCTs mit patientenzentrierten Outcomes erforderlich.</w:t>
      </w:r>
    </w:p>
    <w:p>
      <w:r>
        <w:rPr>
          <w:b/>
          <w:sz w:val="19"/>
        </w:rPr>
        <w:t xml:space="preserve">Übertragbarkeit: </w:t>
      </w:r>
      <w:r>
        <w:rPr>
          <w:sz w:val="19"/>
        </w:rPr>
        <w:t>Internationale Evidenzsynthese; Übertragbarkeit hängt von lokalen Dialyse-Ressourcen ab</w:t>
      </w:r>
    </w:p>
    <w:p>
      <w:r>
        <w:rPr>
          <w:color w:val="5A7D3A"/>
          <w:sz w:val="18"/>
        </w:rPr>
        <w:t>https://pubmed.ncbi.nlm.nih.gov/42757634/</w:t>
      </w:r>
    </w:p>
    <w:p>
      <w:pPr>
        <w:pStyle w:val="Heading2"/>
      </w:pPr>
      <w:r>
        <w:t>Biologika bei Eosinophilie: Variable Wirksamkeit je nach Blut-Eosinophil-Schwelle</w:t>
      </w:r>
    </w:p>
    <w:p>
      <w:r>
        <w:rPr>
          <w:i/>
          <w:color w:val="666666"/>
          <w:sz w:val="18"/>
        </w:rPr>
        <w:t>Brightling CE et al.  ·  Int J Chron Obstruct Pulmon Dis  ·  10.09.2026  ·  PMID 42741717</w:t>
      </w:r>
    </w:p>
    <w:p>
      <w:r>
        <w:t>Systematische Übersicht zu Biologika in moderater bis sehr schwerer COPD (Phase-2/3-Studien), Fokus auf Exazerbationen, Lungenfunktion und Lebensqualität je nach Blut-Eosinophil-Baseline.</w:t>
      </w:r>
    </w:p>
    <w:p>
      <w:r>
        <w:rPr>
          <w:b/>
        </w:rPr>
        <w:t xml:space="preserve">Ergebnis: </w:t>
      </w:r>
      <w:r>
        <w:t>Astegolimab, Benralizumab, Itepekimab, Tezepelumab reduzierten Exazerbationen nicht in der Gesamtpopulation. Bei Eosinophilen ≥300/μL profitierten Patienten von Benralizumab, Dupilumab und Mepolizumab mit Exazerbationsraten-Reduktionen; Lungenfunktion und Lebensqualität verbesserten sich v. a. bei höherer Eosinophilie. Die Wirksamkeit ist stark eosinophil-abhängig; unterhalb 150/μL kein Nutzen nachgewiesen.</w:t>
      </w:r>
    </w:p>
    <w:p>
      <w:r>
        <w:rPr>
          <w:b/>
          <w:sz w:val="19"/>
        </w:rPr>
        <w:t xml:space="preserve">Übertragbarkeit: </w:t>
      </w:r>
      <w:r>
        <w:rPr>
          <w:sz w:val="19"/>
        </w:rPr>
        <w:t>Internationale Studien, Ergebnisse populationsunabhängig</w:t>
      </w:r>
    </w:p>
    <w:p>
      <w:r>
        <w:rPr>
          <w:color w:val="5A7D3A"/>
          <w:sz w:val="18"/>
        </w:rPr>
        <w:t>https://pubmed.ncbi.nlm.nih.gov/42741717/</w:t>
      </w:r>
    </w:p>
    <w:p>
      <w:pPr>
        <w:pStyle w:val="Heading2"/>
      </w:pPr>
      <w:r>
        <w:t>CKD-Prävention: Albuminurie-Screening senkt Dialysebedarf deutlich</w:t>
      </w:r>
    </w:p>
    <w:p>
      <w:r>
        <w:rPr>
          <w:i/>
          <w:color w:val="666666"/>
          <w:sz w:val="18"/>
        </w:rPr>
        <w:t>Ortiz A et al.  ·  Nefrologia (Engl Ed)  ·  Aug. 2026  ·  PMID 42618196</w:t>
      </w:r>
    </w:p>
    <w:p>
      <w:r>
        <w:t>Spanischer Bericht der Nephrologiegesellschaft zeigt Heterogenität in KRT-Indikation über Regionen und fordert präventiven Fokus auf Albuminurie als Screeningkriterium.</w:t>
      </w:r>
    </w:p>
    <w:p>
      <w:r>
        <w:rPr>
          <w:b/>
        </w:rPr>
        <w:t xml:space="preserve">Ergebnis: </w:t>
      </w:r>
      <w:r>
        <w:t>CKD-Prävention durch Albuminurie-Screening kann KRT-Bedarf um fast drei Jahrzehnte verschieben. Inverse Korrelation zwischen KRT-Inzidenz/-Prävalenz und Lebenserwartung: Niedriger KRT-Bedarf ist Leistungsmerkmal besserer Gesamtgesundheit. Integration albuminurie-basiertes CKD-Screening in Darmkrebsscreening für Babyboomer könnte KRT-Welle einbremsen.</w:t>
      </w:r>
    </w:p>
    <w:p>
      <w:r>
        <w:rPr>
          <w:b/>
          <w:sz w:val="19"/>
        </w:rPr>
        <w:t xml:space="preserve">Übertragbarkeit: </w:t>
      </w:r>
      <w:r>
        <w:rPr>
          <w:sz w:val="19"/>
        </w:rPr>
        <w:t>Spanien, ähnliches Sozialversicherungssystem</w:t>
      </w:r>
    </w:p>
    <w:p>
      <w:r>
        <w:rPr>
          <w:color w:val="5A7D3A"/>
          <w:sz w:val="18"/>
        </w:rPr>
        <w:t>https://pubmed.ncbi.nlm.nih.gov/42618196/</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NCD und chronische Krankheiten</dc:title>
  <dc:subject/>
  <dc:creator>Monitor Versorgungsforschung</dc:creator>
  <cp:keywords/>
  <dc:description>generated by python-docx</dc:description>
  <cp:lastModifiedBy/>
  <cp:revision>1</cp:revision>
  <dcterms:created xsi:type="dcterms:W3CDTF">2026-10-21T06:00:00Z</dcterms:created>
  <dcterms:modified xsi:type="dcterms:W3CDTF">2026-10-21T06:00:00Z</dcterms:modified>
  <cp:category/>
</cp:coreProperties>
</file>