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Nicht uebertragbare Krankheiten</w:t>
      </w:r>
    </w:p>
    <w:p>
      <w:r>
        <w:rPr>
          <w:i/>
          <w:color w:val="666666"/>
          <w:sz w:val="18"/>
        </w:rPr>
        <w:t>Stand: 09.09.2026  |  6 Studien  |  ncd.m-vf.de</w:t>
      </w:r>
    </w:p>
    <w:p>
      <w:pPr>
        <w:pStyle w:val="Heading1"/>
      </w:pPr>
      <w:r>
        <w:t>Aufgenommen am 09.09.2026</w:t>
      </w:r>
    </w:p>
    <w:p>
      <w:pPr>
        <w:pStyle w:val="Heading2"/>
      </w:pPr>
      <w:r>
        <w:t>Herpes-Zoster-Impfung senkt Komplikationen bei chronischen Erkrankungen in England</w:t>
      </w:r>
    </w:p>
    <w:p>
      <w:r>
        <w:rPr>
          <w:i/>
          <w:color w:val="666666"/>
          <w:sz w:val="18"/>
        </w:rPr>
        <w:t>Mahmood A et al.  ·  BMJ Open  ·  08.09.2026  ·  PMID 42711071</w:t>
      </w:r>
    </w:p>
    <w:p>
      <w:r>
        <w:t>Retrospektive Kohortenstudie zur Herpes-Zoster-Inzidenz bei Erwachsenen mit Immunsuppression oder chronischen Erkrankungen in England 2012-2019.</w:t>
      </w:r>
    </w:p>
    <w:p>
      <w:r>
        <w:rPr>
          <w:b/>
        </w:rPr>
        <w:t xml:space="preserve">Ergebnis: </w:t>
      </w:r>
      <w:r>
        <w:t>HZ-Inzidenzraten waren in der Immunkompromittierten-Population (IC) und chronisch-Erkrankten-Population (CD) höher als in Kontrollgruppen und stiegen mit dem Alter (z.B. IC: 3,34 pro 1000 Personenjahre in Alter 18-49 Jahre vs. 12,58 in ≥80 Jahren). Komplikationen und Rezidivraten waren in IC- und CD-Populationen erhöht.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UK-Klinikdaten, übertragbar auf deutsche Impfpolitik und Versorgung immunosupprimierter Patienten.</w:t>
      </w:r>
    </w:p>
    <w:p>
      <w:r>
        <w:rPr>
          <w:color w:val="5A7D3A"/>
          <w:sz w:val="18"/>
        </w:rPr>
        <w:t>https://pubmed.ncbi.nlm.nih.gov/42711071/</w:t>
      </w:r>
    </w:p>
    <w:p>
      <w:pPr>
        <w:pStyle w:val="Heading2"/>
      </w:pPr>
      <w:r>
        <w:t>Dreifachtherapie-Persistenz bei COPD: Einmal-täglich-Regimen verbessert Therapietreue um 92,5% nach 6 Monaten</w:t>
      </w:r>
    </w:p>
    <w:p>
      <w:r>
        <w:rPr>
          <w:i/>
          <w:color w:val="666666"/>
          <w:sz w:val="18"/>
        </w:rPr>
        <w:t>Vogelmeier CF et al.  ·  Ther Adv Respir Dis  ·  08.09.2026  ·  PMID 42710849</w:t>
      </w:r>
    </w:p>
    <w:p>
      <w:r>
        <w:t>Prospektive Beobachtungsstudie zur Therapietreue und Stabilität von inhalierter Dreifachtherapie bei 1.196 COPD-Patienten aus 134 deutschen Zentren über 24 Monate.</w:t>
      </w:r>
    </w:p>
    <w:p>
      <w:r>
        <w:rPr>
          <w:b/>
        </w:rPr>
        <w:t xml:space="preserve">Ergebnis: </w:t>
      </w:r>
      <w:r>
        <w:t>Therapietreue lag bei 92,5% (6 Monate), 84,4% (12 Monate) und 38,5% (24 Monate). Bei Patienten unter Einmal-täglich-Regime (FF/UMEC/VI OD) betrug die durchschnittliche CAT-Verbesserung 4,4 Punkte; 50,1% waren Responder. Nur 10% der Patienten wechselten die Therapie über 24 Monate.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Real-World-Daten, direkt übertragbar auf Versorgung und Therapiestabilität im Praxisalltag.</w:t>
      </w:r>
    </w:p>
    <w:p>
      <w:r>
        <w:rPr>
          <w:color w:val="5A7D3A"/>
          <w:sz w:val="18"/>
        </w:rPr>
        <w:t>https://pubmed.ncbi.nlm.nih.gov/42710849/</w:t>
      </w:r>
    </w:p>
    <w:p>
      <w:pPr>
        <w:pStyle w:val="Heading2"/>
      </w:pPr>
      <w:r>
        <w:t>Soziale Ungleichheit verkürzt Lebenserwartung nach Diagnose chronischer Erkrankungen um bis zu 3 Jahre</w:t>
      </w:r>
    </w:p>
    <w:p>
      <w:r>
        <w:rPr>
          <w:i/>
          <w:color w:val="666666"/>
          <w:sz w:val="18"/>
        </w:rPr>
        <w:t>Pallesen AVJ et al.  ·  Eur J Public Health  ·  04.08.2026  ·  PMID 42709676</w:t>
      </w:r>
    </w:p>
    <w:p>
      <w:r>
        <w:t>Vollpopulationskohorte aus Dänemark mit Multistate-Modellen für 64 nicht-übertragbare Erkrankungen zur Analyse von Bildungs- und Einkommensungleichheiten in der Lebenserwartung nach Diagnosestellung.</w:t>
      </w:r>
    </w:p>
    <w:p>
      <w:r>
        <w:rPr>
          <w:b/>
        </w:rPr>
        <w:t xml:space="preserve">Ergebnis: </w:t>
      </w:r>
      <w:r>
        <w:t>Konsistente Bildungs- und Einkommensungleichheiten in der Lebenserwartung nach Diagnose über alle 64 Erkrankungen. Beispiel: Frau mit Zirrhose im Alter 50 Jahren: 17 Jahre Lebenserwartung bei hoher Bildung vs. 14 Jahre bei niedriger Bildung. Unterschied bei Männern: 13 vs. 10 Jahre. Unterstreicht Bedarf für Interventionen vor Erkrankungseintritt.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Dänische Registerdaten, vergleichbar mit deutschem Versicherungssystem und Versorgungsungleichheiten.</w:t>
      </w:r>
    </w:p>
    <w:p>
      <w:r>
        <w:rPr>
          <w:color w:val="5A7D3A"/>
          <w:sz w:val="18"/>
        </w:rPr>
        <w:t>https://pubmed.ncbi.nlm.nih.gov/42709676/</w:t>
      </w:r>
    </w:p>
    <w:p>
      <w:pPr>
        <w:pStyle w:val="Heading2"/>
      </w:pPr>
      <w:r>
        <w:t>Langzeitüberlebensraten bei Langzeit-Sauerstofftherapie sind niedrig und diagnoseabhängig</w:t>
      </w:r>
    </w:p>
    <w:p>
      <w:r>
        <w:rPr>
          <w:i/>
          <w:color w:val="666666"/>
          <w:sz w:val="18"/>
        </w:rPr>
        <w:t>Staes M et al.  ·  COPD  ·  25.08.2026  ·  PMID 42708418</w:t>
      </w:r>
    </w:p>
    <w:p>
      <w:r>
        <w:t>Nationale belgische Kohorte von 4.973 Patienten, die 2017 mit Langzeit-Sauerstofftherapie (LTOT) begannen, mit 4-Jahres-Nachverfolgung und Kaplan-Meier-Analyse.</w:t>
      </w:r>
    </w:p>
    <w:p>
      <w:r>
        <w:rPr>
          <w:b/>
        </w:rPr>
        <w:t xml:space="preserve">Ergebnis: </w:t>
      </w:r>
      <w:r>
        <w:t>4-Jahres-Gesamtüberleben 22%. COPD-Patienten zeigten höhere 4-Jahres-Überlebensrate (24%) vs. restriktive Lungenerkrankungen (17%, HR 1,23, p&lt;0,005). Patienten mit interstitieller Lungenfibrose (ILD) hatten schlechtestes Überleben (13%, HR 1,98, p&lt;0,005). Palliativbetreuung sollte integral sein.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Belgische Gesundheitsdaten, vergleichbar mit deutschem Versorgungssystem und LTOT-Indikationen.</w:t>
      </w:r>
    </w:p>
    <w:p>
      <w:r>
        <w:rPr>
          <w:color w:val="5A7D3A"/>
          <w:sz w:val="18"/>
        </w:rPr>
        <w:t>https://pubmed.ncbi.nlm.nih.gov/42708418/</w:t>
      </w:r>
    </w:p>
    <w:p>
      <w:pPr>
        <w:pStyle w:val="Heading2"/>
      </w:pPr>
      <w:r>
        <w:t>Immune-Checkpoint-Inhibitoren verursachen Pankreatitis mit Overlap zu Autoimmun-Pankreatitis</w:t>
      </w:r>
    </w:p>
    <w:p>
      <w:r>
        <w:rPr>
          <w:i/>
          <w:color w:val="666666"/>
          <w:sz w:val="18"/>
        </w:rPr>
        <w:t>Moro CF et al.  ·  United European Gastroenterol J  ·  Sept. 2026  ·  PMID 42704209</w:t>
      </w:r>
    </w:p>
    <w:p>
      <w:r>
        <w:t>Klinisch-pathologische Analyse von 5 Fällen mit Immune-Checkpoint-Inhibitor-induzierter Pankreatitis (ICIPI) mit Vergleich zu autoimmun-Pankreatitis-Mustern.</w:t>
      </w:r>
    </w:p>
    <w:p>
      <w:r>
        <w:rPr>
          <w:b/>
        </w:rPr>
        <w:t xml:space="preserve">Ergebnis: </w:t>
      </w:r>
      <w:r>
        <w:t>ICIPI trat 182-580 Tage nach ICI-Initiation auf. Alle Patienten hatten kombinierte Therapie. Serum-Lipase 4-41 µkat/L. 3 Patienten erhielten Steroide mit Remission. 2 entwickelten Pankreasatrophie/Exokrininsuffizienz. Histologischer Overlap mit Typ-2-AIP, aber ohne IgG4-Marker. Frühe Steroid-Intervention ist wichtig.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Fallsammlung; Erkenntnisse zur Überwachung und Management bei ICI-Therapie übertragbar.</w:t>
      </w:r>
    </w:p>
    <w:p>
      <w:r>
        <w:rPr>
          <w:color w:val="5A7D3A"/>
          <w:sz w:val="18"/>
        </w:rPr>
        <w:t>https://pubmed.ncbi.nlm.nih.gov/42704209/</w:t>
      </w:r>
    </w:p>
    <w:p>
      <w:pPr>
        <w:pStyle w:val="Heading2"/>
      </w:pPr>
      <w:r>
        <w:t>Föderierte Datenanalyse im Europäischen Gesundheitsdatenraum verbessert chronische-Krankheits-Überwachung</w:t>
      </w:r>
    </w:p>
    <w:p>
      <w:r>
        <w:rPr>
          <w:i/>
          <w:color w:val="666666"/>
          <w:sz w:val="18"/>
        </w:rPr>
        <w:t>Carinci F et al.  ·  Front Public Health  ·  21.08.2026  ·  PMID 42698935</w:t>
      </w:r>
    </w:p>
    <w:p>
      <w:r>
        <w:t>Scoping Review zu föderativen Analysemethoden für Überwachung nicht-übertragbarer Erkrankungen im European Health Data Space (EHDS), mit konzeptuellem Rahmen für verteilte statistische Methoden.</w:t>
      </w:r>
    </w:p>
    <w:p>
      <w:r>
        <w:rPr>
          <w:b/>
        </w:rPr>
        <w:t xml:space="preserve">Ergebnis: </w:t>
      </w:r>
      <w:r>
        <w:t>104 relevante Studien identifiziert; 3 Domänen: (1) verteilte Regression, (2) föderierte Infrastrukturen, (3) privacy-preserving Epidemiologie. Herausforderungen: Longitudinale und Survival-Modelle methodisch komplex. Modularer Ansatz für dynamische, interoperable Tools im EHDS erforderlich. Erfolgreiche Implementation braucht Integration von Statistik, Recht, IT und Governance.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EU-Policy-Initiative, direkt relevant für deutsches eHealth-Recht und föderierte Datennutzung.</w:t>
      </w:r>
    </w:p>
    <w:p>
      <w:r>
        <w:rPr>
          <w:color w:val="5A7D3A"/>
          <w:sz w:val="18"/>
        </w:rPr>
        <w:t>https://pubmed.ncbi.nlm.nih.gov/42698935/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Nicht uebertragbare Krankheiten</dc:title>
  <dc:subject/>
  <dc:creator>Monitor Versorgungsforschung</dc:creator>
  <cp:keywords/>
  <dc:description>generated by python-docx</dc:description>
  <cp:lastModifiedBy/>
  <cp:revision>1</cp:revision>
  <dcterms:created xsi:type="dcterms:W3CDTF">2026-09-09T06:00:00Z</dcterms:created>
  <dcterms:modified xsi:type="dcterms:W3CDTF">2026-09-09T06:00:00Z</dcterms:modified>
  <cp:category/>
</cp:coreProperties>
</file>