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Nicht uebertragbare Krankheiten</w:t>
      </w:r>
    </w:p>
    <w:p>
      <w:r>
        <w:rPr>
          <w:i/>
          <w:color w:val="666666"/>
          <w:sz w:val="18"/>
        </w:rPr>
        <w:t>Stand: 20.08.2026  |  10 Studien  |  ncd.m-vf.de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COPD mit Typ-2-Entzündung und Exazerbationen trotz Dreifachtherapie – 3-fach höhere Kosten und Hospitalisierungsrate</w:t>
      </w:r>
    </w:p>
    <w:p>
      <w:r>
        <w:rPr>
          <w:i/>
          <w:color w:val="666666"/>
          <w:sz w:val="18"/>
        </w:rPr>
        <w:t>Narendra DK et al.  ·  Int J Chron Obstruct Pulmon Dis  ·  13.08.2026  ·  PMID 42609821</w:t>
      </w:r>
    </w:p>
    <w:p>
      <w:r>
        <w:t>Retrospektive Analyse der Optum-Datenbank (über 28 Millionen Versicherte, USA) zu Exazerbationen und Versorgungslast bei COPD-Patienten mit Typ-2-Entzündung (erhöhte Eosinophile) und Exazerbationshistorie trotz Dreifachtherapie.</w:t>
      </w:r>
    </w:p>
    <w:p>
      <w:r>
        <w:rPr>
          <w:b/>
        </w:rPr>
        <w:t xml:space="preserve">Ergebnis: </w:t>
      </w:r>
      <w:r>
        <w:t>Bei 13.840 Patienten (6.389 mit Exazerbationen und Eosinophile ≥150 Zellen/μL): durchschnittlich 1,58 COPD-Exazerbationen/Jahr vs. 0,52 in der Kontrollgruppe; um ~6.700 USD höhere jährliche Kosten; höhere Notaufnahme- und Hospitalisierungsraten trotz optimierter medikamentöser Therapie. Ungedeckter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Effektivitätsbefund (Exazerbationslast trotz optimaler medikamentöser Versorgung) übertragbar auf Deutschland.</w:t>
      </w:r>
    </w:p>
    <w:p>
      <w:r>
        <w:rPr>
          <w:color w:val="5A7D3A"/>
          <w:sz w:val="18"/>
        </w:rPr>
        <w:t>https://pubmed.ncbi.nlm.nih.gov/42609821/</w:t>
      </w:r>
    </w:p>
    <w:p>
      <w:pPr>
        <w:pStyle w:val="Heading2"/>
      </w:pPr>
      <w:r>
        <w:t>Cluster-Analyse identifiziert sechs Subtypen hochgradig multimorbider Patienten für gezielte Interventionen im englischen Gesundheitssystem</w:t>
      </w:r>
    </w:p>
    <w:p>
      <w:r>
        <w:rPr>
          <w:i/>
          <w:color w:val="666666"/>
          <w:sz w:val="18"/>
        </w:rPr>
        <w:t>Wood RM et al.  ·  Health Care Manag Sci  ·  07.08.2026  ·  PMID 42566017</w:t>
      </w:r>
    </w:p>
    <w:p>
      <w:r>
        <w:t>Clusteranalyse von 19.520 Hochmorbidität-Patienten (top 3% von 1 Million Versicherten, &gt;1/5 der Kosten) in Bristol, um heterogene Subgruppen und entsprechende Versorgungsziele zu definieren.</w:t>
      </w:r>
    </w:p>
    <w:p>
      <w:r>
        <w:rPr>
          <w:b/>
        </w:rPr>
        <w:t xml:space="preserve">Ergebnis: </w:t>
      </w:r>
      <w:r>
        <w:t>Sechs Cluster identifiziert: Ältere ohne Demenz (n=1.243); Krebs (n=1.055); Jünger/komplex (n=2.199); Atemwege (n=4.743); Kardiovaskulär (n=6.140); Demenz (n=4.579). Jeder Cluster erhielt wertbasierte Versorgungsziele und spezifische klinische Managemententscheidungen. Heterogenität innerhalb der Hochmorbidität erfordert maßgeschneiderte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NHS-Struktur, ähnliche Versorgungsmotivation.</w:t>
      </w:r>
    </w:p>
    <w:p>
      <w:r>
        <w:rPr>
          <w:color w:val="5A7D3A"/>
          <w:sz w:val="18"/>
        </w:rPr>
        <w:t>https://pubmed.ncbi.nlm.nih.gov/42566017/</w:t>
      </w:r>
    </w:p>
    <w:p>
      <w:pPr>
        <w:pStyle w:val="Heading2"/>
      </w:pPr>
      <w:r>
        <w:t>Capability Cards unterstützen personzentrierte Gespräche bei Mehrfacherkrankungen in spanischer Primärversorgung – validiert</w:t>
      </w:r>
    </w:p>
    <w:p>
      <w:r>
        <w:rPr>
          <w:i/>
          <w:color w:val="666666"/>
          <w:sz w:val="18"/>
        </w:rPr>
        <w:t>Llubes-Arrià L et al.  ·  Prim Health Care Res Dev  ·  06.08.2026  ·  PMID 42559972</w:t>
      </w:r>
    </w:p>
    <w:p>
      <w:r>
        <w:t>Methodische Validierungsstudie der spanischen Übersetzung und kulturellen Anpassung der Capability Cards als Werkzeug für Patienten mit Mehrfacherkrankung in spanischen Gemeinschaftspraxen.</w:t>
      </w:r>
    </w:p>
    <w:p>
      <w:r>
        <w:rPr>
          <w:b/>
        </w:rPr>
        <w:t xml:space="preserve">Ergebnis: </w:t>
      </w:r>
      <w:r>
        <w:t>Hohe inhaltsliche Validität in allen Gruppen (Content Validity Index: Experten 0,88; Fachkräfte 0,96; Zielpopulation 0,98); ausgezeichnete Usability (System Usability Scale). Capability Cards zeigten starke kulturelle Angemessenheit und Eignung für strukturierte, personzentrierte Gespräche zur Förderung von Empowerment und partizipatorischer Versorgung bei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ambulante Primärversorgung ähnlich Deutschland.</w:t>
      </w:r>
    </w:p>
    <w:p>
      <w:r>
        <w:rPr>
          <w:color w:val="5A7D3A"/>
          <w:sz w:val="18"/>
        </w:rPr>
        <w:t>https://pubmed.ncbi.nlm.nih.gov/42559972/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