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03.09.2026  |  7 Studien  |  ncd.m-vf.de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Dysbiose und Obstipation bei Dialysepatienten: Mikrobiotargetierende Interventionen versprechen, aber evidenzlimitiert</w:t>
      </w:r>
    </w:p>
    <w:p>
      <w:r>
        <w:rPr>
          <w:i/>
          <w:color w:val="666666"/>
          <w:sz w:val="18"/>
        </w:rPr>
        <w:t>Shen Z et al.  ·  Front Cell Infect Microbiol  ·  18.08.2026  ·  PMID 42683184</w:t>
      </w:r>
    </w:p>
    <w:p>
      <w:r>
        <w:t>Narrativer Übersichtsartikel, der Veränderungen der Darmflora bei Patienten mit Nierenersatztherapie (ESRD) und Obstipation, ihre pathogenen Mechanismen und Therapieoptionen (Probiotika, Präbiotika, Ernährung) systematisch zusammenfasst.</w:t>
      </w:r>
    </w:p>
    <w:p>
      <w:r>
        <w:rPr>
          <w:b/>
        </w:rPr>
        <w:t xml:space="preserve">Ergebnis: </w:t>
      </w:r>
      <w:r>
        <w:t>Kernbefund: Dysbiose mit reduzierter kurzkettigen-Fettsäure-produzierenden Bakterien und erhöhten urease-positiven Spezies; bidirektionaler Mikrobiotagutkidney-Teufelskreis mit erhöhter intestinaler Permeabilität und Nierenschaden. Evidenz für Interventionen vorhanden, aber Sicherheitsaspekte und klinische Praktikabilität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Pathophysiologie-Fokus, Interventionsevidenz zu fragmentarisch für direkte deutsche Implementierung</w:t>
      </w:r>
    </w:p>
    <w:p>
      <w:r>
        <w:rPr>
          <w:color w:val="5A7D3A"/>
          <w:sz w:val="18"/>
        </w:rPr>
        <w:t>https://pubmed.ncbi.nlm.nih.gov/42683184/</w:t>
      </w:r>
    </w:p>
    <w:p>
      <w:pPr>
        <w:pStyle w:val="Heading2"/>
      </w:pPr>
      <w:r>
        <w:t>Dapagliflozin und CKD-Progression: Effekt auf eGFR-Rückgang inkonsistent, aber Reduktion klinischer Nierenendpunkte</w:t>
      </w:r>
    </w:p>
    <w:p>
      <w:r>
        <w:rPr>
          <w:i/>
          <w:color w:val="666666"/>
          <w:sz w:val="18"/>
        </w:rPr>
        <w:t>Shadravan S et al.  ·  Iran J Kidney Dis  ·  31.07.2026  ·  PMID 42679368</w:t>
      </w:r>
    </w:p>
    <w:p>
      <w:r>
        <w:t>Systematische Übersicht von 15 Studien zur Wirkung von Dapagliflozin auf chronische Nierenerkrankung; 11 waren Sekundäranalysen der DAPA-CKD-Studie mit 4.304 Teilnehmern; nur vier unabhängige Studien nach Ausschluss von Doppeltgennung verfügbar.</w:t>
      </w:r>
    </w:p>
    <w:p>
      <w:r>
        <w:rPr>
          <w:b/>
        </w:rPr>
        <w:t xml:space="preserve">Ergebnis: </w:t>
      </w:r>
      <w:r>
        <w:t>eGFR-Effekte hochgradig heterogen (-6,6 bis +0,93 mL/min/1,73m²; I²=93,7 %); DAPA-CKD zeigte Reduktion ungünstiger klinischer renaler Ergebnisse. Heterogenität und begrenzte unabhängige Evidenz verhindern Metaanalyse; dapagliflozin erscheint nierenschützend und sicher für CKD.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kardiorenales Konzept übertragbar; Datenstabilität limitiert</w:t>
      </w:r>
    </w:p>
    <w:p>
      <w:r>
        <w:rPr>
          <w:color w:val="5A7D3A"/>
          <w:sz w:val="18"/>
        </w:rPr>
        <w:t>https://pubmed.ncbi.nlm.nih.gov/42679368/</w:t>
      </w:r>
    </w:p>
    <w:p>
      <w:pPr>
        <w:pStyle w:val="Heading2"/>
      </w:pPr>
      <w:r>
        <w:t>COPD-Therapietreue: Nur 30–50 % erreichen optimale Adhärenz; COM-B-Modell identifiziert veränderbare Faktoren</w:t>
      </w:r>
    </w:p>
    <w:p>
      <w:r>
        <w:rPr>
          <w:i/>
          <w:color w:val="666666"/>
          <w:sz w:val="18"/>
        </w:rPr>
        <w:t>Zhang Y et al.  ·  Int J Chron Obstruct Pulmon Dis  ·  27.08.2026  ·  PMID 42677250</w:t>
      </w:r>
    </w:p>
    <w:p>
      <w:r>
        <w:t>Narrative Übersichtsarbeit, die Literatur zu Adhärenz-Messverfahren, Prävalenz (MPR ≥80 % bei nur 30–50 % der Patienten), Einflussfaktoren und Interventionsstrategien anhand des Capability-Opportunity-Motivation-Behaviour-Modells systematisiert.</w:t>
      </w:r>
    </w:p>
    <w:p>
      <w:r>
        <w:rPr>
          <w:b/>
        </w:rPr>
        <w:t xml:space="preserve">Ergebnis: </w:t>
      </w:r>
      <w:r>
        <w:t>Inhalationstechnikfehler 30–50 %, therapieverweigerung bei Depression/Angststörung ca. 20–25 % niedriger; Single-Inhaler-Triple-Therapie versus Multiple-Inhaler zeigte 18-Monats-Persistenz 16,5 % vs. 2,3 %. Höhere Adhärenz assoziiert mit 51 % Reduktion exazerbationsbedingter Hospitalisierung und Attenuation des FEV1-Rückgangs um ca. 21 mL/Jahr.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Literatur, Adhärenz-Muster ähnlich wie Deutschland; länderspezifische Zahlen begrenzt</w:t>
      </w:r>
    </w:p>
    <w:p>
      <w:r>
        <w:rPr>
          <w:color w:val="5A7D3A"/>
          <w:sz w:val="18"/>
        </w:rPr>
        <w:t>https://pubmed.ncbi.nlm.nih.gov/42677250/</w:t>
      </w:r>
    </w:p>
    <w:p>
      <w:pPr>
        <w:pStyle w:val="Heading2"/>
      </w:pPr>
      <w:r>
        <w:t>COPD-Verhalten: Vier Phänotypen kombinieren Inhalationstechnik und Adhärenz; Wissenslücken zielbar</w:t>
      </w:r>
    </w:p>
    <w:p>
      <w:r>
        <w:rPr>
          <w:i/>
          <w:color w:val="666666"/>
          <w:sz w:val="18"/>
        </w:rPr>
        <w:t>Xiang J et al.  ·  Int J Chron Obstruct Pulmon Dis  ·  27.08.2026  ·  PMID 42677230</w:t>
      </w:r>
    </w:p>
    <w:p>
      <w:r>
        <w:t>Querschnittsstudie mit 700 COPD-Patienten in Peking 2025, die kombinierte Inhalationstechnik und Therapietreue zur Klassifizierung in vier Verhaltenphänotypen nutzten; Assoziationen mit Patientenmerkmalen berechnet.</w:t>
      </w:r>
    </w:p>
    <w:p>
      <w:r>
        <w:rPr>
          <w:b/>
        </w:rPr>
        <w:t xml:space="preserve">Ergebnis: </w:t>
      </w:r>
      <w:r>
        <w:t>Nur 25,3 % zeigten perfekte Inhalationstechnik, 59,0 % gute Adhärenz. Vier Phänotypen: Standard+Adhärent (20,7 %), Nicht-adhärent+Standard (4,6 %), Adhärent+Nicht-standard (38,3 %), Nicht-standard+Nicht-adhärent (36,4 %). Krankheitswissen stärkster Prädiktor: korrekte vs. fehlerhafte Technik OR 0,30–0,35 (p&lt;0,001). Krankheitsdauer assoziiert mit unterschiedlichen Adhärenzmustern.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hoher Techniktransferpotential, Wissenslückenmodell auch für Deutschland prädiktiv</w:t>
      </w:r>
    </w:p>
    <w:p>
      <w:r>
        <w:rPr>
          <w:color w:val="5A7D3A"/>
          <w:sz w:val="18"/>
        </w:rPr>
        <w:t>https://pubmed.ncbi.nlm.nih.gov/42677230/</w:t>
      </w:r>
    </w:p>
    <w:p>
      <w:pPr>
        <w:pStyle w:val="Heading2"/>
      </w:pPr>
      <w:r>
        <w:t>Pädiatrische Notfallverstärkung bei komplexen Erkrankungen: Zentrale Konzentration in Seoul, Reisedistanz erhöht Mortalität</w:t>
      </w:r>
    </w:p>
    <w:p>
      <w:r>
        <w:rPr>
          <w:i/>
          <w:color w:val="666666"/>
          <w:sz w:val="18"/>
        </w:rPr>
        <w:t>Choi YY et al.  ·  J Korean Med Sci  ·  31.08.2026  ·  PMID 42676071</w:t>
      </w:r>
    </w:p>
    <w:p>
      <w:r>
        <w:t>Nationale Analyse südkoreanischer Notfallbesuche 2016–2022 (7,76 Millionen Fälle), davon 149.306 (1,9 %) mit komplexen chronischen Erkrankungen (CCCs); Reisedistanz und regionale Unterschiede in Versorgungsergebnissen untersucht.</w:t>
      </w:r>
    </w:p>
    <w:p>
      <w:r>
        <w:rPr>
          <w:b/>
        </w:rPr>
        <w:t xml:space="preserve">Ergebnis: </w:t>
      </w:r>
      <w:r>
        <w:t>CCC-Patienten: höhere Akuität (16,5 % vs. 3,1 %), längere Anfahrt (11,2 vs. 6,2 km), ICU-Admission 4,4 % vs. 0,3 %, ED-Todesfälle 0,2 % vs. 0,04 %. 47,9 % aller CCC-Fälle in Seoul; längere Reise unabhängig mit Mortalität assoziiert: OR 1,3 (15–59,9 km), 1,6 (60–99,9 km), 1,3 (≥100 km). Zentrale Konzentration (40,7 % in 5 Krankenhäusern) zeigt Gesamtfehler in Ressourcenallokation.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Zentrailisierungsproblem relevant für deutsche Flächenländer; Mortalitäts-Distanz-Beziehung übertragbar</w:t>
      </w:r>
    </w:p>
    <w:p>
      <w:r>
        <w:rPr>
          <w:color w:val="5A7D3A"/>
          <w:sz w:val="18"/>
        </w:rPr>
        <w:t>https://pubmed.ncbi.nlm.nih.gov/42676071/</w:t>
      </w:r>
    </w:p>
    <w:p>
      <w:pPr>
        <w:pStyle w:val="Heading2"/>
      </w:pPr>
      <w:r>
        <w:t>Lebensbedrohliche Erkrankungen bei Kindern in Irland: Prävalenz 34,8–50,0 pro 10.000; Datendefizite erfordern sichere ID</w:t>
      </w:r>
    </w:p>
    <w:p>
      <w:r>
        <w:rPr>
          <w:i/>
          <w:color w:val="666666"/>
          <w:sz w:val="18"/>
        </w:rPr>
        <w:t>Smith S et al.  ·  BMC Pediatr  ·  28.07.2026  ·  PMID 42509542</w:t>
      </w:r>
    </w:p>
    <w:p>
      <w:r>
        <w:t>Querschnittsanalyse irischer Spitaldaten 2019 und 2024, um Prävalenz lebensbedrohlicher Zustände bei 0–19-Jährigen unter fehlender eindeutiger Patientenkennung zu schätzen; drei Schätzszenarien mit Sensitivitätsanalysen.</w:t>
      </w:r>
    </w:p>
    <w:p>
      <w:r>
        <w:rPr>
          <w:b/>
        </w:rPr>
        <w:t xml:space="preserve">Ergebnis: </w:t>
      </w:r>
      <w:r>
        <w:t>Baseline-Prävalenz 34,8–50,0 pro 10.000 (2019) und 32,3–44,5 pro 10.000 (2024); mit Adjustierung für Untererfassung: 46,4–66,6 (2019) und 43,0–59,3 pro 10.000 (2024). Höher bei Männern, größte Gruppe &lt;1 Jahr. Schätzungen konsistent mit ähnlich-wohlhabenden Ländern; Methodentransparenz ermöglicht Vergleiche trotz Datenlimitationen.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administratives Datensystem ohne eindeutige ID vergleichbar mit Teilen deutscher Krankenhauslandschaft</w:t>
      </w:r>
    </w:p>
    <w:p>
      <w:r>
        <w:rPr>
          <w:color w:val="5A7D3A"/>
          <w:sz w:val="18"/>
        </w:rPr>
        <w:t>https://pubmed.ncbi.nlm.nih.gov/42509542/</w:t>
      </w:r>
    </w:p>
    <w:p>
      <w:pPr>
        <w:pStyle w:val="Heading2"/>
      </w:pPr>
      <w:r>
        <w:t>Sarcoidosis-Trajektorien: Chronische Erkrankung tritt bei 28,5 % auf, mit erhöhtem Infekt- und Depressionsrisiko</w:t>
      </w:r>
    </w:p>
    <w:p>
      <w:r>
        <w:rPr>
          <w:i/>
          <w:color w:val="666666"/>
          <w:sz w:val="18"/>
        </w:rPr>
        <w:t>Rossides M et al.  ·  Respir Res  ·  24.07.2026  ·  PMID 42498935</w:t>
      </w:r>
    </w:p>
    <w:p>
      <w:r>
        <w:t>Prospektive Kohortenstudie mit 9.665 Patienten, die neue Sarcoidose-Diagnosen zwischen 2006 und 2018 im schwedischen Register identifizierte und über fünf Jahre verfolgte; zwei längerfristige Verlaufsmuster wurden mittels statistischer Modellierung der Arztbesuche ermittelt.</w:t>
      </w:r>
    </w:p>
    <w:p>
      <w:r>
        <w:rPr>
          <w:b/>
        </w:rPr>
        <w:t xml:space="preserve">Ergebnis: </w:t>
      </w:r>
      <w:r>
        <w:t>71,5 % zeigten selbstlimitierten Verlauf mit Remission in zwei Jahren, 28,5 % chronischen Verlauf mit persistenten Besuchen; chronisches Sarcoidosis war assoziiert mit: eGFR Krankheit (Hoehn und Yahr ≥ 2 vs. 1), erhöhtem Infektrisiko, Herzinsuffizienz, Diabetes, Depression, Angststörung und früherem Tod. Immunosuppressive Therapie bei Diagnose erhöhte Chronizitätsrisiko um Faktor 2,18 (95%-KI 2,04–2,33).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nationale Patientenregister, vergleichbare Gesundheitssysteme</w:t>
      </w:r>
    </w:p>
    <w:p>
      <w:r>
        <w:rPr>
          <w:color w:val="5A7D3A"/>
          <w:sz w:val="18"/>
        </w:rPr>
        <w:t>https://pubmed.ncbi.nlm.nih.gov/42498935/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