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31.10.2026  |  6 Studien  |  ncd.m-vf.de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Digitales Selbstmanagement verbesserte Stress, Lebensqualität und BMI bei Landpatienten</w:t>
      </w:r>
    </w:p>
    <w:p>
      <w:r>
        <w:rPr>
          <w:i/>
          <w:color w:val="666666"/>
          <w:sz w:val="18"/>
        </w:rPr>
        <w:t>Smith NK et al.  ·  JMIR Mhealth Uhealth  ·  30.10.2026  ·  PMID 42961869</w:t>
      </w:r>
    </w:p>
    <w:p>
      <w:r>
        <w:t>Prospektive Interventionsstudie zum 12-Monatsergebnis eines digitalen Self-Management-Programms mit täglichen Modulen bei ländlichen Erwachsenen mit ≥1 chronischer Erkrankung (Median 3 Erkrankungen).</w:t>
      </w:r>
    </w:p>
    <w:p>
      <w:r>
        <w:rPr>
          <w:b/>
        </w:rPr>
        <w:t xml:space="preserve">Ergebnis: </w:t>
      </w:r>
      <w:r>
        <w:t>Nach 12 Monaten: wahrgenommener Stress sank um 2,4 Punkte (95 % KI –3,5 bis –1,3), psychisches Wohlbefinden stieg um 10,4 Punkte (95 % KI 7,2–13,5), Lebenszufriedenheit um 2,5 Punkte (95 % KI 1,4–3,5); klinisch relevante Stressreduktion bei 43,4 %, mentales Wohlbefinden bei 43,5 % (alle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Konzept der hybriden digitalen Unterstützung für ländliche Polymorbiditätsversorgung übertragbar</w:t>
      </w:r>
    </w:p>
    <w:p>
      <w:r>
        <w:rPr>
          <w:color w:val="5A7D3A"/>
          <w:sz w:val="18"/>
        </w:rPr>
        <w:t>https://pubmed.ncbi.nlm.nih.gov/42961869/</w:t>
      </w:r>
    </w:p>
    <w:p>
      <w:pPr>
        <w:pStyle w:val="Heading2"/>
      </w:pPr>
      <w:r>
        <w:t>Hub-and-Satellite-Netzwerk erreichte Dialysierqualität von Zentralkliniken auch in Außenstellen</w:t>
      </w:r>
    </w:p>
    <w:p>
      <w:r>
        <w:rPr>
          <w:i/>
          <w:color w:val="666666"/>
          <w:sz w:val="18"/>
        </w:rPr>
        <w:t>Ye H et al.  ·  NEJM Catal Innov Care Deliv  ·  30.10.2026  ·  PMID 42961790</w:t>
      </w:r>
    </w:p>
    <w:p>
      <w:r>
        <w:t>Retrospektive Kohortenstudie zum Guangzhou-Modell: zentralgeleitete, standardisierte Schulungs- und Qualitätskontrolle für Peritonealdialyse über 122 Satellitenstandorte mit Langzeit-Follow-up 2015–2025.</w:t>
      </w:r>
    </w:p>
    <w:p>
      <w:r>
        <w:rPr>
          <w:b/>
        </w:rPr>
        <w:t xml:space="preserve">Ergebnis: </w:t>
      </w:r>
      <w:r>
        <w:t>Nach Netzwerkexpansion: Patientenretention verbessert, Dialysedauer verlängert; Satellitenstandorte erreichten Überlebens- und Komplikationskontrolle nahe dem Zentralklinik-Standard, besser als nationale Durchschnitte (Kaplan-Meier-Analysen).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dezentrales Koordinierungsmodell mit digitaler Unterstützung und standardisierter Schulung prinzipiell auf Deutschland übertragbar</w:t>
      </w:r>
    </w:p>
    <w:p>
      <w:r>
        <w:rPr>
          <w:color w:val="5A7D3A"/>
          <w:sz w:val="18"/>
        </w:rPr>
        <w:t>https://pubmed.ncbi.nlm.nih.gov/42961790/</w:t>
      </w:r>
    </w:p>
    <w:p>
      <w:pPr>
        <w:pStyle w:val="Heading2"/>
      </w:pPr>
      <w:r>
        <w:t>Glyzeralbumin verbesserte Glykämiekontrolle bei diabetischer Nierenerkrankung</w:t>
      </w:r>
    </w:p>
    <w:p>
      <w:r>
        <w:rPr>
          <w:i/>
          <w:color w:val="666666"/>
          <w:sz w:val="18"/>
        </w:rPr>
        <w:t>Ferrario L et al.  ·  Endocrine  ·  30.10.2026  ·  PMID 42961706</w:t>
      </w:r>
    </w:p>
    <w:p>
      <w:r>
        <w:t>Health-Technology-Assessment zur Einführung von Glyzeralbumin statt HbA1c bei Typ-2-Diabetes mit fortgeschrittener Nierenerkrankung im italienischen Gesundheitssystem.</w:t>
      </w:r>
    </w:p>
    <w:p>
      <w:r>
        <w:rPr>
          <w:b/>
        </w:rPr>
        <w:t xml:space="preserve">Ergebnis: </w:t>
      </w:r>
      <w:r>
        <w:t>Glyzeralbumin erkannte schlechte Glykämiekontrolle häufiger als HbA1c (52 % vs. 19,2 %); wirtschaftlich 2,02 % Ersparnis pro Jahr; klinische Fachkräfte beurteilten Sicherheit (Likert 1,60 vs. 1,01) und Effektivität (2,12 vs. 1,02) höher, Lebensqualität der Patienten verbesserte sich stärker (2,00 vs. 0,88).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Sozialversicherungssystem; Mehrfacherkrankung (Diabetes + CKD) adressiert</w:t>
      </w:r>
    </w:p>
    <w:p>
      <w:r>
        <w:rPr>
          <w:color w:val="5A7D3A"/>
          <w:sz w:val="18"/>
        </w:rPr>
        <w:t>https://pubmed.ncbi.nlm.nih.gov/42961706/</w:t>
      </w:r>
    </w:p>
    <w:p>
      <w:pPr>
        <w:pStyle w:val="Heading2"/>
      </w:pPr>
      <w:r>
        <w:t>Mehrfacherkrankung verdoppelt Suizidrisiko bei psychotischen Störungen</w:t>
      </w:r>
    </w:p>
    <w:p>
      <w:r>
        <w:rPr>
          <w:i/>
          <w:color w:val="666666"/>
          <w:sz w:val="18"/>
        </w:rPr>
        <w:t>Saito A et al.  ·  Schizophr Bull  ·  27.10.2026  ·  PMID 42960984</w:t>
      </w:r>
    </w:p>
    <w:p>
      <w:r>
        <w:t>Querschnittstudie aus Signature-Biobank zu Assoziationen zwischen Mehrfacherkrankung (≥2 chronische Erkrankungen) und Suizidalität bei Psychoseerkrankten (n=748, 35 % Schizophrenie).</w:t>
      </w:r>
    </w:p>
    <w:p>
      <w:r>
        <w:rPr>
          <w:b/>
        </w:rPr>
        <w:t xml:space="preserve">Ergebnis: </w:t>
      </w:r>
      <w:r>
        <w:t>Mehrfacherkrankung assoziiert mit Suizidideen (aOR 2,31; 95 % KI 1,61–3,32) und suizidalem Verhalten (aOR 1,84; 95 % KI 1,15–2,97) nach Anpassung für Symptombelastung und Lebensstilfaktoren; 54 % der Stichprobe hatte Mehrfacherkrankung, 44 % physische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Kanada; Mehrfacherkrankung und psychische Gesundheit zentrale Versorgungsaufgabe in Deutschland</w:t>
      </w:r>
    </w:p>
    <w:p>
      <w:r>
        <w:rPr>
          <w:color w:val="5A7D3A"/>
          <w:sz w:val="18"/>
        </w:rPr>
        <w:t>https://pubmed.ncbi.nlm.nih.gov/42960984/</w:t>
      </w:r>
    </w:p>
    <w:p>
      <w:pPr>
        <w:pStyle w:val="Heading2"/>
      </w:pPr>
      <w:r>
        <w:t>Hybrid-Versorgung bei schlecht eingestelltem Diabetes effektiver als Regelversorgung</w:t>
      </w:r>
    </w:p>
    <w:p>
      <w:r>
        <w:rPr>
          <w:i/>
          <w:color w:val="666666"/>
          <w:sz w:val="18"/>
        </w:rPr>
        <w:t>Saldarriaga-Bedoya K et al.  ·  Prim Health Care Res Dev  ·  30.10.2026  ·  PMID 42960832</w:t>
      </w:r>
    </w:p>
    <w:p>
      <w:r>
        <w:t>Retrospektive Kohortenstudie zu Faktoren der Zuweisung zu Hybrid- oder Regelversorgung und deren Outcome bei Hypertonie, Diabetes und Dyslipidämie in Kolumbien.</w:t>
      </w:r>
    </w:p>
    <w:p>
      <w:r>
        <w:rPr>
          <w:b/>
        </w:rPr>
        <w:t xml:space="preserve">Ergebnis: </w:t>
      </w:r>
      <w:r>
        <w:t>Hybrid-Versorgung war bei höherem HbA1c (aOR 2,68 pro 1 % Anstieg; 95 % KI 2,17–3,31) und schlechterer Adhärenz (aOR 1,96; 95 % KI 1,17–3,28) häufiger; assoziiert mit höherer 3-Jahres-Zielwerterreichung (OR 7,34; 95 % KI 4,96–10,86) und weniger Notfallambulanzbenutzungen (OR 0,53; 95 % KI 0,36–0,79).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Kolumbien; Prinzip der Risikoallokation und Hybrid-Care-Effekte grundsätzlich übertragbar</w:t>
      </w:r>
    </w:p>
    <w:p>
      <w:r>
        <w:rPr>
          <w:color w:val="5A7D3A"/>
          <w:sz w:val="18"/>
        </w:rPr>
        <w:t>https://pubmed.ncbi.nlm.nih.gov/42960832/</w:t>
      </w:r>
    </w:p>
    <w:p>
      <w:pPr>
        <w:pStyle w:val="Heading2"/>
      </w:pPr>
      <w:r>
        <w:t>Gesunde Ernährung senkt Risiko für Mehrfacherkrankung um bis 25 %</w:t>
      </w:r>
    </w:p>
    <w:p>
      <w:r>
        <w:rPr>
          <w:i/>
          <w:color w:val="666666"/>
          <w:sz w:val="18"/>
        </w:rPr>
        <w:t>Wang W et al.  ·  BMC Public Health  ·  03.08.2026  ·  PMID 42958149</w:t>
      </w:r>
    </w:p>
    <w:p>
      <w:r>
        <w:t>Studie untersuchte, wie Ernährungsmuster bei anfangs gesunden Erwachsenen die Entwicklung von Mehrfacherkrankungen beeinflussen.</w:t>
      </w:r>
    </w:p>
    <w:p>
      <w:r>
        <w:rPr>
          <w:b/>
        </w:rPr>
        <w:t xml:space="preserve">Ergebnis: </w:t>
      </w:r>
      <w:r>
        <w:t>Der DASH-Index zeigte über extreme Quartile ein HR von 0,75 (95 % KI 0,69–0,82) für den Übergang von gesund zu Mehrfacherkrankung; ähnliche schützende Effekte für alle vier Ernährungsqualitätsindizes. Frühe, hochwertige Ernährung reduziert die Progression zur Mehrfacherkrankung messbar.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aber Ernährungspräventionsergebnisse übertragbar auf deutsche Risikopopulationen</w:t>
      </w:r>
    </w:p>
    <w:p>
      <w:r>
        <w:rPr>
          <w:color w:val="5A7D3A"/>
          <w:sz w:val="18"/>
        </w:rPr>
        <w:t>https://pubmed.ncbi.nlm.nih.gov/42958149/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