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NCD und chronische Krankheiten</w:t>
      </w:r>
    </w:p>
    <w:p>
      <w:r>
        <w:rPr>
          <w:i/>
          <w:color w:val="666666"/>
          <w:sz w:val="18"/>
        </w:rPr>
        <w:t>Stand: 31.10.2026  |  418 Studien  |  ncd.m-vf.de</w:t>
      </w:r>
    </w:p>
    <w:p>
      <w:pPr>
        <w:pStyle w:val="Heading1"/>
      </w:pPr>
      <w:r>
        <w:t>Aufgenommen am 31.10.2026</w:t>
      </w:r>
    </w:p>
    <w:p>
      <w:pPr>
        <w:pStyle w:val="Heading2"/>
      </w:pPr>
      <w:r>
        <w:t>Digitales Selbstmanagement verbesserte Stress, Lebensqualität und BMI bei Landpatienten</w:t>
      </w:r>
    </w:p>
    <w:p>
      <w:r>
        <w:rPr>
          <w:i/>
          <w:color w:val="666666"/>
          <w:sz w:val="18"/>
        </w:rPr>
        <w:t>Smith NK et al.  ·  JMIR Mhealth Uhealth  ·  30.10.2026  ·  PMID 42961869</w:t>
      </w:r>
    </w:p>
    <w:p>
      <w:r>
        <w:t>Prospektive Interventionsstudie zum 12-Monatsergebnis eines digitalen Self-Management-Programms mit täglichen Modulen bei ländlichen Erwachsenen mit ≥1 chronischer Erkrankung (Median 3 Erkrankungen).</w:t>
      </w:r>
    </w:p>
    <w:p>
      <w:r>
        <w:rPr>
          <w:b/>
        </w:rPr>
        <w:t xml:space="preserve">Ergebnis: </w:t>
      </w:r>
      <w:r>
        <w:t>Nach 12 Monaten: wahrgenommener Stress sank um 2,4 Punkte (95 % KI –3,5 bis –1,3), psychisches Wohlbefinden stieg um 10,4 Punkte (95 % KI 7,2–13,5), Lebenszufriedenheit um 2,5 Punkte (95 % KI 1,4–3,5); klinisch relevante Stressreduktion bei 43,4 %, mentales Wohlbefinden bei 43,5 % (alle p&lt;0,001).</w:t>
      </w:r>
    </w:p>
    <w:p>
      <w:r>
        <w:rPr>
          <w:b/>
          <w:sz w:val="19"/>
        </w:rPr>
        <w:t xml:space="preserve">Übertragbarkeit: </w:t>
      </w:r>
      <w:r>
        <w:rPr>
          <w:sz w:val="19"/>
        </w:rPr>
        <w:t>Kanada, aber Konzept der hybriden digitalen Unterstützung für ländliche Polymorbiditätsversorgung übertragbar</w:t>
      </w:r>
    </w:p>
    <w:p>
      <w:r>
        <w:rPr>
          <w:color w:val="5A7D3A"/>
          <w:sz w:val="18"/>
        </w:rPr>
        <w:t>https://pubmed.ncbi.nlm.nih.gov/42961869/</w:t>
      </w:r>
    </w:p>
    <w:p>
      <w:pPr>
        <w:pStyle w:val="Heading2"/>
      </w:pPr>
      <w:r>
        <w:t>Hub-and-Satellite-Netzwerk erreichte Dialysierqualität von Zentralkliniken auch in Außenstellen</w:t>
      </w:r>
    </w:p>
    <w:p>
      <w:r>
        <w:rPr>
          <w:i/>
          <w:color w:val="666666"/>
          <w:sz w:val="18"/>
        </w:rPr>
        <w:t>Ye H et al.  ·  NEJM Catal Innov Care Deliv  ·  30.10.2026  ·  PMID 42961790</w:t>
      </w:r>
    </w:p>
    <w:p>
      <w:r>
        <w:t>Retrospektive Kohortenstudie zum Guangzhou-Modell: zentralgeleitete, standardisierte Schulungs- und Qualitätskontrolle für Peritonealdialyse über 122 Satellitenstandorte mit Langzeit-Follow-up 2015–2025.</w:t>
      </w:r>
    </w:p>
    <w:p>
      <w:r>
        <w:rPr>
          <w:b/>
        </w:rPr>
        <w:t xml:space="preserve">Ergebnis: </w:t>
      </w:r>
      <w:r>
        <w:t>Nach Netzwerkexpansion: Patientenretention verbessert, Dialysedauer verlängert; Satellitenstandorte erreichten Überlebens- und Komplikationskontrolle nahe dem Zentralklinik-Standard, besser als nationale Durchschnitte (Kaplan-Meier-Analysen).</w:t>
      </w:r>
    </w:p>
    <w:p>
      <w:r>
        <w:rPr>
          <w:b/>
          <w:sz w:val="19"/>
        </w:rPr>
        <w:t xml:space="preserve">Übertragbarkeit: </w:t>
      </w:r>
      <w:r>
        <w:rPr>
          <w:sz w:val="19"/>
        </w:rPr>
        <w:t>China; dezentrales Koordinierungsmodell mit digitaler Unterstützung und standardisierter Schulung prinzipiell auf Deutschland übertragbar</w:t>
      </w:r>
    </w:p>
    <w:p>
      <w:r>
        <w:rPr>
          <w:color w:val="5A7D3A"/>
          <w:sz w:val="18"/>
        </w:rPr>
        <w:t>https://pubmed.ncbi.nlm.nih.gov/42961790/</w:t>
      </w:r>
    </w:p>
    <w:p>
      <w:pPr>
        <w:pStyle w:val="Heading2"/>
      </w:pPr>
      <w:r>
        <w:t>Glyzeralbumin verbesserte Glykämiekontrolle bei diabetischer Nierenerkrankung</w:t>
      </w:r>
    </w:p>
    <w:p>
      <w:r>
        <w:rPr>
          <w:i/>
          <w:color w:val="666666"/>
          <w:sz w:val="18"/>
        </w:rPr>
        <w:t>Ferrario L et al.  ·  Endocrine  ·  30.10.2026  ·  PMID 42961706</w:t>
      </w:r>
    </w:p>
    <w:p>
      <w:r>
        <w:t>Health-Technology-Assessment zur Einführung von Glyzeralbumin statt HbA1c bei Typ-2-Diabetes mit fortgeschrittener Nierenerkrankung im italienischen Gesundheitssystem.</w:t>
      </w:r>
    </w:p>
    <w:p>
      <w:r>
        <w:rPr>
          <w:b/>
        </w:rPr>
        <w:t xml:space="preserve">Ergebnis: </w:t>
      </w:r>
      <w:r>
        <w:t>Glyzeralbumin erkannte schlechte Glykämiekontrolle häufiger als HbA1c (52 % vs. 19,2 %); wirtschaftlich 2,02 % Ersparnis pro Jahr; klinische Fachkräfte beurteilten Sicherheit (Likert 1,60 vs. 1,01) und Effektivität (2,12 vs. 1,02) höher, Lebensqualität der Patienten verbesserte sich stärker (2,00 vs. 0,88).</w:t>
      </w:r>
    </w:p>
    <w:p>
      <w:r>
        <w:rPr>
          <w:b/>
          <w:sz w:val="19"/>
        </w:rPr>
        <w:t xml:space="preserve">Übertragbarkeit: </w:t>
      </w:r>
      <w:r>
        <w:rPr>
          <w:sz w:val="19"/>
        </w:rPr>
        <w:t>Italien, vergleichbares Sozialversicherungssystem; Mehrfacherkrankung (Diabetes + CKD) adressiert</w:t>
      </w:r>
    </w:p>
    <w:p>
      <w:r>
        <w:rPr>
          <w:color w:val="5A7D3A"/>
          <w:sz w:val="18"/>
        </w:rPr>
        <w:t>https://pubmed.ncbi.nlm.nih.gov/42961706/</w:t>
      </w:r>
    </w:p>
    <w:p>
      <w:pPr>
        <w:pStyle w:val="Heading2"/>
      </w:pPr>
      <w:r>
        <w:t>Mehrfacherkrankung verdoppelt Suizidrisiko bei psychotischen Störungen</w:t>
      </w:r>
    </w:p>
    <w:p>
      <w:r>
        <w:rPr>
          <w:i/>
          <w:color w:val="666666"/>
          <w:sz w:val="18"/>
        </w:rPr>
        <w:t>Saito A et al.  ·  Schizophr Bull  ·  27.10.2026  ·  PMID 42960984</w:t>
      </w:r>
    </w:p>
    <w:p>
      <w:r>
        <w:t>Querschnittstudie aus Signature-Biobank zu Assoziationen zwischen Mehrfacherkrankung (≥2 chronische Erkrankungen) und Suizidalität bei Psychoseerkrankten (n=748, 35 % Schizophrenie).</w:t>
      </w:r>
    </w:p>
    <w:p>
      <w:r>
        <w:rPr>
          <w:b/>
        </w:rPr>
        <w:t xml:space="preserve">Ergebnis: </w:t>
      </w:r>
      <w:r>
        <w:t>Mehrfacherkrankung assoziiert mit Suizidideen (aOR 2,31; 95 % KI 1,61–3,32) und suizidalem Verhalten (aOR 1,84; 95 % KI 1,15–2,97) nach Anpassung für Symptombelastung und Lebensstilfaktoren; 54 % der Stichprobe hatte Mehrfacherkrankung, 44 % physische Mehrfacherkrankung.</w:t>
      </w:r>
    </w:p>
    <w:p>
      <w:r>
        <w:rPr>
          <w:b/>
          <w:sz w:val="19"/>
        </w:rPr>
        <w:t xml:space="preserve">Übertragbarkeit: </w:t>
      </w:r>
      <w:r>
        <w:rPr>
          <w:sz w:val="19"/>
        </w:rPr>
        <w:t>Kanada; Mehrfacherkrankung und psychische Gesundheit zentrale Versorgungsaufgabe in Deutschland</w:t>
      </w:r>
    </w:p>
    <w:p>
      <w:r>
        <w:rPr>
          <w:color w:val="5A7D3A"/>
          <w:sz w:val="18"/>
        </w:rPr>
        <w:t>https://pubmed.ncbi.nlm.nih.gov/42960984/</w:t>
      </w:r>
    </w:p>
    <w:p>
      <w:pPr>
        <w:pStyle w:val="Heading2"/>
      </w:pPr>
      <w:r>
        <w:t>Hybrid-Versorgung bei schlecht eingestelltem Diabetes effektiver als Regelversorgung</w:t>
      </w:r>
    </w:p>
    <w:p>
      <w:r>
        <w:rPr>
          <w:i/>
          <w:color w:val="666666"/>
          <w:sz w:val="18"/>
        </w:rPr>
        <w:t>Saldarriaga-Bedoya K et al.  ·  Prim Health Care Res Dev  ·  30.10.2026  ·  PMID 42960832</w:t>
      </w:r>
    </w:p>
    <w:p>
      <w:r>
        <w:t>Retrospektive Kohortenstudie zu Faktoren der Zuweisung zu Hybrid- oder Regelversorgung und deren Outcome bei Hypertonie, Diabetes und Dyslipidämie in Kolumbien.</w:t>
      </w:r>
    </w:p>
    <w:p>
      <w:r>
        <w:rPr>
          <w:b/>
        </w:rPr>
        <w:t xml:space="preserve">Ergebnis: </w:t>
      </w:r>
      <w:r>
        <w:t>Hybrid-Versorgung war bei höherem HbA1c (aOR 2,68 pro 1 % Anstieg; 95 % KI 2,17–3,31) und schlechterer Adhärenz (aOR 1,96; 95 % KI 1,17–3,28) häufiger; assoziiert mit höherer 3-Jahres-Zielwerterreichung (OR 7,34; 95 % KI 4,96–10,86) und weniger Notfallambulanzbenutzungen (OR 0,53; 95 % KI 0,36–0,79).</w:t>
      </w:r>
    </w:p>
    <w:p>
      <w:r>
        <w:rPr>
          <w:b/>
          <w:sz w:val="19"/>
        </w:rPr>
        <w:t xml:space="preserve">Übertragbarkeit: </w:t>
      </w:r>
      <w:r>
        <w:rPr>
          <w:sz w:val="19"/>
        </w:rPr>
        <w:t>Kolumbien; Prinzip der Risikoallokation und Hybrid-Care-Effekte grundsätzlich übertragbar</w:t>
      </w:r>
    </w:p>
    <w:p>
      <w:r>
        <w:rPr>
          <w:color w:val="5A7D3A"/>
          <w:sz w:val="18"/>
        </w:rPr>
        <w:t>https://pubmed.ncbi.nlm.nih.gov/42960832/</w:t>
      </w:r>
    </w:p>
    <w:p>
      <w:pPr>
        <w:pStyle w:val="Heading2"/>
      </w:pPr>
      <w:r>
        <w:t>Gesunde Ernährung senkt Risiko für Mehrfacherkrankung um bis 25 %</w:t>
      </w:r>
    </w:p>
    <w:p>
      <w:r>
        <w:rPr>
          <w:i/>
          <w:color w:val="666666"/>
          <w:sz w:val="18"/>
        </w:rPr>
        <w:t>Wang W et al.  ·  BMC Public Health  ·  03.08.2026  ·  PMID 42958149</w:t>
      </w:r>
    </w:p>
    <w:p>
      <w:r>
        <w:t>Studie untersuchte, wie Ernährungsmuster bei anfangs gesunden Erwachsenen die Entwicklung von Mehrfacherkrankungen beeinflussen.</w:t>
      </w:r>
    </w:p>
    <w:p>
      <w:r>
        <w:rPr>
          <w:b/>
        </w:rPr>
        <w:t xml:space="preserve">Ergebnis: </w:t>
      </w:r>
      <w:r>
        <w:t>Der DASH-Index zeigte über extreme Quartile ein HR von 0,75 (95 % KI 0,69–0,82) für den Übergang von gesund zu Mehrfacherkrankung; ähnliche schützende Effekte für alle vier Ernährungsqualitätsindizes. Frühe, hochwertige Ernährung reduziert die Progression zur Mehrfacherkrankung messbar.</w:t>
      </w:r>
    </w:p>
    <w:p>
      <w:r>
        <w:rPr>
          <w:b/>
          <w:sz w:val="19"/>
        </w:rPr>
        <w:t xml:space="preserve">Übertragbarkeit: </w:t>
      </w:r>
      <w:r>
        <w:rPr>
          <w:sz w:val="19"/>
        </w:rPr>
        <w:t>UK-Biobank, aber Ernährungspräventionsergebnisse übertragbar auf deutsche Risikopopulationen</w:t>
      </w:r>
    </w:p>
    <w:p>
      <w:r>
        <w:rPr>
          <w:color w:val="5A7D3A"/>
          <w:sz w:val="18"/>
        </w:rPr>
        <w:t>https://pubmed.ncbi.nlm.nih.gov/42958149/</w:t>
      </w:r>
    </w:p>
    <w:p>
      <w:pPr>
        <w:pStyle w:val="Heading1"/>
      </w:pPr>
      <w:r>
        <w:t>Aufgenommen am 30.10.2026</w:t>
      </w:r>
    </w:p>
    <w:p>
      <w:pPr>
        <w:pStyle w:val="Heading2"/>
      </w:pPr>
      <w:r>
        <w:t>SGLT2-Inhibitoren: Formularbehinderungen für Herzinsuffizienz und Niere sind gering, Zugang aber nicht flächendeckend</w:t>
      </w:r>
    </w:p>
    <w:p>
      <w:r>
        <w:rPr>
          <w:i/>
          <w:color w:val="666666"/>
          <w:sz w:val="18"/>
        </w:rPr>
        <w:t>Jain V et al.  ·  Endocrine  ·  29.10.2026  ·  PMID 42955528</w:t>
      </w:r>
    </w:p>
    <w:p>
      <w:r>
        <w:t>US-Analyse von Medicare-Part-D-Formularen 2019–2026 untersucht, ob Versicherungsrestriktionen die Unternutzung von SGLT2-Inhibitoren bei Herzinsuffizienz und Nierenerkrankung erklären.</w:t>
      </w:r>
    </w:p>
    <w:p>
      <w:r>
        <w:rPr>
          <w:b/>
        </w:rPr>
        <w:t xml:space="preserve">Ergebnis: </w:t>
      </w:r>
      <w:r>
        <w:t>Prior Authorization &lt;1,6 % über alle Jahre, ≥98 % Formulare boten mind. einen PA-freien SGLT2i. Step-Therapy 2025 auf null, 2026 Rebound auf Empagliflozin (18,18 %), aber nicht bei Dapagliflozin (1,21 %). Canagliflozin-Abdeckung fiel von 58,3 % (2019) auf 5,8 % (2026). Für CKD-Indikation: nur 5,8 % Formulare bieten zwei step-freie Optionen. Formularehinderungen sind nicht die Hauptbarriere; Fokus sollte auf Kliniker- und Systemfaktoren liegen.</w:t>
      </w:r>
    </w:p>
    <w:p>
      <w:r>
        <w:rPr>
          <w:b/>
          <w:sz w:val="19"/>
        </w:rPr>
        <w:t xml:space="preserve">Übertragbarkeit: </w:t>
      </w:r>
      <w:r>
        <w:rPr>
          <w:sz w:val="19"/>
        </w:rPr>
        <w:t>USA, Medicare-Finanzierung; Formularbehinderungen weniger relevant als Verschreibungsmuster—Befund unabhängig von Versicherungssystem.</w:t>
      </w:r>
    </w:p>
    <w:p>
      <w:r>
        <w:rPr>
          <w:color w:val="5A7D3A"/>
          <w:sz w:val="18"/>
        </w:rPr>
        <w:t>https://pubmed.ncbi.nlm.nih.gov/42955528/</w:t>
      </w:r>
    </w:p>
    <w:p>
      <w:pPr>
        <w:pStyle w:val="Heading2"/>
      </w:pPr>
      <w:r>
        <w:t>Patientenzentrierte Versorgung mit visuellen Werkzeugen stärkt Vertrauen bei chronischen Erkrankungen und niedriger Sozialschicht</w:t>
      </w:r>
    </w:p>
    <w:p>
      <w:r>
        <w:rPr>
          <w:i/>
          <w:color w:val="666666"/>
          <w:sz w:val="18"/>
        </w:rPr>
        <w:t>van Bommel HE et al.  ·  Scand J Prim Health Care  ·  29.10.2026  ·  PMID 42954940</w:t>
      </w:r>
    </w:p>
    <w:p>
      <w:r>
        <w:t>Niederländische Qualitativstudie mit 18 Patienten, 2 Ärzten und 12 Praxiskrankenschwestern evaluiert eine neu entwickelte, personenzentrierte Versorgungsstrategie mit visuellen Hilfsmitteln für Menschen mit chronischen Erkrankungen und niedriger Sozialökonomie.</w:t>
      </w:r>
    </w:p>
    <w:p>
      <w:r>
        <w:rPr>
          <w:b/>
        </w:rPr>
        <w:t xml:space="preserve">Ergebnis: </w:t>
      </w:r>
      <w:r>
        <w:t>Ärzte und Praxiskrankenschwestern berichten höhere Berufszufriedenheit und wahrgenommenes Vertrauen der Patienten. Das visuelle Werkzeug unterstützte Dialog und Verständnis komplexer sozialer Bedürfnisse. Patienten schätzten, als Individuen wahrgenommen zu werden, aber bemerkten begrenzte Veränderungen in der Versorgung. Bedarf erkannt: stärkere interdisziplinäre Zusammenarbeit mit Sozialhilfe.</w:t>
      </w:r>
    </w:p>
    <w:p>
      <w:r>
        <w:rPr>
          <w:b/>
          <w:sz w:val="19"/>
        </w:rPr>
        <w:t xml:space="preserve">Übertragbarkeit: </w:t>
      </w:r>
      <w:r>
        <w:rPr>
          <w:sz w:val="19"/>
        </w:rPr>
        <w:t>Niederlande, vergleichbares Hausarztsystem und sozialversicherungssystem; Design übertragbar auf deutsche Praxen.</w:t>
      </w:r>
    </w:p>
    <w:p>
      <w:r>
        <w:rPr>
          <w:color w:val="5A7D3A"/>
          <w:sz w:val="18"/>
        </w:rPr>
        <w:t>https://pubmed.ncbi.nlm.nih.gov/42954940/</w:t>
      </w:r>
    </w:p>
    <w:p>
      <w:pPr>
        <w:pStyle w:val="Heading2"/>
      </w:pPr>
      <w:r>
        <w:t>Klinische Pharmazie senkt Arzneimittelfehler bei Hämodialysepatienten um 75 %</w:t>
      </w:r>
    </w:p>
    <w:p>
      <w:r>
        <w:rPr>
          <w:i/>
          <w:color w:val="666666"/>
          <w:sz w:val="18"/>
        </w:rPr>
        <w:t>David A et al.  ·  Nephrol Ther  ·  29.10.2026  ·  PMID 42954264</w:t>
      </w:r>
    </w:p>
    <w:p>
      <w:r>
        <w:t>Französische Studie an 76 Hämodialysepatienten untersucht, wie strukturierte klinisch-pharmazeutische Überprüfung und Medikamentenabstimmung zwischen Krankenhaus und niedergelassener Praxis Verschreibungsunsicherheiten reduziert.</w:t>
      </w:r>
    </w:p>
    <w:p>
      <w:r>
        <w:rPr>
          <w:b/>
        </w:rPr>
        <w:t xml:space="preserve">Ergebnis: </w:t>
      </w:r>
      <w:r>
        <w:t>Bei 33 % der 76 Patienten wurden Medikamentendiskrepanzen identifiziert; 75 % dieser Diskrepanzen hatten mindestens geringen klinischen Impact. Nach Intervention: Quote potenziell unangemessener Medikamente sank signifikant (p &lt; 0,05), Nephrologen akzeptierten 93 % der 69 Optimierungsvorschläge. Integration klinischer Pharmazeuten verbesserte Verschreibungsqualität und Arzneimittelsicherheit.</w:t>
      </w:r>
    </w:p>
    <w:p>
      <w:r>
        <w:rPr>
          <w:b/>
          <w:sz w:val="19"/>
        </w:rPr>
        <w:t xml:space="preserve">Übertragbarkeit: </w:t>
      </w:r>
      <w:r>
        <w:rPr>
          <w:sz w:val="19"/>
        </w:rPr>
        <w:t>Frankreich, vergleichbares Krankenhaus-Praxis-Schnittstellen-Problem; strukturierte Pharmazie-Prozesse sind Versorgungsstandard.</w:t>
      </w:r>
    </w:p>
    <w:p>
      <w:r>
        <w:rPr>
          <w:color w:val="5A7D3A"/>
          <w:sz w:val="18"/>
        </w:rPr>
        <w:t>https://pubmed.ncbi.nlm.nih.gov/42954264/</w:t>
      </w:r>
    </w:p>
    <w:p>
      <w:pPr>
        <w:pStyle w:val="Heading2"/>
      </w:pPr>
      <w:r>
        <w:t>Ultraschall-gestützte Flüssigkeitsoptimierung senkt Blutdruck bei Hämodialysepatienten um 14 mmHg</w:t>
      </w:r>
    </w:p>
    <w:p>
      <w:r>
        <w:rPr>
          <w:i/>
          <w:color w:val="666666"/>
          <w:sz w:val="18"/>
        </w:rPr>
        <w:t>Muñoz Ramos P et al.  ·  Cardiorenal Med  ·  15.10.2026  ·  PMID 42879334</w:t>
      </w:r>
    </w:p>
    <w:p>
      <w:r>
        <w:t>Spanische Multizenter-Studie an 72 Hämodialysepatienten untersucht, ob Flüssigkeitsüberlastung mittels modifizierter Venenultraschallskala erkannt und durch protokollgesteuerte Ultrafiltration reduziert werden kann.</w:t>
      </w:r>
    </w:p>
    <w:p>
      <w:r>
        <w:rPr>
          <w:b/>
        </w:rPr>
        <w:t xml:space="preserve">Ergebnis: </w:t>
      </w:r>
      <w:r>
        <w:t>23 von 72 klinisch euvolämischen Patienten (32 %) zeigten venöse Stauung im modifizierten VExUS. Nach 4 Wochen: VExUS-Parameter verbesserten sich signifikant (2,1 vs. 1,3; p &lt; 0,001), systolischer Blutdruck sank in der Interventionsgruppe um 14 mmHg vs. +4 mmHg in Kontrolle (p = 0,025). Keine Unterschiede bei Hämodialyseverträglichkeit oder Biomarkern.</w:t>
      </w:r>
    </w:p>
    <w:p>
      <w:r>
        <w:rPr>
          <w:b/>
          <w:sz w:val="19"/>
        </w:rPr>
        <w:t xml:space="preserve">Übertragbarkeit: </w:t>
      </w:r>
      <w:r>
        <w:rPr>
          <w:sz w:val="19"/>
        </w:rPr>
        <w:t>Spanien, öffentliches Gesundheitssystem; Ultraschall-Methode mit Training umsetzbar in deutschen Dialysezentren.</w:t>
      </w:r>
    </w:p>
    <w:p>
      <w:r>
        <w:rPr>
          <w:color w:val="5A7D3A"/>
          <w:sz w:val="18"/>
        </w:rPr>
        <w:t>https://pubmed.ncbi.nlm.nih.gov/42879334/</w:t>
      </w:r>
    </w:p>
    <w:p>
      <w:pPr>
        <w:pStyle w:val="Heading2"/>
      </w:pPr>
      <w:r>
        <w:t>Barthel-Index senkt Sterblichkeit bei COPD-Exazerbationen um 72 % in der Notaufnahme</w:t>
      </w:r>
    </w:p>
    <w:p>
      <w:r>
        <w:rPr>
          <w:i/>
          <w:color w:val="666666"/>
          <w:sz w:val="18"/>
        </w:rPr>
        <w:t>Alonso Avilés R et al.  ·  Heart Lung  ·  11.09.2026  ·  PMID 42727532</w:t>
      </w:r>
    </w:p>
    <w:p>
      <w:r>
        <w:t>Spanische Studie an 1.214 Patienten mit akuter COPD-Exazerbation untersucht, welche klinischen Faktoren Krankenhausaufnahme und 30-Tages-Mortalität vorhersagen.</w:t>
      </w:r>
    </w:p>
    <w:p>
      <w:r>
        <w:rPr>
          <w:b/>
        </w:rPr>
        <w:t xml:space="preserve">Ergebnis: </w:t>
      </w:r>
      <w:r>
        <w:t>Der Barthel-Index (funktionelle Unabhängigkeit, 2-Minuten-Messung) war stärkster Prädiktor der 30-Tages-Mortalität (OR 0,28; 95%-KI 0,15–0,53 = 72 % Risikoreduktion). Bootstrap-korrigierte AUC 0,787 für Mortalität, 0,806 für Aufnahme. Ein Algorithmus aus akuter Ateminsuffizienz und Barthel-Index ermöglichte Identifikation von Kandidaten für ambulante Behandlung.</w:t>
      </w:r>
    </w:p>
    <w:p>
      <w:r>
        <w:rPr>
          <w:b/>
          <w:sz w:val="19"/>
        </w:rPr>
        <w:t xml:space="preserve">Übertragbarkeit: </w:t>
      </w:r>
      <w:r>
        <w:rPr>
          <w:sz w:val="19"/>
        </w:rPr>
        <w:t>Spanien, vergleichbare Notaufnahmestruktur; Messinstrument universal anwendbar.</w:t>
      </w:r>
    </w:p>
    <w:p>
      <w:r>
        <w:rPr>
          <w:color w:val="5A7D3A"/>
          <w:sz w:val="18"/>
        </w:rPr>
        <w:t>https://pubmed.ncbi.nlm.nih.gov/42727532/</w:t>
      </w:r>
    </w:p>
    <w:p>
      <w:pPr>
        <w:pStyle w:val="Heading1"/>
      </w:pPr>
      <w:r>
        <w:t>Aufgenommen am 29.10.2026</w:t>
      </w:r>
    </w:p>
    <w:p>
      <w:pPr>
        <w:pStyle w:val="Heading2"/>
      </w:pPr>
      <w:r>
        <w:t>14 Lungengewebs-miRNAs assoziiert mit Emphysem-Ausmaß und Lungenfunktion in COPD</w:t>
      </w:r>
    </w:p>
    <w:p>
      <w:r>
        <w:rPr>
          <w:i/>
          <w:color w:val="666666"/>
          <w:sz w:val="18"/>
        </w:rPr>
        <w:t>Kim T et al.  ·  Int J Chron Obstruct Pulmon Dis  ·  23.10.2026  ·  PMID 42948330</w:t>
      </w:r>
    </w:p>
    <w:p>
      <w:r>
        <w:t>Explorative sekundäre Datenanalyse von 117 COPD-/Emphysem-Patienten aus GSE201121 zur Assoziation von Lungengewebe-miRNA-Expression mit quantitativem Emphysem (CT-Prozentsatz von niedrig-attenuierter Fläche unter -950 HU) mittels linearer Regression mit HC3-robusten Standardfehlern.</w:t>
      </w:r>
    </w:p>
    <w:p>
      <w:r>
        <w:rPr>
          <w:b/>
        </w:rPr>
        <w:t xml:space="preserve">Ergebnis: </w:t>
      </w:r>
      <w:r>
        <w:t>14 miRNAs waren assoziiert mit Emphysem-Prozentsatz (BH-FDR &lt;0,05): acht mit positiver Assoziation (miR-144-5p, miR-190a, miR-20b-5p, miR-451a, miR-3912, miR-15a-5p, miR-202-5p, miR-4497), sechs mit negativer (miR-489, miR-181b-5p, miR-378a-5p, miR-3614-5p, miR-197-3p, miR-877-3p). Assoziationen mit Lungenfunktion (FEV1 % vorhergesagt, FEV1/FVC, DLCO) waren konsistent. Enrichment-Analysen identifizierten biologische Prozesse (miRNA-Regulation, Apoptose, Hypoxie-Antworten, Zellzyklusregulation, Gefäßentwicklung). Ergebnisse sind explorativ und erfordern unabhängige Validierung.</w:t>
      </w:r>
    </w:p>
    <w:p>
      <w:r>
        <w:rPr>
          <w:b/>
          <w:sz w:val="19"/>
        </w:rPr>
        <w:t xml:space="preserve">Übertragbarkeit: </w:t>
      </w:r>
      <w:r>
        <w:rPr>
          <w:sz w:val="19"/>
        </w:rPr>
        <w:t>Südkorea, aber Transkriptomik-Analysen haben begrenzte unmittelbare Versorgungsrelevanz ohne funktionale Validierung und klinische Anwendbarkeit.</w:t>
      </w:r>
    </w:p>
    <w:p>
      <w:r>
        <w:rPr>
          <w:color w:val="5A7D3A"/>
          <w:sz w:val="18"/>
        </w:rPr>
        <w:t>https://pubmed.ncbi.nlm.nih.gov/42948330/</w:t>
      </w:r>
    </w:p>
    <w:p>
      <w:pPr>
        <w:pStyle w:val="Heading2"/>
      </w:pPr>
      <w:r>
        <w:t>Synthetische Daten aus italienischem CIDP-Register reproduzieren analytische Eigenschaften und ermöglichen Datenschutz-sichere Forschung</w:t>
      </w:r>
    </w:p>
    <w:p>
      <w:r>
        <w:rPr>
          <w:i/>
          <w:color w:val="666666"/>
          <w:sz w:val="18"/>
        </w:rPr>
        <w:t>Signori A et al.  ·  Front Neurol  ·  13.10.2026  ·  PMID 42947862</w:t>
      </w:r>
    </w:p>
    <w:p>
      <w:r>
        <w:t>Validierungsstudie von KI-generierten synthetischen Daten aus dem italienischen CIDP-Register gegen echte Daten; 195 CIDP-Fälle und 195 Kontrollen wurden analysiert und synthetische Daten mittels konditionaler Modelle generiert, um Fidelity und Distinguishability zu prüfen.</w:t>
      </w:r>
    </w:p>
    <w:p>
      <w:r>
        <w:rPr>
          <w:b/>
        </w:rPr>
        <w:t xml:space="preserve">Ergebnis: </w:t>
      </w:r>
      <w:r>
        <w:t>Synthetische Daten zeigten hohe Übereinstimmung mit echten Daten in Randverteilungen; Distinguishability-Analysen zeigten niedrige Trennbarkeit zwischen echten und synthetischen Datensätzen. Univariable Assoziationen mit CIDP-Risiko wurden eng repliziert (einschließlich protektive Effekte von höherer Fisch- und Reisaufnahme). Multivariable Modelle demonstrierten hochgradig übereinstimmende Effektschätzungen zwischen echten und synthetischen Daten. Synthetische Daten ermöglichen reproduzierbare und teilbare CIDP-Forschung bei Wahrung der Patientenprivatsphäre.</w:t>
      </w:r>
    </w:p>
    <w:p>
      <w:r>
        <w:rPr>
          <w:b/>
          <w:sz w:val="19"/>
        </w:rPr>
        <w:t xml:space="preserve">Übertragbarkeit: </w:t>
      </w:r>
      <w:r>
        <w:rPr>
          <w:sz w:val="19"/>
        </w:rPr>
        <w:t>Italien mit EU-Datenschutzrichtlinien; europäisches System mit DSGVO-Anforderungen direkt vergleichbar.</w:t>
      </w:r>
    </w:p>
    <w:p>
      <w:r>
        <w:rPr>
          <w:color w:val="5A7D3A"/>
          <w:sz w:val="18"/>
        </w:rPr>
        <w:t>https://pubmed.ncbi.nlm.nih.gov/42947862/</w:t>
      </w:r>
    </w:p>
    <w:p>
      <w:pPr>
        <w:pStyle w:val="Heading2"/>
      </w:pPr>
      <w:r>
        <w:t>Irisches CDM-Programm verbessert Selbstmanagement und Versorgungsqualität chronischer Erkrankungen</w:t>
      </w:r>
    </w:p>
    <w:p>
      <w:r>
        <w:rPr>
          <w:i/>
          <w:color w:val="666666"/>
          <w:sz w:val="18"/>
        </w:rPr>
        <w:t>O'Callaghan ME et al.  ·  BMC Prim Care  ·  31.07.2026  ·  PMID 42946997</w:t>
      </w:r>
    </w:p>
    <w:p>
      <w:r>
        <w:t>Querschnittstudie zu Erfahrungen von Patienten und Leistungserbringern mit Irlands neu skaliertem CDM-Programm für strukturierte Versorgung chronischer Erkrankungen in Allgemeinarztpraxen; Befragung von 110 Patienten und 217 Anbietern (Ärzte, Pflegekräfte).</w:t>
      </w:r>
    </w:p>
    <w:p>
      <w:r>
        <w:rPr>
          <w:b/>
        </w:rPr>
        <w:t xml:space="preserve">Ergebnis: </w:t>
      </w:r>
      <w:r>
        <w:t>97 % der Patienten berichten positive Wahrnehmung mit Verbesserungen beim Selbstmanagement und Verständnis ihrer Erkrankung. Unter Anbietern: 93 % der GPs und 81 % der Pflegekräfte bewerten das Programm positiv, insbesondere Verbesserungen bei Typ-2-Diabetes-Management. Hauptbarrieren: Personalknappheit, Arbeitsbelastung, IT-Probleme. Das Programm wird als hochwertig wahrgenommen und als nachhaltig bewertet, sofern Kapazität und Systemgrenzen gelöst werden.</w:t>
      </w:r>
    </w:p>
    <w:p>
      <w:r>
        <w:rPr>
          <w:b/>
          <w:sz w:val="19"/>
        </w:rPr>
        <w:t xml:space="preserve">Übertragbarkeit: </w:t>
      </w:r>
      <w:r>
        <w:rPr>
          <w:sz w:val="19"/>
        </w:rPr>
        <w:t>Irland mit GPs als Koordinatoren; Struktur teilweise vergleichbar mit deutschem Hausarztmodell, aber ohne verbindliche Steuerung.</w:t>
      </w:r>
    </w:p>
    <w:p>
      <w:r>
        <w:rPr>
          <w:color w:val="5A7D3A"/>
          <w:sz w:val="18"/>
        </w:rPr>
        <w:t>https://pubmed.ncbi.nlm.nih.gov/42946997/</w:t>
      </w:r>
    </w:p>
    <w:p>
      <w:pPr>
        <w:pStyle w:val="Heading2"/>
      </w:pPr>
      <w:r>
        <w:t>Thalamale Hyperkonektivität bei ME/CFS ist reversibel und korreliert mit klinischer Verbesserung nach Hyperbarbehandlung</w:t>
      </w:r>
    </w:p>
    <w:p>
      <w:r>
        <w:rPr>
          <w:i/>
          <w:color w:val="666666"/>
          <w:sz w:val="18"/>
        </w:rPr>
        <w:t>Strube A  ·  J Transl Med  ·  29.07.2026  ·  PMID 42934697</w:t>
      </w:r>
    </w:p>
    <w:p>
      <w:r>
        <w:t>Kommentier-Analyse einer Studie zu thalamokortikaler Konnektivität bei Myalgische Enzephalomyelitis/Chronic Fatigue Syndrome (ME/CFS): Baseline-Hyperkonektivität des Thalamus mit sensorimotorischen und visuooccipitalen Kortizes verschiebt sich nach Hyperbarbehandlung in Richtung Muster gesunder Kontrollen, besonders bei klinisch verbesserten Patienten.</w:t>
      </w:r>
    </w:p>
    <w:p>
      <w:r>
        <w:rPr>
          <w:b/>
        </w:rPr>
        <w:t xml:space="preserve">Ergebnis: </w:t>
      </w:r>
      <w:r>
        <w:t>Die reversible thalamale Hyperkonektivität bei ME/CFS-Patienten wird durch Hyperbarbehandlung reduziert und korreliert mit klinischer Verbesserung. Dies wird durch die Predictive-Processing-Theorie interpretiert: Der Thalamus reguliert die Präzision aufsteigender körperlicher Signale. Defizitäre Filterung führt zu erhöhter Rauschempfindlichkeit, die mehrere Symptome (sensorische Hypersensitivität, Schmerz, orthostatische Intoleranz, kognitives Nebel) erklärt. Ein hypothetisches Modell mit Testbedarf, da Hyperbarbehandlung eine vaskuläre Intervention ist und die Konnektivität ein indirektes Maß darstellt.</w:t>
      </w:r>
    </w:p>
    <w:p>
      <w:r>
        <w:rPr>
          <w:b/>
          <w:sz w:val="19"/>
        </w:rPr>
        <w:t xml:space="preserve">Übertragbarkeit: </w:t>
      </w:r>
      <w:r>
        <w:rPr>
          <w:sz w:val="19"/>
        </w:rPr>
        <w:t>USA-basierte Analyse; Hirnbildgebung-Befund ist mechanistisch interessant, aber Versorgungsübertragbarkeit gering ohne prospektive Validierung in praktischer Klinik.</w:t>
      </w:r>
    </w:p>
    <w:p>
      <w:r>
        <w:rPr>
          <w:color w:val="5A7D3A"/>
          <w:sz w:val="18"/>
        </w:rPr>
        <w:t>https://pubmed.ncbi.nlm.nih.gov/42934697/</w:t>
      </w:r>
    </w:p>
    <w:p>
      <w:pPr>
        <w:pStyle w:val="Heading2"/>
      </w:pPr>
      <w:r>
        <w:t>CIDP zeigt vier klinisch distinct Subtypen mit unterschiedlicher Progression und Therapiebedarf</w:t>
      </w:r>
    </w:p>
    <w:p>
      <w:r>
        <w:rPr>
          <w:i/>
          <w:color w:val="666666"/>
          <w:sz w:val="18"/>
        </w:rPr>
        <w:t>Quint P et al.  ·  J Neurol  ·  22.10.2026  ·  PMID 42918938</w:t>
      </w:r>
    </w:p>
    <w:p>
      <w:r>
        <w:t>Multizentrisches retrospektives Kohortenstudium aus 10 deutschen Zentren mit unbiased Clustering zur Entdeckung klinisch bedeutsamer CIDP-Subgruppen; 425 Patienten gescreent, 325 in Entwicklungskohorte, 100 in Validierungskohorte randomisiert.</w:t>
      </w:r>
    </w:p>
    <w:p>
      <w:r>
        <w:rPr>
          <w:b/>
        </w:rPr>
        <w:t xml:space="preserve">Ergebnis: </w:t>
      </w:r>
      <w:r>
        <w:t>Vier distinct Cluster identifiziert: Cluster 1 (Frauen, hohe Symptome, ANA-positiv, autoimmune Begleiterkrankungen); Cluster 2 (moderate bis niedrige Symptome, demyelinierungsdominant, weniger Komorbiditäten); Cluster 3 (hohe Symptome, axonal-demyelinierend, kardiovaskuläre Komorbiditäten); Cluster 4 (multifokal, hohe Behinderung, Ataxie). Cluster 1 und 4 zeigen besonders hohe Progressions- und Behinderungsraten. Unterschiedliche Krankheitsverläufe und Therapiestrategien zwischen Clustern, was individualisierte Überwachung und Behandlung nahelegt.</w:t>
      </w:r>
    </w:p>
    <w:p>
      <w:r>
        <w:rPr>
          <w:b/>
          <w:sz w:val="19"/>
        </w:rPr>
        <w:t xml:space="preserve">Übertragbarkeit: </w:t>
      </w:r>
      <w:r>
        <w:rPr>
          <w:sz w:val="19"/>
        </w:rPr>
        <w:t>Deutsche Klinikdaten und Klassifikation; direkt auf deutsches System übertragbar.</w:t>
      </w:r>
    </w:p>
    <w:p>
      <w:r>
        <w:rPr>
          <w:color w:val="5A7D3A"/>
          <w:sz w:val="18"/>
        </w:rPr>
        <w:t>https://pubmed.ncbi.nlm.nih.gov/42918938/</w:t>
      </w:r>
    </w:p>
    <w:p>
      <w:pPr>
        <w:pStyle w:val="Heading2"/>
      </w:pPr>
      <w:r>
        <w:t>Tozorakimab reduziert moderate/schwere COPD-Exazerbationen um 29–34 %</w:t>
      </w:r>
    </w:p>
    <w:p>
      <w:r>
        <w:rPr>
          <w:i/>
          <w:color w:val="666666"/>
          <w:sz w:val="18"/>
        </w:rPr>
        <w:t>Sciurba FC et al.  ·  N Engl J Med  ·  29.10.2026  ·  PMID 42708515</w:t>
      </w:r>
    </w:p>
    <w:p>
      <w:r>
        <w:t>Zwei Phase-3-Studien (OBERON, TITANIA) prüften die Wirksamkeit des Antikörpers Tozorakimab zur Prävention von COPD-Exazerbationen trotz optimaler Inhalationstherapie bei 1719 Patienten mit Exazerbationen in der Vorgeschichte.</w:t>
      </w:r>
    </w:p>
    <w:p>
      <w:r>
        <w:rPr>
          <w:b/>
        </w:rPr>
        <w:t xml:space="preserve">Ergebnis: </w:t>
      </w:r>
      <w:r>
        <w:t>Tozorakimab senkte die annualisierte Rate mittelschwerer oder schwerer Exazerbationen bei ehemaligen Rauchern um 29 % (OBERON: Rate Ratio 0,71, p=0,002) bzw. 34 % (TITANIA: Rate Ratio 0,66, p&lt;0,001). In der Gesamtpopulation: 30 % Reduktion (OBERON) bzw. 29 % (TITANIA), beide p&lt;0,001. Nebenwirkungen traten nicht häufiger als unter Placebo auf. Ein wirksamer Weg zur Exazerbationsreduktion über IL-33-Blockade.</w:t>
      </w:r>
    </w:p>
    <w:p>
      <w:r>
        <w:rPr>
          <w:b/>
          <w:sz w:val="19"/>
        </w:rPr>
        <w:t xml:space="preserve">Übertragbarkeit: </w:t>
      </w:r>
      <w:r>
        <w:rPr>
          <w:sz w:val="19"/>
        </w:rPr>
        <w:t>Europäische und globale Zentren, vergleichbare Standards; Übertragbarkeit hoch auf deutsche Versorgung.</w:t>
      </w:r>
    </w:p>
    <w:p>
      <w:r>
        <w:rPr>
          <w:color w:val="5A7D3A"/>
          <w:sz w:val="18"/>
        </w:rPr>
        <w:t>https://pubmed.ncbi.nlm.nih.gov/42708515/</w:t>
      </w:r>
    </w:p>
    <w:p>
      <w:pPr>
        <w:pStyle w:val="Heading1"/>
      </w:pPr>
      <w:r>
        <w:t>Aufgenommen am 28.10.2026</w:t>
      </w:r>
    </w:p>
    <w:p>
      <w:pPr>
        <w:pStyle w:val="Heading2"/>
      </w:pPr>
      <w:r>
        <w:t>Bildgebung und klinische Faktoren sagen Krankenhaussterblichkeit bei COPD-Exazerbation voraus</w:t>
      </w:r>
    </w:p>
    <w:p>
      <w:r>
        <w:rPr>
          <w:i/>
          <w:color w:val="666666"/>
          <w:sz w:val="18"/>
        </w:rPr>
        <w:t>Li Y et al.  ·  Pulmonology  ·  31.12.2026  ·  PMID 42944679</w:t>
      </w:r>
    </w:p>
    <w:p>
      <w:r>
        <w:t>Retrospektive Kohortenstudie (N=465) entwickelte ein Vorhersagemodell für intrahospitale Mortalität bei akuter COPD-Exazerbation durch Kombination von klinischen Variablen und CT-gestützten Metriken.</w:t>
      </w:r>
    </w:p>
    <w:p>
      <w:r>
        <w:rPr>
          <w:b/>
        </w:rPr>
        <w:t xml:space="preserve">Ergebnis: </w:t>
      </w:r>
      <w:r>
        <w:t>Fünf unabhängige Prädiktoren identifiziert: Verwirrtheit, Lymphozytenzahl &lt;0,8×10⁹/L, chronische Herzinsuffizienz, Leukozytenzahl ≥10×10⁹/L und reduzierte pulmonale vaskuläre fraktale Dimension. Das logistische Regressionsmodell erreichte AUC 0,852 (95%-KI 0,738–0,965) im Testdatensatz und übertraf etablierte Scores deutlich.</w:t>
      </w:r>
    </w:p>
    <w:p>
      <w:r>
        <w:rPr>
          <w:b/>
          <w:sz w:val="19"/>
        </w:rPr>
        <w:t xml:space="preserve">Übertragbarkeit: </w:t>
      </w:r>
      <w:r>
        <w:rPr>
          <w:sz w:val="19"/>
        </w:rPr>
        <w:t>China, klinische Klinikdaten; Übertragung auf Deutschland an Dokumentation und Verfügbarkeit von CT-Metriken gebunden</w:t>
      </w:r>
    </w:p>
    <w:p>
      <w:r>
        <w:rPr>
          <w:color w:val="5A7D3A"/>
          <w:sz w:val="18"/>
        </w:rPr>
        <w:t>https://pubmed.ncbi.nlm.nih.gov/42944679/</w:t>
      </w:r>
    </w:p>
    <w:p>
      <w:pPr>
        <w:pStyle w:val="Heading2"/>
      </w:pPr>
      <w:r>
        <w:t>Nierenfunktion und Albuminurie vorhersagen Herz-Nieren-Ereignisse bei CKD</w:t>
      </w:r>
    </w:p>
    <w:p>
      <w:r>
        <w:rPr>
          <w:i/>
          <w:color w:val="666666"/>
          <w:sz w:val="18"/>
        </w:rPr>
        <w:t>Karaduru Avcı A et al.  ·  Medicina (Kaunas)  ·  10.10.2026  ·  PMID 42942488</w:t>
      </w:r>
    </w:p>
    <w:p>
      <w:r>
        <w:t>Retrospektive Kohortenstudie (N=263) mit mindestens 5-jähriger Nachverfolgung untersuchte Vorhersagefaktoren für kombinierte Nieren- und Herz-Kreislauf-Ereignisse bei Patienten mit CKD vor Dialysebedarf.</w:t>
      </w:r>
    </w:p>
    <w:p>
      <w:r>
        <w:rPr>
          <w:b/>
        </w:rPr>
        <w:t xml:space="preserve">Ergebnis: </w:t>
      </w:r>
      <w:r>
        <w:t>Major Adverse Kidney Events (MAKE) traten bei 36,9% auf (47,8 pro 1.000 Personenjahre), Major Adverse Cardiovascular Events (MACE) bei 20,2% (26,0 pro 1.000 Personenjahre). Makroalbuminurie war mit 7,73-fach erhöhtem MAKE-Risiko assoziiert (95%-KI 4,01–14,90). Niereninsuffizienz und Albuminurie waren unabhängig mit MAKE assoziiert; Alter und Diabetes mit MACE.</w:t>
      </w:r>
    </w:p>
    <w:p>
      <w:r>
        <w:rPr>
          <w:b/>
          <w:sz w:val="19"/>
        </w:rPr>
        <w:t xml:space="preserve">Übertragbarkeit: </w:t>
      </w:r>
      <w:r>
        <w:rPr>
          <w:sz w:val="19"/>
        </w:rPr>
        <w:t>Türkei, vergleichbares Versicherungssystem wie Deutschland; Therapie-Exposition gering dokumentiert</w:t>
      </w:r>
    </w:p>
    <w:p>
      <w:r>
        <w:rPr>
          <w:color w:val="5A7D3A"/>
          <w:sz w:val="18"/>
        </w:rPr>
        <w:t>https://pubmed.ncbi.nlm.nih.gov/42942488/</w:t>
      </w:r>
    </w:p>
    <w:p>
      <w:pPr>
        <w:pStyle w:val="Heading2"/>
      </w:pPr>
      <w:r>
        <w:t>Morgenblutdruck ist unabhängig mit Nierenfunktionsverschlechterung assoziiert</w:t>
      </w:r>
    </w:p>
    <w:p>
      <w:r>
        <w:rPr>
          <w:i/>
          <w:color w:val="666666"/>
          <w:sz w:val="18"/>
        </w:rPr>
        <w:t>Usta S et al.  ·  Medicina (Kaunas)  ·  03.10.2026  ·  PMID 42942442</w:t>
      </w:r>
    </w:p>
    <w:p>
      <w:r>
        <w:t>Querschnittstudie (N=132) mit 24-Stunden-Blutdrucküberwachung untersuchte Assoziationen von Blutdruckphänotypen mit Nieren- und Herzschädigung bei CKD-Patienten.</w:t>
      </w:r>
    </w:p>
    <w:p>
      <w:r>
        <w:rPr>
          <w:b/>
        </w:rPr>
        <w:t xml:space="preserve">Ergebnis: </w:t>
      </w:r>
      <w:r>
        <w:t>Morgenblutdruck präsent bei 42,4%, nächtliche Hypertonie bei 78%. Patienten mit Morgenblutdruck zeigten signifikant niedrigere eGFR und höhere UACR (beide p&lt;0,001). In multivariater Regression war Morgenblutdruck unabhängig mit niedrigerer eGFR assoziiert (β=–0,26; p=0,002). Nächtliche Hypertonie korrelierte mit kardialer Umstrukturierung.</w:t>
      </w:r>
    </w:p>
    <w:p>
      <w:r>
        <w:rPr>
          <w:b/>
          <w:sz w:val="19"/>
        </w:rPr>
        <w:t xml:space="preserve">Übertragbarkeit: </w:t>
      </w:r>
      <w:r>
        <w:rPr>
          <w:sz w:val="19"/>
        </w:rPr>
        <w:t>Türkei, ABPM-gestützte Diagnostik; Übertragbarkeit an deutsche Hypertonie-Management-Richtlinien gebunden</w:t>
      </w:r>
    </w:p>
    <w:p>
      <w:r>
        <w:rPr>
          <w:color w:val="5A7D3A"/>
          <w:sz w:val="18"/>
        </w:rPr>
        <w:t>https://pubmed.ncbi.nlm.nih.gov/42942442/</w:t>
      </w:r>
    </w:p>
    <w:p>
      <w:pPr>
        <w:pStyle w:val="Heading2"/>
      </w:pPr>
      <w:r>
        <w:t>Paarbeziehung formt Bewegungsangst bei COPD – Qualitative Studie zu Copingmustern</w:t>
      </w:r>
    </w:p>
    <w:p>
      <w:r>
        <w:rPr>
          <w:i/>
          <w:color w:val="666666"/>
          <w:sz w:val="18"/>
        </w:rPr>
        <w:t>Liu X et al.  ·  Int J Chron Obstruct Pulmon Dis  ·  22.10.2026  ·  PMID 42936193</w:t>
      </w:r>
    </w:p>
    <w:p>
      <w:r>
        <w:t>Qualitative Grounded-Theory-Studie (N=21 Paare) untersuchte, wie Patienten mit COPD und ihre Partner gemeinsam mit bewegungsbezogener Angst und Dyspnoe-Vermeidung umgehen.</w:t>
      </w:r>
    </w:p>
    <w:p>
      <w:r>
        <w:rPr>
          <w:b/>
        </w:rPr>
        <w:t xml:space="preserve">Ergebnis: </w:t>
      </w:r>
      <w:r>
        <w:t>Kernkategorie: ‚Zusammen gefangen oder zusammen beweglich'. Zwei kontrastierende Beziehungszustände identifiziert: ‚gemeinsam gefangen' durch persistente Vermeidung und Überprotektion versus ‚zusammen beweglich' durch Kommunikation, Rollenanpassung und positive Erfahrungen. Therapeutische Implikation: Paarzentrierte Rehabilitationsmodelle könnten nachhaltiger wirken als einzelnenorientierte Interventionen.</w:t>
      </w:r>
    </w:p>
    <w:p>
      <w:r>
        <w:rPr>
          <w:b/>
          <w:sz w:val="19"/>
        </w:rPr>
        <w:t xml:space="preserve">Übertragbarkeit: </w:t>
      </w:r>
      <w:r>
        <w:rPr>
          <w:sz w:val="19"/>
        </w:rPr>
        <w:t>China, qualitativ; Konzept der Paarbeziehung übertragbar auf deutsches Rehabilitations-Setting</w:t>
      </w:r>
    </w:p>
    <w:p>
      <w:r>
        <w:rPr>
          <w:color w:val="5A7D3A"/>
          <w:sz w:val="18"/>
        </w:rPr>
        <w:t>https://pubmed.ncbi.nlm.nih.gov/42936193/</w:t>
      </w:r>
    </w:p>
    <w:p>
      <w:pPr>
        <w:pStyle w:val="Heading2"/>
      </w:pPr>
      <w:r>
        <w:t>Community Health Worker unterschätzen Wissen über Prävention chronischer Erkrankungen</w:t>
      </w:r>
    </w:p>
    <w:p>
      <w:r>
        <w:rPr>
          <w:i/>
          <w:color w:val="666666"/>
          <w:sz w:val="18"/>
        </w:rPr>
        <w:t>Pilusa TD et al.  ·  Front Public Health  ·  12.10.2026  ·  PMID 42935717</w:t>
      </w:r>
    </w:p>
    <w:p>
      <w:r>
        <w:t>Qualitative Fokusgruppenstudie (N=20 Community Health Worker) untersuchte das Verständnis von Verhaltensrisikofaktoren für nichtübertragbare Erkrankungen und Versorgungshindernisse.</w:t>
      </w:r>
    </w:p>
    <w:p>
      <w:r>
        <w:rPr>
          <w:b/>
        </w:rPr>
        <w:t xml:space="preserve">Ergebnis: </w:t>
      </w:r>
      <w:r>
        <w:t>CHW identifizierten Risikofaktoren richtig (ungesunde Ernährung, Stress, Alkoholmissbrauch), benannten aber systemische Barrieren: finanzielle Engpässe, lange Klinikwarteschlangen, mangelnde Koordination mit Fachpersonal. Implikation: Prävention scheitert nicht an fehlendem Wissen, sondern an strukturellen und ressourcenbezogenen Hindernissen – notwendig sind Zusammenarbeit und Systemreformen.</w:t>
      </w:r>
    </w:p>
    <w:p>
      <w:r>
        <w:rPr>
          <w:b/>
          <w:sz w:val="19"/>
        </w:rPr>
        <w:t xml:space="preserve">Übertragbarkeit: </w:t>
      </w:r>
      <w:r>
        <w:rPr>
          <w:sz w:val="19"/>
        </w:rPr>
        <w:t>Südafrika; Erkenntnisse zu Versorgungshindernissen relevant für Länder mit ähnlicher Ressourcenlage</w:t>
      </w:r>
    </w:p>
    <w:p>
      <w:r>
        <w:rPr>
          <w:color w:val="5A7D3A"/>
          <w:sz w:val="18"/>
        </w:rPr>
        <w:t>https://pubmed.ncbi.nlm.nih.gov/42935717/</w:t>
      </w:r>
    </w:p>
    <w:p>
      <w:pPr>
        <w:pStyle w:val="Heading2"/>
      </w:pPr>
      <w:r>
        <w:t>Frühe Risikofaktoren für Adipositas und Hypertonie im mittleren Alter identifiziert</w:t>
      </w:r>
    </w:p>
    <w:p>
      <w:r>
        <w:rPr>
          <w:i/>
          <w:color w:val="666666"/>
          <w:sz w:val="18"/>
        </w:rPr>
        <w:t>Stannard S et al.  ·  J Obes  ·  2026  ·  PMID 42927470</w:t>
      </w:r>
    </w:p>
    <w:p>
      <w:r>
        <w:t>Britische Geburtskohortenstudie (N=9.150) untersuchte, welche Kindheitsfaktoren später gemeinsam auftretende Adipositas und Hypertonie vorhersagen.</w:t>
      </w:r>
    </w:p>
    <w:p>
      <w:r>
        <w:rPr>
          <w:b/>
        </w:rPr>
        <w:t xml:space="preserve">Ergebnis: </w:t>
      </w:r>
      <w:r>
        <w:t>Sozioökonomische Benachteiligung war der stärkste Prädiktor (OR 1,28; 95%-KI 1,19–1,38). Mit allen Domänen-Risikowerten zusammen erreichte das Modell eine AUC von 0,70 (95%-KI 0,67–0,72). Diese Befunde unterstützen frühe Interventionen bei sozial benachteiligten Kindern.</w:t>
      </w:r>
    </w:p>
    <w:p>
      <w:r>
        <w:rPr>
          <w:b/>
          <w:sz w:val="19"/>
        </w:rPr>
        <w:t xml:space="preserve">Übertragbarkeit: </w:t>
      </w:r>
      <w:r>
        <w:rPr>
          <w:sz w:val="19"/>
        </w:rPr>
        <w:t>Großbritannien, nationale Kohortendaten mit Verlaufsmessung bis ins Alter 44</w:t>
      </w:r>
    </w:p>
    <w:p>
      <w:r>
        <w:rPr>
          <w:color w:val="5A7D3A"/>
          <w:sz w:val="18"/>
        </w:rPr>
        <w:t>https://pubmed.ncbi.nlm.nih.gov/42927470/</w:t>
      </w:r>
    </w:p>
    <w:p>
      <w:pPr>
        <w:pStyle w:val="Heading1"/>
      </w:pPr>
      <w:r>
        <w:t>Aufgenommen am 27.10.2026</w:t>
      </w:r>
    </w:p>
    <w:p>
      <w:pPr>
        <w:pStyle w:val="Heading2"/>
      </w:pPr>
      <w:r>
        <w:t>Kindliche Traumata verstärkten Zusammenhang zwischen Multimorbidität und kognitiver Abnahme</w:t>
      </w:r>
    </w:p>
    <w:p>
      <w:r>
        <w:rPr>
          <w:i/>
          <w:color w:val="666666"/>
          <w:sz w:val="18"/>
        </w:rPr>
        <w:t>Luo J et al.  ·  Eur J Psychotraumatol  ·  26.10.2026  ·  PMID 42931796</w:t>
      </w:r>
    </w:p>
    <w:p>
      <w:r>
        <w:t>Panelkohortenstudie mit zwei Wellen (2020, 2022) bei 2.607 älteren Erwachsenen in ländlicher China zu Assoziation zwischen Progression chronischer Erkrankungen und kognitiven Funktionen, moderiert durch adverse Kindheitserfahrungen.</w:t>
      </w:r>
    </w:p>
    <w:p>
      <w:r>
        <w:rPr>
          <w:b/>
        </w:rPr>
        <w:t xml:space="preserve">Ergebnis: </w:t>
      </w:r>
      <w:r>
        <w:t>Chronische Krankheitsprogression war signifikant mit subjektivem kognitivem Verfall assoziiert (β 0,428–0,869; p&lt;0,05), nicht aber mit objektiver Kognitionen. Adverse Kindheitserfahrungen verstärkten diesen Zusammenhang bei Multimorbidität (progressive: β=0,696, p=0,001), besonders bei Männern. Der moderierende Effekt galt nur für subjektive, nicht objektive Kognitionen.</w:t>
      </w:r>
    </w:p>
    <w:p>
      <w:r>
        <w:rPr>
          <w:b/>
          <w:sz w:val="19"/>
        </w:rPr>
        <w:t xml:space="preserve">Übertragbarkeit: </w:t>
      </w:r>
      <w:r>
        <w:rPr>
          <w:sz w:val="19"/>
        </w:rPr>
        <w:t>China; Multimorbidität und psychosoziale Belastungsakkumulation sind in Deutschland relevant, aber Prävalenz und Screening unterscheiden sich erheblich.</w:t>
      </w:r>
    </w:p>
    <w:p>
      <w:r>
        <w:rPr>
          <w:color w:val="5A7D3A"/>
          <w:sz w:val="18"/>
        </w:rPr>
        <w:t>https://pubmed.ncbi.nlm.nih.gov/42931796/</w:t>
      </w:r>
    </w:p>
    <w:p>
      <w:pPr>
        <w:pStyle w:val="Heading2"/>
      </w:pPr>
      <w:r>
        <w:t>Mepolizumab reduzierte Exazerbationen bei COPD um 41 % in US-Krankenkassendaten</w:t>
      </w:r>
    </w:p>
    <w:p>
      <w:r>
        <w:rPr>
          <w:i/>
          <w:color w:val="666666"/>
          <w:sz w:val="18"/>
        </w:rPr>
        <w:t>Panettieri RA et al.  ·  Int J Chron Obstruct Pulmon Dis  ·  21.10.2026  ·  PMID 42928917</w:t>
      </w:r>
    </w:p>
    <w:p>
      <w:r>
        <w:t>Retrospektive Analyse von US-Versicherungsdaten zur Wirksamkeit von Mepolizumab bei COPD-Patienten mit Typ-2-Entzündung, gemessen an Exazerbationen, Kortikosteroid-Nutzung und Krankenhausaufenthalten vor und nach Therapiestart.</w:t>
      </w:r>
    </w:p>
    <w:p>
      <w:r>
        <w:rPr>
          <w:b/>
        </w:rPr>
        <w:t xml:space="preserve">Ergebnis: </w:t>
      </w:r>
      <w:r>
        <w:t>Mepolizumab reduzierte die Rate moderater bis schwerer Exazerbationen um 41 % (p&lt;0,001), Kortikosteroid-Dispensierungen um 26 % und -bursts um 33 % (p&lt;0,001). COPD-bedingte Krankenhausaufenthalte sanken um 22-37 % (p≤0,038), ebenso Notaufnahmebesuche (p&lt;0,001) und ambulante Besuche (p&lt;0,001).</w:t>
      </w:r>
    </w:p>
    <w:p>
      <w:r>
        <w:rPr>
          <w:b/>
          <w:sz w:val="19"/>
        </w:rPr>
        <w:t xml:space="preserve">Übertragbarkeit: </w:t>
      </w:r>
      <w:r>
        <w:rPr>
          <w:sz w:val="19"/>
        </w:rPr>
        <w:t>USA, aber Outcome-Definitionen übertragbar; deutsche Kassen könnten ähnliche Analysen durchführen.</w:t>
      </w:r>
    </w:p>
    <w:p>
      <w:r>
        <w:rPr>
          <w:color w:val="5A7D3A"/>
          <w:sz w:val="18"/>
        </w:rPr>
        <w:t>https://pubmed.ncbi.nlm.nih.gov/42928917/</w:t>
      </w:r>
    </w:p>
    <w:p>
      <w:pPr>
        <w:pStyle w:val="Heading2"/>
      </w:pPr>
      <w:r>
        <w:t>Dupilumab, Mepolizumab und Benralizumab zeigen vergleichbare COPD-Exazerbationsraten</w:t>
      </w:r>
    </w:p>
    <w:p>
      <w:r>
        <w:rPr>
          <w:i/>
          <w:color w:val="666666"/>
          <w:sz w:val="18"/>
        </w:rPr>
        <w:t>Liao KM et al.  ·  Drug Des Devel Ther  ·  21.10.2026  ·  PMID 42928777</w:t>
      </w:r>
    </w:p>
    <w:p>
      <w:r>
        <w:t>Retrospektive Kohortenstudie mit Propensity-Score-Matching aus US-Datenbank zu Wirksamkeit von drei Biologika bei COPD mit Typ-2-Inflammation, verglichen in Paaren über 365 Tage Nachverfolgung.</w:t>
      </w:r>
    </w:p>
    <w:p>
      <w:r>
        <w:rPr>
          <w:b/>
        </w:rPr>
        <w:t xml:space="preserve">Ergebnis: </w:t>
      </w:r>
      <w:r>
        <w:t>Dupilumab vs. Mepolizumab: HR 0,76 (95% CI 0,57–1,01) für Exazerbationen, HR 0,69 (95% CI 0,49–0,98) für Bronchitis. Dupilumab vs. Benralizumab: HR 0,98 (95% CI 0,70–1,40) für Exazerbationen. Keine signifikanten Unterschiede in akutem Atemversagen oder Pneumonie.</w:t>
      </w:r>
    </w:p>
    <w:p>
      <w:r>
        <w:rPr>
          <w:b/>
          <w:sz w:val="19"/>
        </w:rPr>
        <w:t xml:space="preserve">Übertragbarkeit: </w:t>
      </w:r>
      <w:r>
        <w:rPr>
          <w:sz w:val="19"/>
        </w:rPr>
        <w:t>USA-Daten; Patientenselektion nach Eosinophilen und Lungenfunktion nicht verfügbar, daher Residualconfounding nicht ausgeschlossen.</w:t>
      </w:r>
    </w:p>
    <w:p>
      <w:r>
        <w:rPr>
          <w:color w:val="5A7D3A"/>
          <w:sz w:val="18"/>
        </w:rPr>
        <w:t>https://pubmed.ncbi.nlm.nih.gov/42928777/</w:t>
      </w:r>
    </w:p>
    <w:p>
      <w:pPr>
        <w:pStyle w:val="Heading2"/>
      </w:pPr>
      <w:r>
        <w:t>Geführte Imaginationstherapie verbesserte Schlafqualität bei COPD plus Schlafstörungen</w:t>
      </w:r>
    </w:p>
    <w:p>
      <w:r>
        <w:rPr>
          <w:i/>
          <w:color w:val="666666"/>
          <w:sz w:val="18"/>
        </w:rPr>
        <w:t>Ren Q et al.  ·  Actas Esp Psiquiatr  ·  15.10.2026  ·  PMID 42928686</w:t>
      </w:r>
    </w:p>
    <w:p>
      <w:r>
        <w:t>Retrospektive Kohortenstudie mit Propensity-Score-Matching bei stabiler COPD mit Schlafstörungen, Vergleich von kombinierter Therapie (geführte Imagination plus Standard) vs. Standard allein über 12 Wochen.</w:t>
      </w:r>
    </w:p>
    <w:p>
      <w:r>
        <w:rPr>
          <w:b/>
        </w:rPr>
        <w:t xml:space="preserve">Ergebnis: </w:t>
      </w:r>
      <w:r>
        <w:t>Nach Therapie zeigte die Kombinationsgruppe vs. Kontrolle: höhere Schlafeffizienz und Mindestsauerstoffsättigung (p&lt;0,05), niedrigere Schlaflatenz, weniger Aufwachungen, niedrigerer Apnoe-Hypopnoe-Index (p&lt;0,05). PSQI-Score sank in Kombinationsgruppe stärker (p&lt;0,05), ebenso Athens-Insomnia-Skala.</w:t>
      </w:r>
    </w:p>
    <w:p>
      <w:r>
        <w:rPr>
          <w:b/>
          <w:sz w:val="19"/>
        </w:rPr>
        <w:t xml:space="preserve">Übertragbarkeit: </w:t>
      </w:r>
      <w:r>
        <w:rPr>
          <w:sz w:val="19"/>
        </w:rPr>
        <w:t>China; Schlafparameter sind krankheitsübergreifend relevant, Transferbarkeit des Interventionskonzepts begrenzt durch Gesundheitssystem.</w:t>
      </w:r>
    </w:p>
    <w:p>
      <w:r>
        <w:rPr>
          <w:color w:val="5A7D3A"/>
          <w:sz w:val="18"/>
        </w:rPr>
        <w:t>https://pubmed.ncbi.nlm.nih.gov/42928686/</w:t>
      </w:r>
    </w:p>
    <w:p>
      <w:pPr>
        <w:pStyle w:val="Heading2"/>
      </w:pPr>
      <w:r>
        <w:t>IMB-Modell + Achtsamkeit senkte Angst und Depression bei COPD um 44 %</w:t>
      </w:r>
    </w:p>
    <w:p>
      <w:r>
        <w:rPr>
          <w:i/>
          <w:color w:val="666666"/>
          <w:sz w:val="18"/>
        </w:rPr>
        <w:t>Liu W et al.  ·  Actas Esp Psiquiatr  ·  15.10.2026  ·  PMID 42928679</w:t>
      </w:r>
    </w:p>
    <w:p>
      <w:r>
        <w:t>Retrospektive Studie an 168 Patienten mit COPD und Angst/Depression, Vergleich von Routineversorgung vs. 12-Wochen-Kombinationsintervention (IMB-Modell-Bewegung plus Achtsamkeit) mit Skalenmessungen.</w:t>
      </w:r>
    </w:p>
    <w:p>
      <w:r>
        <w:rPr>
          <w:b/>
        </w:rPr>
        <w:t xml:space="preserve">Ergebnis: </w:t>
      </w:r>
      <w:r>
        <w:t>Hamilton-Angst-Skala sank in der Kombinationsgruppe stärker (Unterschied ca. 44 % Reduktion vs. Kontrollgruppe; p&lt;0,001), ebenso Hamilton-Depression-Skala. 6-Minuten-Gehstrecke stieg (p&lt;0,001), FEV1 und FVC verbesserten sich (p&lt;0,001). mMRC-Dyspnoe-Verteilung unterschied sich signifikant (p=0,013).</w:t>
      </w:r>
    </w:p>
    <w:p>
      <w:r>
        <w:rPr>
          <w:b/>
          <w:sz w:val="19"/>
        </w:rPr>
        <w:t xml:space="preserve">Übertragbarkeit: </w:t>
      </w:r>
      <w:r>
        <w:rPr>
          <w:sz w:val="19"/>
        </w:rPr>
        <w:t>China; psychische Komorbidität bei COPD ist in Deutschland relevant, Interventionskonzept erfordert Anpassung an Gesundheitssystem.</w:t>
      </w:r>
    </w:p>
    <w:p>
      <w:r>
        <w:rPr>
          <w:color w:val="5A7D3A"/>
          <w:sz w:val="18"/>
        </w:rPr>
        <w:t>https://pubmed.ncbi.nlm.nih.gov/42928679/</w:t>
      </w:r>
    </w:p>
    <w:p>
      <w:pPr>
        <w:pStyle w:val="Heading2"/>
      </w:pPr>
      <w:r>
        <w:t>Inhalierte Kortikosteroide erhöhten Glaukomrisiko bei COPD nicht signifikant</w:t>
      </w:r>
    </w:p>
    <w:p>
      <w:r>
        <w:rPr>
          <w:i/>
          <w:color w:val="666666"/>
          <w:sz w:val="18"/>
        </w:rPr>
        <w:t>Ben Ghezala I et al.  ·  Int J Chron Obstruct Pulmon Dis  ·  15.10.2026  ·  PMID 42899177</w:t>
      </w:r>
    </w:p>
    <w:p>
      <w:r>
        <w:t>Kohortenstudie aus UK-Primärversorgungsdaten zu Patienten mit COPD ≥40 Jahren, die ein Inhalationsmedikament begannen, mit Nachverfolgung auf Offenwinkelglaukom und Analyse der kumulativen ICS-Exposition.</w:t>
      </w:r>
    </w:p>
    <w:p>
      <w:r>
        <w:rPr>
          <w:b/>
        </w:rPr>
        <w:t xml:space="preserve">Ergebnis: </w:t>
      </w:r>
      <w:r>
        <w:t>Von 84.564 COPD-Patienten entwickelten 732 ein Glaukom (2,64 pro 1.000 Personenjahre). Adjustierte HR für ICS-Einsatz vs. Nicht-Einsatz: 1,14 (95% CI 0,94–1,38); für ≥365 mg kumulative Dosis: HR 1,11 (95% CI 0,83–1,48); für &gt;3 Jahre ICS: HR 1,23 (95% CI 0,90–1,68). Kein statistisch signifikanter Unterschied.</w:t>
      </w:r>
    </w:p>
    <w:p>
      <w:r>
        <w:rPr>
          <w:b/>
          <w:sz w:val="19"/>
        </w:rPr>
        <w:t xml:space="preserve">Übertragbarkeit: </w:t>
      </w:r>
      <w:r>
        <w:rPr>
          <w:sz w:val="19"/>
        </w:rPr>
        <w:t>Großbritannien, vergleichbares Versicherungssystem und Dokumentation wie Deutschland.</w:t>
      </w:r>
    </w:p>
    <w:p>
      <w:r>
        <w:rPr>
          <w:color w:val="5A7D3A"/>
          <w:sz w:val="18"/>
        </w:rPr>
        <w:t>https://pubmed.ncbi.nlm.nih.gov/42899177/</w:t>
      </w:r>
    </w:p>
    <w:p>
      <w:pPr>
        <w:pStyle w:val="Heading1"/>
      </w:pPr>
      <w:r>
        <w:t>Aufgenommen am 26.10.2026</w:t>
      </w:r>
    </w:p>
    <w:p>
      <w:pPr>
        <w:pStyle w:val="Heading2"/>
      </w:pPr>
      <w:r>
        <w:t>Lipidkontrolle senkt Mortalität bei älteren Diabetikern mit Nierenerkrankung stärker als Glykämie</w:t>
      </w:r>
    </w:p>
    <w:p>
      <w:r>
        <w:rPr>
          <w:i/>
          <w:color w:val="666666"/>
          <w:sz w:val="18"/>
        </w:rPr>
        <w:t>Wang X et al.  ·  Clin Interv Aging  ·  20.10.2026  ·  PMID 42927069</w:t>
      </w:r>
    </w:p>
    <w:p>
      <w:r>
        <w:t>Retrospektive Kohortenstudie an 2005 älteren (≥65 J.) und 5973 jüngeren (&lt;65 J.) mit Typ-2-Diabetes und CKD: Assoziation zwischen Zeit im therapeutischen Bereich (TTR) für LDL-C und HbA1c und Gesamtmortalität.</w:t>
      </w:r>
    </w:p>
    <w:p>
      <w:r>
        <w:rPr>
          <w:b/>
        </w:rPr>
        <w:t xml:space="preserve">Ergebnis: </w:t>
      </w:r>
      <w:r>
        <w:t>Bei älteren Erwachsenen: LDL-TTR pro 10-%-Anstieg mit niedrigerer Mortalität assoziiert (HR 0,934; p=0,003), HbA1c-TTR nicht (HR 0,983; p=0,459). Signifikante Interaktion zwischen HbA1c-TTR × LDL-TTR (HR 1,016; p=0,006). Bei jüngeren signifikant beide Effekte, Interaktion nicht. Lipidkontrolle offenbar bei älteren Mehrfacherkrankten prioritär.</w:t>
      </w:r>
    </w:p>
    <w:p>
      <w:r>
        <w:rPr>
          <w:b/>
          <w:sz w:val="19"/>
        </w:rPr>
        <w:t xml:space="preserve">Übertragbarkeit: </w:t>
      </w:r>
      <w:r>
        <w:rPr>
          <w:sz w:val="19"/>
        </w:rPr>
        <w:t>China, Mehrfacherkrankung und Altersaspekt universal, aber Sensitivitätsanalysen zeigen Instabilität</w:t>
      </w:r>
    </w:p>
    <w:p>
      <w:r>
        <w:rPr>
          <w:color w:val="5A7D3A"/>
          <w:sz w:val="18"/>
        </w:rPr>
        <w:t>https://pubmed.ncbi.nlm.nih.gov/42927069/</w:t>
      </w:r>
    </w:p>
    <w:p>
      <w:pPr>
        <w:pStyle w:val="Heading2"/>
      </w:pPr>
      <w:r>
        <w:t>Soziale Isolation bei COPD erhöht Exazerbations- und Mortalitätsrisiko um 32–75 %</w:t>
      </w:r>
    </w:p>
    <w:p>
      <w:r>
        <w:rPr>
          <w:i/>
          <w:color w:val="666666"/>
          <w:sz w:val="18"/>
        </w:rPr>
        <w:t>Liu C et al.  ·  J Glob Health  ·  23.10.2026  ·  PMID 42924627</w:t>
      </w:r>
    </w:p>
    <w:p>
      <w:r>
        <w:t>Longitudinale Kohortenstudie an 3679 COPD-Patienten in China zur Identifikation von Faktoren für Aktivitätseinschränkung und deren Folgen.</w:t>
      </w:r>
    </w:p>
    <w:p>
      <w:r>
        <w:rPr>
          <w:b/>
        </w:rPr>
        <w:t xml:space="preserve">Ergebnis: </w:t>
      </w:r>
      <w:r>
        <w:t>11,3 % der Patienten hatten eingeschränkte soziale Aktivitäten. Diese waren unabhängig mit erhöhtem Risiko für akute Exazerbation assoziiert (aOR 1,32; 95%-KI 1,10–1,58; p=0,003), schwere Exazerbation (aOR 1,30; 95%-KI 1,01–1,66; p=0,038) und Mortalität (HR 1,75; 95%-KI 1,30–2,36; p&lt;0,001). Soziale Isolation sollte routinemäßig als Marker für erhöhtes Exazerbationsrisiko erfasst werden.</w:t>
      </w:r>
    </w:p>
    <w:p>
      <w:r>
        <w:rPr>
          <w:b/>
          <w:sz w:val="19"/>
        </w:rPr>
        <w:t xml:space="preserve">Übertragbarkeit: </w:t>
      </w:r>
      <w:r>
        <w:rPr>
          <w:sz w:val="19"/>
        </w:rPr>
        <w:t>China, vergleichbare epidemiologische Struktur, Outcome-Messung unabhängig von Gesundheitssystem</w:t>
      </w:r>
    </w:p>
    <w:p>
      <w:r>
        <w:rPr>
          <w:color w:val="5A7D3A"/>
          <w:sz w:val="18"/>
        </w:rPr>
        <w:t>https://pubmed.ncbi.nlm.nih.gov/42924627/</w:t>
      </w:r>
    </w:p>
    <w:p>
      <w:pPr>
        <w:pStyle w:val="Heading2"/>
      </w:pPr>
      <w:r>
        <w:t>DXA-gestützte Mehrfacherkrankungsrisiken bei Lehrkräften – Ressourcenungleichheit und Versorgungsbedarf</w:t>
      </w:r>
    </w:p>
    <w:p>
      <w:r>
        <w:rPr>
          <w:i/>
          <w:color w:val="666666"/>
          <w:sz w:val="18"/>
        </w:rPr>
        <w:t>Joubert N et al.  ·  Front Public Health  ·  09.10.2026  ·  PMID 42920728</w:t>
      </w:r>
    </w:p>
    <w:p>
      <w:r>
        <w:t>Querschnittstudie an 136 Lehrkräften in unter-versorgten südafrikanischen Schulen mit DXA-Messung zu Körperzusammensetzung, Metabolischem Syndrom und Mehrfacherkrankungsrisiken.</w:t>
      </w:r>
    </w:p>
    <w:p>
      <w:r>
        <w:rPr>
          <w:b/>
        </w:rPr>
        <w:t xml:space="preserve">Ergebnis: </w:t>
      </w:r>
      <w:r>
        <w:t>Fettmasse-Risiko 91,8 %, Knochenmasse-Risiko 29,9 %, Muskelmasse-Risiko 15,7 %. Metabolisches Syndrom in 53 %. Häufigster kombinierter Phänotyp Knochen-Fett-Risiko (27,6 %), 6 % mit allen drei Risiken. Mehrfacherkrankung stark mit ungünstigen Metaboliten assoziiert. Bevölkerungsstrategie erforderlich: Screening, bewegungsorientierte Prävention, strukturelle Equity.</w:t>
      </w:r>
    </w:p>
    <w:p>
      <w:r>
        <w:rPr>
          <w:b/>
          <w:sz w:val="19"/>
        </w:rPr>
        <w:t xml:space="preserve">Übertragbarkeit: </w:t>
      </w:r>
      <w:r>
        <w:rPr>
          <w:sz w:val="19"/>
        </w:rPr>
        <w:t>Südafrika, aber Mehrfacherkrankung und Ressourcenungleichheit sind globale Versorgungsprobleme</w:t>
      </w:r>
    </w:p>
    <w:p>
      <w:r>
        <w:rPr>
          <w:color w:val="5A7D3A"/>
          <w:sz w:val="18"/>
        </w:rPr>
        <w:t>https://pubmed.ncbi.nlm.nih.gov/42920728/</w:t>
      </w:r>
    </w:p>
    <w:p>
      <w:pPr>
        <w:pStyle w:val="Heading2"/>
      </w:pPr>
      <w:r>
        <w:t>Digitale Studien mit älteren Mehrfacherkrankten: Barrieren und Lösungsstrategien</w:t>
      </w:r>
    </w:p>
    <w:p>
      <w:r>
        <w:rPr>
          <w:i/>
          <w:color w:val="666666"/>
          <w:sz w:val="18"/>
        </w:rPr>
        <w:t>Shepherd V et al.  ·  Trials  ·  27.07.2026  ·  PMID 42908027</w:t>
      </w:r>
    </w:p>
    <w:p>
      <w:r>
        <w:t>Eingebettete qualitative Studie zur Identifikation von Hürden beim Einschluss älterer Patienten mit Mehrfacherkrankung in digitale Versorgungsstudien und zur Entwicklung von Lösungen.</w:t>
      </w:r>
    </w:p>
    <w:p>
      <w:r>
        <w:rPr>
          <w:b/>
        </w:rPr>
        <w:t xml:space="preserve">Ergebnis: </w:t>
      </w:r>
      <w:r>
        <w:t>Kernbarrieren waren niedrige digitale Kompetenz, Misstrauen gegenüber digitalen Kommunikationen und Bedarf für menschliche Unterstützung (n=12 Mitarbeiter, n=25 Teilnehmer befragt). Wirksame Strategien: Telefonsupport, niedrigere Altersgrenze, patientenzentrierte Materialien. Schlussfolgerung: Hybrid-Ansätze (digital + persönlich) essentiell für ältere Patienten.</w:t>
      </w:r>
    </w:p>
    <w:p>
      <w:r>
        <w:rPr>
          <w:b/>
          <w:sz w:val="19"/>
        </w:rPr>
        <w:t xml:space="preserve">Übertragbarkeit: </w:t>
      </w:r>
      <w:r>
        <w:rPr>
          <w:sz w:val="19"/>
        </w:rPr>
        <w:t>UK-Gesundheitssystem, aber Mehrfacherkrankung und digitale Barrieren sind deutschland-relevant</w:t>
      </w:r>
    </w:p>
    <w:p>
      <w:r>
        <w:rPr>
          <w:color w:val="5A7D3A"/>
          <w:sz w:val="18"/>
        </w:rPr>
        <w:t>https://pubmed.ncbi.nlm.nih.gov/42908027/</w:t>
      </w:r>
    </w:p>
    <w:p>
      <w:pPr>
        <w:pStyle w:val="Heading2"/>
      </w:pPr>
      <w:r>
        <w:t>Patientenerfahrungsmessung in der Nephrologie validiert – Europäisches Instrument</w:t>
      </w:r>
    </w:p>
    <w:p>
      <w:r>
        <w:rPr>
          <w:i/>
          <w:color w:val="666666"/>
          <w:sz w:val="18"/>
        </w:rPr>
        <w:t>Moharra M et al.  ·  J Nephrol  ·  22.10.2026  ·  PMID 42762223</w:t>
      </w:r>
    </w:p>
    <w:p>
      <w:r>
        <w:t>Validierung eines Patient-Reported Experience Measure (Kidney PREM) in Spanisch und Katalanisch an 575 Patienten mit chronischer Nierenerkrankung zur Qualitätsmessung in der Nephrologie.</w:t>
      </w:r>
    </w:p>
    <w:p>
      <w:r>
        <w:rPr>
          <w:b/>
        </w:rPr>
        <w:t xml:space="preserve">Ergebnis: </w:t>
      </w:r>
      <w:r>
        <w:t>Interne Konsistenz hoch (Cronbachs α 0,93–0,94 für beide Sprachversionen). Bekanntheitsvalidität bestätigt. Comparative Fit Index 0,90, Tucker-Lewis Index 0,90 – akzeptable Modellpassung. Spanische Version ermöglicht standardisierte Messung von patientenbezogener Versorgungsqualität über Sprachgrenzen.</w:t>
      </w:r>
    </w:p>
    <w:p>
      <w:r>
        <w:rPr>
          <w:b/>
          <w:sz w:val="19"/>
        </w:rPr>
        <w:t xml:space="preserve">Übertragbarkeit: </w:t>
      </w:r>
      <w:r>
        <w:rPr>
          <w:sz w:val="19"/>
        </w:rPr>
        <w:t>Spanien/Katalonien, Sozialversicherungssystem vergleichbar mit Deutschland, validiertes Messinstrument</w:t>
      </w:r>
    </w:p>
    <w:p>
      <w:r>
        <w:rPr>
          <w:color w:val="5A7D3A"/>
          <w:sz w:val="18"/>
        </w:rPr>
        <w:t>https://pubmed.ncbi.nlm.nih.gov/42762223/</w:t>
      </w:r>
    </w:p>
    <w:p>
      <w:pPr>
        <w:pStyle w:val="Heading2"/>
      </w:pPr>
      <w:r>
        <w:t>Sechs Phänotypen chronischer Lungenerkrankung identifiziert – externe Validierung</w:t>
      </w:r>
    </w:p>
    <w:p>
      <w:r>
        <w:rPr>
          <w:i/>
          <w:color w:val="666666"/>
          <w:sz w:val="18"/>
        </w:rPr>
        <w:t>Zhang J et al.  ·  Respir Med  ·  15.09.2026  ·  PMID 42744204</w:t>
      </w:r>
    </w:p>
    <w:p>
      <w:r>
        <w:t>Hypothesis-freie Clusteranalyse obstruktiver Lungenerkrankungen an 1473 US-Teilnehmern (Framingham) mit externer Validierung an 1080 Niederländern (Rotterdam).</w:t>
      </w:r>
    </w:p>
    <w:p>
      <w:r>
        <w:rPr>
          <w:b/>
        </w:rPr>
        <w:t xml:space="preserve">Ergebnis: </w:t>
      </w:r>
      <w:r>
        <w:t>Sechs klinisch interpretierbare Cluster: Cluster 1–3 mit erhaltener Lungenfunktion (unterschiedliche Symptomatik), Cluster 4 mild beeinträchtigt, Cluster 5 moderat beeinträchtigt (v.a. ältere Raucher), Cluster 6 schwer beeinträchtigt mit Dyspnoe und Adipositas. Mortalitätsrisiko in Cluster 4 und 6 erhöht. Phänotypen extern validiert.</w:t>
      </w:r>
    </w:p>
    <w:p>
      <w:r>
        <w:rPr>
          <w:b/>
          <w:sz w:val="19"/>
        </w:rPr>
        <w:t xml:space="preserve">Übertragbarkeit: </w:t>
      </w:r>
      <w:r>
        <w:rPr>
          <w:sz w:val="19"/>
        </w:rPr>
        <w:t>USA/Niederlande, Spirometrie und Symptome sind universell vergleichbar, Phänotypisierung informiert Prognose</w:t>
      </w:r>
    </w:p>
    <w:p>
      <w:r>
        <w:rPr>
          <w:color w:val="5A7D3A"/>
          <w:sz w:val="18"/>
        </w:rPr>
        <w:t>https://pubmed.ncbi.nlm.nih.gov/42744204/</w:t>
      </w:r>
    </w:p>
    <w:p>
      <w:pPr>
        <w:pStyle w:val="Heading1"/>
      </w:pPr>
      <w:r>
        <w:t>Aufgenommen am 25.10.2026</w:t>
      </w:r>
    </w:p>
    <w:p>
      <w:pPr>
        <w:pStyle w:val="Heading2"/>
      </w:pPr>
      <w:r>
        <w:t>Respiratorisches Versagen bei COPD-Exazerbation: Neun Risikofaktoren identifiziert</w:t>
      </w:r>
    </w:p>
    <w:p>
      <w:r>
        <w:rPr>
          <w:i/>
          <w:color w:val="666666"/>
          <w:sz w:val="18"/>
        </w:rPr>
        <w:t>Liu D et al.  ·  Clin Respir J  ·  Okt. 2026  ·  PMID 42919454</w:t>
      </w:r>
    </w:p>
    <w:p>
      <w:r>
        <w:t>Systematische Übersicht und Metaanalyse von 23 Studien (4.212 Patienten) zur Häufigkeit und Risikofaktoren für respiratorisches Versagen bei hospitalisierten Patienten mit akuter COPD-Exazerbation in China.</w:t>
      </w:r>
    </w:p>
    <w:p>
      <w:r>
        <w:rPr>
          <w:b/>
        </w:rPr>
        <w:t xml:space="preserve">Ergebnis: </w:t>
      </w:r>
      <w:r>
        <w:t>Ereignisquote respiratorisches Versagen 41% (95%-KI 0,37–0,46). Neun unabhängige Risikofaktoren: kardiale Komorbiditäten (OR 2,12), höheres Alter (OR 1,22), erhöhtes Neutrophil-Lymphozyten-Verhältnis (OR 1,87), Procalcitonin (OR 2,27), D-Dimer (OR 1,72), ≥2 Exazerbationen/Jahr (OR 2,48), APACHE-II-Score (OR 1,29), CRP (OR 1,13), FEV₁% erniedrigt (OR 0,81).</w:t>
      </w:r>
    </w:p>
    <w:p>
      <w:r>
        <w:rPr>
          <w:b/>
          <w:sz w:val="19"/>
        </w:rPr>
        <w:t xml:space="preserve">Übertragbarkeit: </w:t>
      </w:r>
      <w:r>
        <w:rPr>
          <w:sz w:val="19"/>
        </w:rPr>
        <w:t>China, Unterschiede in Versorgungsstruktur und Patientenpopulation; Befunde zur Risikostratifizierung jedoch übertragbar</w:t>
      </w:r>
    </w:p>
    <w:p>
      <w:r>
        <w:rPr>
          <w:color w:val="5A7D3A"/>
          <w:sz w:val="18"/>
        </w:rPr>
        <w:t>https://pubmed.ncbi.nlm.nih.gov/42919454/</w:t>
      </w:r>
    </w:p>
    <w:p>
      <w:pPr>
        <w:pStyle w:val="Heading2"/>
      </w:pPr>
      <w:r>
        <w:t>Knochendichte und Dialysedauer vorhersagend für körperlichen Verfall bei Hämodialysepatienten</w:t>
      </w:r>
    </w:p>
    <w:p>
      <w:r>
        <w:rPr>
          <w:i/>
          <w:color w:val="666666"/>
          <w:sz w:val="18"/>
        </w:rPr>
        <w:t>Madeira EAA et al.  ·  BMC Nephrol  ·  22.10.2026  ·  PMID 42919210</w:t>
      </w:r>
    </w:p>
    <w:p>
      <w:r>
        <w:t>Prospektive Beobachtungsstudie an 103 Hämodialysepatienten über 18,6 Monate zur Identifikation von Prädiktoren für körperliche Leistungsabnahme gemessen mit SPPB.</w:t>
      </w:r>
    </w:p>
    <w:p>
      <w:r>
        <w:rPr>
          <w:b/>
        </w:rPr>
        <w:t xml:space="preserve">Ergebnis: </w:t>
      </w:r>
      <w:r>
        <w:t>17,5% (18/103) erlebten körperlichen Verfall. Unabhängige Prädiktoren: niedrigere Oberschenkel-Knochenmineraldichte (OR 0,997, 95%-KI 0,991–0,999) und längere Dialysedauer (OR 1,009, 95%-KI 1,001–1,039). Baseline-Physiologie (z.B. Timed-up-and-go) diskriminierte nicht signifikant.</w:t>
      </w:r>
    </w:p>
    <w:p>
      <w:r>
        <w:rPr>
          <w:b/>
          <w:sz w:val="19"/>
        </w:rPr>
        <w:t xml:space="preserve">Übertragbarkeit: </w:t>
      </w:r>
      <w:r>
        <w:rPr>
          <w:sz w:val="19"/>
        </w:rPr>
        <w:t>Brasilien; Methodik und Ergebnis für deutsche Dialysezentren übertragbar</w:t>
      </w:r>
    </w:p>
    <w:p>
      <w:r>
        <w:rPr>
          <w:color w:val="5A7D3A"/>
          <w:sz w:val="18"/>
        </w:rPr>
        <w:t>https://pubmed.ncbi.nlm.nih.gov/42919210/</w:t>
      </w:r>
    </w:p>
    <w:p>
      <w:pPr>
        <w:pStyle w:val="Heading2"/>
      </w:pPr>
      <w:r>
        <w:t>CGM bremst Nierenfunktionsverschlechterung bei Diabetes und CKD</w:t>
      </w:r>
    </w:p>
    <w:p>
      <w:r>
        <w:rPr>
          <w:i/>
          <w:color w:val="666666"/>
          <w:sz w:val="18"/>
        </w:rPr>
        <w:t>Hannah KL et al.  ·  Endocrinol Diabetes Metab  ·  Nov. 2026  ·  PMID 42912845</w:t>
      </w:r>
    </w:p>
    <w:p>
      <w:r>
        <w:t>Retrospektive Kohortenstudie in USA (Truveta EMR) mit Propensity Matching zu Effekten von Echtzeit-CGM auf Nierenfunktion bei insulinbehandelten Patienten mit Diabetes und CKD (eGFR 15–89).</w:t>
      </w:r>
    </w:p>
    <w:p>
      <w:r>
        <w:rPr>
          <w:b/>
        </w:rPr>
        <w:t xml:space="preserve">Ergebnis: </w:t>
      </w:r>
      <w:r>
        <w:t>CGM-Nutzer (n=518) zeigten signifikant langsamere eGFR-Abnahme als Nicht-Nutzer über 3 Jahre. Kein signifikanter Unterschied in Albumin-Kreatinin-Ratio. CGM assoziiert mit stärkerer HbA₁c-Senkung. Befund unterstützt CGM-Einsatz bei Diabetes und CKD.</w:t>
      </w:r>
    </w:p>
    <w:p>
      <w:r>
        <w:rPr>
          <w:b/>
          <w:sz w:val="19"/>
        </w:rPr>
        <w:t xml:space="preserve">Übertragbarkeit: </w:t>
      </w:r>
      <w:r>
        <w:rPr>
          <w:sz w:val="19"/>
        </w:rPr>
        <w:t>USA, Daten aus großem EMR-Netzwerk; Ergebnis zur Technologiebewertung in Deutschland relevant</w:t>
      </w:r>
    </w:p>
    <w:p>
      <w:r>
        <w:rPr>
          <w:color w:val="5A7D3A"/>
          <w:sz w:val="18"/>
        </w:rPr>
        <w:t>https://pubmed.ncbi.nlm.nih.gov/42912845/</w:t>
      </w:r>
    </w:p>
    <w:p>
      <w:pPr>
        <w:pStyle w:val="Heading2"/>
      </w:pPr>
      <w:r>
        <w:t>Übergänge von Klinik zu Hause bei chronischen Erkrankungen sind unzureichend koordiniert</w:t>
      </w:r>
    </w:p>
    <w:p>
      <w:r>
        <w:rPr>
          <w:i/>
          <w:color w:val="666666"/>
          <w:sz w:val="18"/>
        </w:rPr>
        <w:t>Castro LY et al.  ·  Rev Gaucha Enferm  ·  16.10.2026  ·  PMID 42912024</w:t>
      </w:r>
    </w:p>
    <w:p>
      <w:r>
        <w:t>Gemischte Methoden-Studie in Brasilien (quantitativ: 166 Patienten nach Entlassung mit Care Transitions Measure; qualitativ: zwei Fokusgruppen mit 9 und 7 Fachpersonen) zu Übergängen bei chronischen Erkrankungen.</w:t>
      </w:r>
    </w:p>
    <w:p>
      <w:r>
        <w:rPr>
          <w:b/>
        </w:rPr>
        <w:t xml:space="preserve">Ergebnis: </w:t>
      </w:r>
      <w:r>
        <w:t>Gesamtbewertung Übergänge unbefriedigend (62,62±9,03 von 100). Höchste Scores bei Gesundheitsmanagement (73,24±10,24), niedrigste bei Versorgungsplan (56,12±17,56). Männer bessere Scores als Frauen bei Gesundheitsmanagement und Gesamtbewertung. Qualitativ: Mängel in Entlassungsplanung, interprofessioneller Kommunikation und Patientenbeteiligung identifiziert.</w:t>
      </w:r>
    </w:p>
    <w:p>
      <w:r>
        <w:rPr>
          <w:b/>
          <w:sz w:val="19"/>
        </w:rPr>
        <w:t xml:space="preserve">Übertragbarkeit: </w:t>
      </w:r>
      <w:r>
        <w:rPr>
          <w:sz w:val="19"/>
        </w:rPr>
        <w:t>Brasilien, privates System; Befunde zu Koordinationslücken in Deutschland relevant</w:t>
      </w:r>
    </w:p>
    <w:p>
      <w:r>
        <w:rPr>
          <w:color w:val="5A7D3A"/>
          <w:sz w:val="18"/>
        </w:rPr>
        <w:t>https://pubmed.ncbi.nlm.nih.gov/42912024/</w:t>
      </w:r>
    </w:p>
    <w:p>
      <w:pPr>
        <w:pStyle w:val="Heading2"/>
      </w:pPr>
      <w:r>
        <w:t>Krankheitsstabilität nach 6 Monaten sagt 12-Monats-Verlauf bei COPD voraus</w:t>
      </w:r>
    </w:p>
    <w:p>
      <w:r>
        <w:rPr>
          <w:i/>
          <w:color w:val="666666"/>
          <w:sz w:val="18"/>
        </w:rPr>
        <w:t>Ou WF et al.  ·  Ther Adv Respir Dis  ·  22.10.2026  ·  PMID 42911762</w:t>
      </w:r>
    </w:p>
    <w:p>
      <w:r>
        <w:t>Retrospektive multizentrische Kohortenstudie an 250 COPD-Patienten aus Taiwan zur longitudinalen Stabilität der Erkrankung (definiert als keine schweren Exazerbationen, CAAT-Score &lt;2-Punkt-Verschlechterung, FEV₁-Erhalt) zwischen 6 und 12 Monaten.</w:t>
      </w:r>
    </w:p>
    <w:p>
      <w:r>
        <w:rPr>
          <w:b/>
        </w:rPr>
        <w:t xml:space="preserve">Ergebnis: </w:t>
      </w:r>
      <w:r>
        <w:t>45,6% (114/250) erreichten 6-Monats-Stabilität, 37,6% (94/250) 12-Monats-Stabilität. Von Patienten mit 6-Monats-Stabilität erreichten 68,4% auch 12-Monats-Stabilität vs. 11,8% ohne Stabilität. 6-Monats-Stabilität stark mit 12-Monats-Outcome assoziiert (aOR 11,72, 95%-KI 5,67–24,22). Stabilität im erweiterten Kohort ähnlich (aOR 14,33).</w:t>
      </w:r>
    </w:p>
    <w:p>
      <w:r>
        <w:rPr>
          <w:b/>
          <w:sz w:val="19"/>
        </w:rPr>
        <w:t xml:space="preserve">Übertragbarkeit: </w:t>
      </w:r>
      <w:r>
        <w:rPr>
          <w:sz w:val="19"/>
        </w:rPr>
        <w:t>Taiwan, Versorgungsstruktur und Methodik unterschiedlich; Konzept der Krankheitsstabilität international relevant</w:t>
      </w:r>
    </w:p>
    <w:p>
      <w:r>
        <w:rPr>
          <w:color w:val="5A7D3A"/>
          <w:sz w:val="18"/>
        </w:rPr>
        <w:t>https://pubmed.ncbi.nlm.nih.gov/42911762/</w:t>
      </w:r>
    </w:p>
    <w:p>
      <w:pPr>
        <w:pStyle w:val="Heading2"/>
      </w:pPr>
      <w:r>
        <w:t>Statine vor Operation senken Sterblichkeit bei chronischen Subduralhämatomen</w:t>
      </w:r>
    </w:p>
    <w:p>
      <w:r>
        <w:rPr>
          <w:i/>
          <w:color w:val="666666"/>
          <w:sz w:val="18"/>
        </w:rPr>
        <w:t>Posti JP et al.  ·  Age Ageing  ·  03.08.2026  ·  PMID 42910913</w:t>
      </w:r>
    </w:p>
    <w:p>
      <w:r>
        <w:t>Finnische Registerstudie an 9.001 operierten Patienten mit chronischem Subduralhämatom zur Assoziation zwischen präoperativer Statin-Nutzung und kurzfristigen sowie langfristigen Ergebnissen.</w:t>
      </w:r>
    </w:p>
    <w:p>
      <w:r>
        <w:rPr>
          <w:b/>
        </w:rPr>
        <w:t xml:space="preserve">Ergebnis: </w:t>
      </w:r>
      <w:r>
        <w:t>30-Tage-Mortalität 3,3% unter Statin vs. 4,5% ohne (adjustierte HR 0,57, 95%-KI 0,44–0,73). Krankenhausaufenthalt kürzer unter Statinen (22,1 vs. 26,3 Tage, p=0,002). Ein-Jahres-Mortalität 13,3% vs. 15,4% (HR 0,66, 95%-KI 0,58–0,75). Wiederoperationsraten ähnlich. Befund deutet auf Schutzeffekt hin, Mechanismus unklar.</w:t>
      </w:r>
    </w:p>
    <w:p>
      <w:r>
        <w:rPr>
          <w:b/>
          <w:sz w:val="19"/>
        </w:rPr>
        <w:t xml:space="preserve">Übertragbarkeit: </w:t>
      </w:r>
      <w:r>
        <w:rPr>
          <w:sz w:val="19"/>
        </w:rPr>
        <w:t>Finnland, vergleichbares nordeuropäisches System; Registerqualität hoch</w:t>
      </w:r>
    </w:p>
    <w:p>
      <w:r>
        <w:rPr>
          <w:color w:val="5A7D3A"/>
          <w:sz w:val="18"/>
        </w:rPr>
        <w:t>https://pubmed.ncbi.nlm.nih.gov/42910913/</w:t>
      </w:r>
    </w:p>
    <w:p>
      <w:pPr>
        <w:pStyle w:val="Heading1"/>
      </w:pPr>
      <w:r>
        <w:t>Aufgenommen am 24.10.2026</w:t>
      </w:r>
    </w:p>
    <w:p>
      <w:pPr>
        <w:pStyle w:val="Heading2"/>
      </w:pPr>
      <w:r>
        <w:t>Hypertonie führt strukturiert zu Herzkrankheit und Schlaganfall, Diabetes verbindet kardiovaskuläre und Multiorgan-Wege</w:t>
      </w:r>
    </w:p>
    <w:p>
      <w:r>
        <w:rPr>
          <w:i/>
          <w:color w:val="666666"/>
          <w:sz w:val="18"/>
        </w:rPr>
        <w:t>Wang Y et al.  ·  JMIR Public Health Surveill  ·  23.10.2026  ·  PMID 42912827</w:t>
      </w:r>
    </w:p>
    <w:p>
      <w:r>
        <w:t>Retrospektive Kohortenanalyse von 34.099 stationären Patienten mit Hypertonie in ländlichen Gegenden Henans zu zeitlichen Mustern der Mehrfacherkrankungsentwicklung mittels Netzwerkanalyse.</w:t>
      </w:r>
    </w:p>
    <w:p>
      <w:r>
        <w:rPr>
          <w:b/>
        </w:rPr>
        <w:t xml:space="preserve">Ergebnis: </w:t>
      </w:r>
      <w:r>
        <w:t>Zeitliches Komorbiditätsnetzwerk zeigte dichtes Zentrum aus Hypertonie, atherosklerotischer Herzkrankheit und zerebralem Infarkt; Typ-2-Diabetes in Brückenfunktion zwischen kardiovaskulären und Multisystem-Clustern. Geschlechtsspezifische Unterschiede: frühere Koronarbeteiligung bei Frauen, direktere Schlaganfall-Progression bei Männern.</w:t>
      </w:r>
    </w:p>
    <w:p>
      <w:r>
        <w:rPr>
          <w:b/>
          <w:sz w:val="19"/>
        </w:rPr>
        <w:t xml:space="preserve">Übertragbarkeit: </w:t>
      </w:r>
      <w:r>
        <w:rPr>
          <w:sz w:val="19"/>
        </w:rPr>
        <w:t>China/ländlich, EHR-Daten 2019–2023, zeigt strukturierte Krankheitsprogression jenseits von Gesundheitssystemen.</w:t>
      </w:r>
    </w:p>
    <w:p>
      <w:r>
        <w:rPr>
          <w:color w:val="5A7D3A"/>
          <w:sz w:val="18"/>
        </w:rPr>
        <w:t>https://pubmed.ncbi.nlm.nih.gov/42912827/</w:t>
      </w:r>
    </w:p>
    <w:p>
      <w:pPr>
        <w:pStyle w:val="Heading2"/>
      </w:pPr>
      <w:r>
        <w:t>Zu niedrige Proteinzufuhr erhöht Nierenversagen bei CKD um 42 Prozent</w:t>
      </w:r>
    </w:p>
    <w:p>
      <w:r>
        <w:rPr>
          <w:i/>
          <w:color w:val="666666"/>
          <w:sz w:val="18"/>
        </w:rPr>
        <w:t>Suh SH et al.  ·  JAMA Netw Open  ·  01.10.2026  ·  PMID 42911593</w:t>
      </w:r>
    </w:p>
    <w:p>
      <w:r>
        <w:t>Prospektive Kohortenstudie mit 1.861 CKD-Patienten (Stad. 1–5) aus Südkorea zur Assoziation zwischen täglicher Proteinaufnahme und Nierenversagen oder Sterblichkeit.</w:t>
      </w:r>
    </w:p>
    <w:p>
      <w:r>
        <w:rPr>
          <w:b/>
        </w:rPr>
        <w:t xml:space="preserve">Ergebnis: </w:t>
      </w:r>
      <w:r>
        <w:t>Patienten mit Proteinaufnahme &lt;0,6 g/kg/Tag (vs. &gt;1,2 g/kg/Tag) hatten erhöhtes Risiko für Nierenversagen-Ersatztherapie (sHR 1,42, 95% KI 1,09–1,85) und All-Cause-Mortalität (sHR 2,17, 95% KI 1,17–4,03). Rigide Proteinrestriktion war nicht mit Nephroprotektionen assoziiert.</w:t>
      </w:r>
    </w:p>
    <w:p>
      <w:r>
        <w:rPr>
          <w:b/>
          <w:sz w:val="19"/>
        </w:rPr>
        <w:t xml:space="preserve">Übertragbarkeit: </w:t>
      </w:r>
      <w:r>
        <w:rPr>
          <w:sz w:val="19"/>
        </w:rPr>
        <w:t>Südkorea, vergleichbares Sozialversicherungssystem, Befund zu Ernährung unabhängig vom System.</w:t>
      </w:r>
    </w:p>
    <w:p>
      <w:r>
        <w:rPr>
          <w:color w:val="5A7D3A"/>
          <w:sz w:val="18"/>
        </w:rPr>
        <w:t>https://pubmed.ncbi.nlm.nih.gov/42911593/</w:t>
      </w:r>
    </w:p>
    <w:p>
      <w:pPr>
        <w:pStyle w:val="Heading2"/>
      </w:pPr>
      <w:r>
        <w:t>Soziale Unterstützung und emotionale Symptome verbessern Selbstmanagement bei Hepatitis-B-Patienten um 4,8 und 1,9 Punkte</w:t>
      </w:r>
    </w:p>
    <w:p>
      <w:r>
        <w:rPr>
          <w:i/>
          <w:color w:val="666666"/>
          <w:sz w:val="18"/>
        </w:rPr>
        <w:t>Yi WT et al.  ·  Front Public Health  ·  07.10.2026  ·  PMID 42908953</w:t>
      </w:r>
    </w:p>
    <w:p>
      <w:r>
        <w:t>Multizentrische Querschnittstudie mit 583 Hepatitis-B-Patienten in China zur unabhängigen Assoziation von sozialer Unterstützung und krankheitsspezifischen Lebensqualitätsdomänen mit Selbstmanagement.</w:t>
      </w:r>
    </w:p>
    <w:p>
      <w:r>
        <w:rPr>
          <w:b/>
        </w:rPr>
        <w:t xml:space="preserve">Ergebnis: </w:t>
      </w:r>
      <w:r>
        <w:t>Mittlerer Selbstmanagement-Score 85,03±19,38. Soziale Unterstützung (B=0,577, 95% KI 0,416–0,739), emotionale Symptomdomäne (B=0,170, 95% KI 0,039–0,301) und weniger soziale Stigmatisierung (B=0,235, 95% KI 0,082–0,388) waren unabhängig positiv assoziiert mit Selbstmanagement. Gesamtmodell erklärte 37,9% der Varianz.</w:t>
      </w:r>
    </w:p>
    <w:p>
      <w:r>
        <w:rPr>
          <w:b/>
          <w:sz w:val="19"/>
        </w:rPr>
        <w:t xml:space="preserve">Übertragbarkeit: </w:t>
      </w:r>
      <w:r>
        <w:rPr>
          <w:sz w:val="19"/>
        </w:rPr>
        <w:t>China, Mehrfacherkrankung im Kontext chronischer Virushepatitis, Versorgungsprinzipien für andere Länder adaptierbar.</w:t>
      </w:r>
    </w:p>
    <w:p>
      <w:r>
        <w:rPr>
          <w:color w:val="5A7D3A"/>
          <w:sz w:val="18"/>
        </w:rPr>
        <w:t>https://pubmed.ncbi.nlm.nih.gov/42908953/</w:t>
      </w:r>
    </w:p>
    <w:p>
      <w:pPr>
        <w:pStyle w:val="Heading2"/>
      </w:pPr>
      <w:r>
        <w:t>Frühe Dreifachtherapie bei COPD reduzierte Exazerbationen stärker als späte Eskalation</w:t>
      </w:r>
    </w:p>
    <w:p>
      <w:r>
        <w:rPr>
          <w:i/>
          <w:color w:val="666666"/>
          <w:sz w:val="18"/>
        </w:rPr>
        <w:t>Rogliani P et al.  ·  Respir Med  ·  05.10.2026  ·  PMID 42833477</w:t>
      </w:r>
    </w:p>
    <w:p>
      <w:r>
        <w:t>Pooled-Analyse von sechs Real-World-Studien zur Frage, ob frühe versus späte Eskalation zur Tripletherapie bei COPD-Patienten unterschiedliche Ergebnisse bringt.</w:t>
      </w:r>
    </w:p>
    <w:p>
      <w:r>
        <w:rPr>
          <w:b/>
        </w:rPr>
        <w:t xml:space="preserve">Ergebnis: </w:t>
      </w:r>
      <w:r>
        <w:t>Frühe Eskalation (≤48 Monate nach Diagnose) führte zu größeren Reduktionen der mittleren Exazerbationen pro Jahr und höheren Raten von Erkrankungsstabilität und -kontrolle bei 12 Monaten im Vergleich zu späterer Eskalation; der Unterschied war bei 3 und 6 Monaten nicht signifikant.</w:t>
      </w:r>
    </w:p>
    <w:p>
      <w:r>
        <w:rPr>
          <w:b/>
          <w:sz w:val="19"/>
        </w:rPr>
        <w:t xml:space="preserve">Übertragbarkeit: </w:t>
      </w:r>
      <w:r>
        <w:rPr>
          <w:sz w:val="19"/>
        </w:rPr>
        <w:t>Südeuropa und Belgien, Real-World-Daten, vergleichbare ambulante Versorgungsstrukturen.</w:t>
      </w:r>
    </w:p>
    <w:p>
      <w:r>
        <w:rPr>
          <w:color w:val="5A7D3A"/>
          <w:sz w:val="18"/>
        </w:rPr>
        <w:t>https://pubmed.ncbi.nlm.nih.gov/42833477/</w:t>
      </w:r>
    </w:p>
    <w:p>
      <w:pPr>
        <w:pStyle w:val="Heading2"/>
      </w:pPr>
      <w:r>
        <w:t>Mehrfacherkrankung erhöht Sarkopenie-Risiko um 85 Prozent bei Frauen und 102 Prozent bei Männern</w:t>
      </w:r>
    </w:p>
    <w:p>
      <w:r>
        <w:rPr>
          <w:i/>
          <w:color w:val="666666"/>
          <w:sz w:val="18"/>
        </w:rPr>
        <w:t>Guerrero-Wyss MT et al.  ·  Exp Gerontol  ·  20.09.2026  ·  PMID 42764080</w:t>
      </w:r>
    </w:p>
    <w:p>
      <w:r>
        <w:t>Prospektive Kohortenstudie mit 47.417 UK-Biobank-Teilnehmern ohne Sarkopenie zu Zusammenhang zwischen Mehrfacherkrankung und neu aufgetretener Sarkopenie.</w:t>
      </w:r>
    </w:p>
    <w:p>
      <w:r>
        <w:rPr>
          <w:b/>
        </w:rPr>
        <w:t xml:space="preserve">Ergebnis: </w:t>
      </w:r>
      <w:r>
        <w:t>Während 11,5 Jahren Follow-up entwickelten 1.065 Teilnehmer Sarkopenie. Mehrfacherkrankung war mit höherem Sarkopenie-Risiko assoziiert (HR 1,85 bei Frauen, 95% KI 1,52–2,24; HR 2,02 bei Männern 95% KI 1,57–2,60). Standardisiertes 10-Jahres-Risiko stieg von 1,73% auf 3,15% bei Frauen und von 0,88% auf 1,76% bei Männern.</w:t>
      </w:r>
    </w:p>
    <w:p>
      <w:r>
        <w:rPr>
          <w:b/>
          <w:sz w:val="19"/>
        </w:rPr>
        <w:t xml:space="preserve">Übertragbarkeit: </w:t>
      </w:r>
      <w:r>
        <w:rPr>
          <w:sz w:val="19"/>
        </w:rPr>
        <w:t>Großbritannien, vergleichbare Primärversorgung, gute Datenqualität.</w:t>
      </w:r>
    </w:p>
    <w:p>
      <w:r>
        <w:rPr>
          <w:color w:val="5A7D3A"/>
          <w:sz w:val="18"/>
        </w:rPr>
        <w:t>https://pubmed.ncbi.nlm.nih.gov/42764080/</w:t>
      </w:r>
    </w:p>
    <w:p>
      <w:pPr>
        <w:pStyle w:val="Heading2"/>
      </w:pPr>
      <w:r>
        <w:t>Rauchen bei chronischen Atemwegserkrankungen erhöht Sterblichkeit um 34–70 Prozent</w:t>
      </w:r>
    </w:p>
    <w:p>
      <w:r>
        <w:rPr>
          <w:i/>
          <w:color w:val="666666"/>
          <w:sz w:val="18"/>
        </w:rPr>
        <w:t>Fernández-Fernández S et al.  ·  Respir Med  ·  07.09.2026  ·  PMID 42705490</w:t>
      </w:r>
    </w:p>
    <w:p>
      <w:r>
        <w:t>Prospektive Bevölkerungsstudie in Spanien mit 65.990 Personen ab 15 Jahren zu Faktoren für fortgesetztes Rauchen bei Asthma oder COPD und dessen Auswirkungen auf die Mortalität.</w:t>
      </w:r>
    </w:p>
    <w:p>
      <w:r>
        <w:rPr>
          <w:b/>
        </w:rPr>
        <w:t xml:space="preserve">Ergebnis: </w:t>
      </w:r>
      <w:r>
        <w:t>Prävalenz des aktuellen Rauchens 21,3% bei Asthma und 21,8% bei COPD. Fortgesetztes Rauchen war mit höherer Sterblichkeit assoziiert (RR 1,70 bei Asthma, 95% KI 1,16–2,51; RR 1,34 bei COPD 95% KI 1,07–1,67). Jüngere, weniger gebildete und bewegungslose Personen rauchten eher weiter.</w:t>
      </w:r>
    </w:p>
    <w:p>
      <w:r>
        <w:rPr>
          <w:b/>
          <w:sz w:val="19"/>
        </w:rPr>
        <w:t xml:space="preserve">Übertragbarkeit: </w:t>
      </w:r>
      <w:r>
        <w:rPr>
          <w:sz w:val="19"/>
        </w:rPr>
        <w:t>Spanien, nationale Gesundheitserhebungen 2011–2017, deutsches Präventionssystem vergleichbar.</w:t>
      </w:r>
    </w:p>
    <w:p>
      <w:r>
        <w:rPr>
          <w:color w:val="5A7D3A"/>
          <w:sz w:val="18"/>
        </w:rPr>
        <w:t>https://pubmed.ncbi.nlm.nih.gov/42705490/</w:t>
      </w:r>
    </w:p>
    <w:p>
      <w:pPr>
        <w:pStyle w:val="Heading1"/>
      </w:pPr>
      <w:r>
        <w:t>Aufgenommen am 23.10.2026</w:t>
      </w:r>
    </w:p>
    <w:p>
      <w:pPr>
        <w:pStyle w:val="Heading2"/>
      </w:pPr>
      <w:r>
        <w:t>Blut-Eosinophile prognostizieren ICU-Aufnahme bei AECOPD nicht besser als GOLD-Stadium</w:t>
      </w:r>
    </w:p>
    <w:p>
      <w:r>
        <w:rPr>
          <w:i/>
          <w:color w:val="666666"/>
          <w:sz w:val="18"/>
        </w:rPr>
        <w:t>Ozden Sertcelik U et al.  ·  BMC Pulm Med  ·  11.09.2026  ·  PMID 42907946</w:t>
      </w:r>
    </w:p>
    <w:p>
      <w:r>
        <w:t>Retrospektive Kohortenstudie mit 385 Patienten ≥40 Jahren, hospitalisiert mit AECOPD 2020–2024, untersuchte Vorhersagekraft der Blut-Eosinophilen-Zahl (&lt;150, 150–299, ≥300 Zellen/µL) für ICU-Aufnahme nach Competing-Risks-Analyse.</w:t>
      </w:r>
    </w:p>
    <w:p>
      <w:r>
        <w:rPr>
          <w:b/>
        </w:rPr>
        <w:t xml:space="preserve">Ergebnis: </w:t>
      </w:r>
      <w:r>
        <w:t>Eosinophilen-Gruppen waren nicht signifikant mit ICU-Aufnahme assoziiert. GOLD-Stadium E war der stärkste unabhängige Prädiktor (adjustierte Subdistributions-Hazard-Ratio 3,35; 95%-KI 1,57–7,15; p=0,002 vs. GOLD A). Eosinophilen-Level zeigten nach Adjustierung für Schweregrad und konkurrierende Risiken keine unabhängige Assoziation.</w:t>
      </w:r>
    </w:p>
    <w:p>
      <w:r>
        <w:rPr>
          <w:b/>
          <w:sz w:val="19"/>
        </w:rPr>
        <w:t xml:space="preserve">Übertragbarkeit: </w:t>
      </w:r>
      <w:r>
        <w:rPr>
          <w:sz w:val="19"/>
        </w:rPr>
        <w:t>Türkei, aber universelle pathophysiologische Fragestellung unabhängig von System</w:t>
      </w:r>
    </w:p>
    <w:p>
      <w:r>
        <w:rPr>
          <w:color w:val="5A7D3A"/>
          <w:sz w:val="18"/>
        </w:rPr>
        <w:t>https://pubmed.ncbi.nlm.nih.gov/42907946/</w:t>
      </w:r>
    </w:p>
    <w:p>
      <w:pPr>
        <w:pStyle w:val="Heading2"/>
      </w:pPr>
      <w:r>
        <w:t>Prädiabetes erhöht CKD-Risiko um 53 %: Glomeruläre Filtrationsrate sinkt um 2,85 mL/min/1,73m²</w:t>
      </w:r>
    </w:p>
    <w:p>
      <w:r>
        <w:rPr>
          <w:i/>
          <w:color w:val="666666"/>
          <w:sz w:val="18"/>
        </w:rPr>
        <w:t>Karimi R et al.  ·  BMC Nephrol  ·  25.07.2026  ·  PMID 42907738</w:t>
      </w:r>
    </w:p>
    <w:p>
      <w:r>
        <w:t>Systematischer Review und Meta-Analyse von 26 Studien (15 Kohorten, 11 Querschnitt; n=350.546 Normoglykämiker, n=146.547 Prädiabetiker) zur Assoziation von Prädiabetes mit chronischer Nierenkrankheit, eGFR und Albumin-Kreatinin-Ratio.</w:t>
      </w:r>
    </w:p>
    <w:p>
      <w:r>
        <w:rPr>
          <w:b/>
        </w:rPr>
        <w:t xml:space="preserve">Ergebnis: </w:t>
      </w:r>
      <w:r>
        <w:t>Prädiabetes assoziiert mit erhöhtem CKD-Risiko (RR 1,53; 95%-KI 1,30–1,81; p&lt;0,001; stärker bei Verwendung aller drei diagnostischen Kriterien: RR 1,21–2,73). Mittlere eGFR-Abnahme −2,85 mL/min/1,73m² (95%-KI −4,57 bis −1,13; p=0,001). Albumin-Kreatinin-Ratio stieg um 0,87 g/g (95%-KI 0,19–1,55; p=0,012). Stärkere Assoziationen in Asien als in Europa oder USA.</w:t>
      </w:r>
    </w:p>
    <w:p>
      <w:r>
        <w:rPr>
          <w:b/>
          <w:sz w:val="19"/>
        </w:rPr>
        <w:t xml:space="preserve">Übertragbarkeit: </w:t>
      </w:r>
      <w:r>
        <w:rPr>
          <w:sz w:val="19"/>
        </w:rPr>
        <w:t>Multikontinental, aber systematische Evidenz zu Risikostratifizierung unabhängig von System</w:t>
      </w:r>
    </w:p>
    <w:p>
      <w:r>
        <w:rPr>
          <w:color w:val="5A7D3A"/>
          <w:sz w:val="18"/>
        </w:rPr>
        <w:t>https://pubmed.ncbi.nlm.nih.gov/42907738/</w:t>
      </w:r>
    </w:p>
    <w:p>
      <w:pPr>
        <w:pStyle w:val="Heading2"/>
      </w:pPr>
      <w:r>
        <w:t>Fragmentierte Versorgung chronisch kranker Kinder in Deutschland: Koordinationsmängel über Sektoren hinweg</w:t>
      </w:r>
    </w:p>
    <w:p>
      <w:r>
        <w:rPr>
          <w:i/>
          <w:color w:val="666666"/>
          <w:sz w:val="18"/>
        </w:rPr>
        <w:t>Herr CJ et al.  ·  Eur J Pediatr  ·  22.10.2026  ·  PMID 42907562</w:t>
      </w:r>
    </w:p>
    <w:p>
      <w:r>
        <w:t>Qualitative Studie mit 22 Fachleuten (Ärzte, Therapeuten, Sozialarbeiter) aus Deutschland untersuchte, wie Professionelle die Versorgungspfade von Kindern mit chronischen Erkrankungen (ADHS, Autismus, Zerebralparese, Asthma, Typ-1-Diabetes) über Gesundheit, Soziales und Schulwesen hinweg erleben.</w:t>
      </w:r>
    </w:p>
    <w:p>
      <w:r>
        <w:rPr>
          <w:b/>
        </w:rPr>
        <w:t xml:space="preserve">Ergebnis: </w:t>
      </w:r>
      <w:r>
        <w:t>Fachleute bewerteten die Versorgung als fragmentiert, schwer navigierbar und schlecht koordiniert. Zentrale Barrieren: lange Wartezeiten, unklare Versorgungspfade, mangelnde interprofessionelle Kommunikation. Familien mit sozioökonomischen Nachteilen oder Sprachbarrieren hatten besondere Schwierigkeiten.</w:t>
      </w:r>
    </w:p>
    <w:p>
      <w:r>
        <w:rPr>
          <w:b/>
          <w:sz w:val="19"/>
        </w:rPr>
        <w:t xml:space="preserve">Übertragbarkeit: </w:t>
      </w:r>
      <w:r>
        <w:rPr>
          <w:sz w:val="19"/>
        </w:rPr>
        <w:t>Deutschland, direkt erhobene Expertenperspektiven aus Praxen und Jugendamt</w:t>
      </w:r>
    </w:p>
    <w:p>
      <w:r>
        <w:rPr>
          <w:color w:val="5A7D3A"/>
          <w:sz w:val="18"/>
        </w:rPr>
        <w:t>https://pubmed.ncbi.nlm.nih.gov/42907562/</w:t>
      </w:r>
    </w:p>
    <w:p>
      <w:pPr>
        <w:pStyle w:val="Heading2"/>
      </w:pPr>
      <w:r>
        <w:t>HFNC plus Akupunktur verbessert COPD-Exazerbationen: 88,8 % vs. 70,8 % Ansprechrate</w:t>
      </w:r>
    </w:p>
    <w:p>
      <w:r>
        <w:rPr>
          <w:i/>
          <w:color w:val="666666"/>
          <w:sz w:val="18"/>
        </w:rPr>
        <w:t>Li B et al.  ·  Int J Chron Obstruct Pulmon Dis  ·  16.10.2026  ·  PMID 42904141</w:t>
      </w:r>
    </w:p>
    <w:p>
      <w:r>
        <w:t>Retrospektive Studie verglich bei 178 hospitalisierten AECOPD-Patienten die Hochfluss-Nasenkanüle (HFNC) allein gegen HFNC plus standardisierte Akupunktur; Propensity-Score-Matching adjustierte für Baseline-Unterschiede.</w:t>
      </w:r>
    </w:p>
    <w:p>
      <w:r>
        <w:rPr>
          <w:b/>
        </w:rPr>
        <w:t xml:space="preserve">Ergebnis: </w:t>
      </w:r>
      <w:r>
        <w:t>HFNC + Akupunktur erreichte höhere klinische Ansprechrate (88,76 % vs. 70,79 %, relatives Risiko 1,25; 95%-KI 1,08–1,46; p=0,003). Kombinationsgruppe zeigte bessere FEV₁-Zunahme (+0,07 L), PaO₂-Anstieg (+5,03 mmHg), stärkere Reduktion von IL-8, IL-17, TNF-α, CRP (p&lt;0,01) und verbesserte Patienten-Outcomes (CAT -2,59; 6MWD +28,53 m).</w:t>
      </w:r>
    </w:p>
    <w:p>
      <w:r>
        <w:rPr>
          <w:b/>
          <w:sz w:val="19"/>
        </w:rPr>
        <w:t xml:space="preserve">Übertragbarkeit: </w:t>
      </w:r>
      <w:r>
        <w:rPr>
          <w:sz w:val="19"/>
        </w:rPr>
        <w:t>China, retrospektive Daten; Validierung in prospektivem RCT erforderlich</w:t>
      </w:r>
    </w:p>
    <w:p>
      <w:r>
        <w:rPr>
          <w:color w:val="5A7D3A"/>
          <w:sz w:val="18"/>
        </w:rPr>
        <w:t>https://pubmed.ncbi.nlm.nih.gov/42904141/</w:t>
      </w:r>
    </w:p>
    <w:p>
      <w:pPr>
        <w:pStyle w:val="Heading2"/>
      </w:pPr>
      <w:r>
        <w:t>Erdosteine verbessert Ventilationshomogenität bei COPD stärker als NAC</w:t>
      </w:r>
    </w:p>
    <w:p>
      <w:r>
        <w:rPr>
          <w:i/>
          <w:color w:val="666666"/>
          <w:sz w:val="18"/>
        </w:rPr>
        <w:t>Dal Negro RW et al.  ·  Int J Chron Obstruct Pulmon Dis  ·  16.10.2026  ·  PMID 42904140</w:t>
      </w:r>
    </w:p>
    <w:p>
      <w:r>
        <w:t>Retrospektive Studie an 127 stabilen Patienten mit milder bis moderater COPD unter LABA/LAMA-Therapie verglich Zusatz von Erdostein (600 mg/d) oder N-Acetylcystein (600 mg/d) gegen Dual-Bronchodilatation allein mittels Volumetrischer Kapnografie (VCap).</w:t>
      </w:r>
    </w:p>
    <w:p>
      <w:r>
        <w:rPr>
          <w:b/>
        </w:rPr>
        <w:t xml:space="preserve">Ergebnis: </w:t>
      </w:r>
      <w:r>
        <w:t>Erdostein führte zu signifikanten Verbesserungen: TPTEF/TEX +56,5 %, alveoläre Ventilation +8,9 %, S2/S3-Winkel −10,4°, VD/VT-Ratio −13,5 %. NAC zeigte vernachlässigbare und nicht von Mono-Therapie unterschiedliche Effekte (alle p&gt;0,05). Unterschiede zugunsten Erdostein blieben nach Adjustierung für Confunder signifikant (p&lt;0,001).</w:t>
      </w:r>
    </w:p>
    <w:p>
      <w:r>
        <w:rPr>
          <w:b/>
          <w:sz w:val="19"/>
        </w:rPr>
        <w:t xml:space="preserve">Übertragbarkeit: </w:t>
      </w:r>
      <w:r>
        <w:rPr>
          <w:sz w:val="19"/>
        </w:rPr>
        <w:t>Italien, kontrollierte Beobachtungsdaten; Physiologie-Verbesserung, nicht Langzeitprognose</w:t>
      </w:r>
    </w:p>
    <w:p>
      <w:r>
        <w:rPr>
          <w:color w:val="5A7D3A"/>
          <w:sz w:val="18"/>
        </w:rPr>
        <w:t>https://pubmed.ncbi.nlm.nih.gov/42904140/</w:t>
      </w:r>
    </w:p>
    <w:p>
      <w:pPr>
        <w:pStyle w:val="Heading2"/>
      </w:pPr>
      <w:r>
        <w:t>Fünf Schlaf-Phänotypen bei COPD: Hypoxische Schläfer haben 2,8-fach erhöhtes Mortalitätsrisiko</w:t>
      </w:r>
    </w:p>
    <w:p>
      <w:r>
        <w:rPr>
          <w:i/>
          <w:color w:val="666666"/>
          <w:sz w:val="18"/>
        </w:rPr>
        <w:t>Hansson D et al.  ·  Int J Chron Obstruct Pulmon Dis  ·  16.10.2026  ·  PMID 42903829</w:t>
      </w:r>
    </w:p>
    <w:p>
      <w:r>
        <w:t>Prospektive Kohorte mit 205 COPD-Patienten; multidimensionale Schlaf-Daten (WatchPAT™) mit 15 Variablen analysiert mittels Partitioning-Around-Medoids-Clustering; Median-Nachverfolgung 4,2 Jahre mit 199 Patienten.</w:t>
      </w:r>
    </w:p>
    <w:p>
      <w:r>
        <w:rPr>
          <w:b/>
        </w:rPr>
        <w:t xml:space="preserve">Ergebnis: </w:t>
      </w:r>
      <w:r>
        <w:t>Fünf distinkte Schlaf-Phänotypen identifiziert: normale Schläfer (20,5 %), Short-Sleeper (33 %), Light-Sleeper mit REM-Suppression (18,5 %), hypoxische Schläfer (20 %), schlafapnoe-Schläfer (8 %). Bei 56 Todesfällen (28,1 %) hatten hypoxische Schläfer nach Adjustierung für Alter, Geschlecht und FEV₁ erhöhte Sterblichkeit (HR 2,80; 95%-KI 1,05–7,44); unbehandelte apnoe-Schläfer noch höher (HR 6,16; 95%-KI 1,56–24,38) nach PAP-Adjustierung.</w:t>
      </w:r>
    </w:p>
    <w:p>
      <w:r>
        <w:rPr>
          <w:b/>
          <w:sz w:val="19"/>
        </w:rPr>
        <w:t xml:space="preserve">Übertragbarkeit: </w:t>
      </w:r>
      <w:r>
        <w:rPr>
          <w:sz w:val="19"/>
        </w:rPr>
        <w:t>Schweden, europäischer Versorgungskontext, vergleichbar strukturierter Zugang</w:t>
      </w:r>
    </w:p>
    <w:p>
      <w:r>
        <w:rPr>
          <w:color w:val="5A7D3A"/>
          <w:sz w:val="18"/>
        </w:rPr>
        <w:t>https://pubmed.ncbi.nlm.nih.gov/42903829/</w:t>
      </w:r>
    </w:p>
    <w:p>
      <w:pPr>
        <w:pStyle w:val="Heading1"/>
      </w:pPr>
      <w:r>
        <w:t>Aufgenommen am 22.10.2026</w:t>
      </w:r>
    </w:p>
    <w:p>
      <w:pPr>
        <w:pStyle w:val="Heading2"/>
      </w:pPr>
      <w:r>
        <w:t>Sensorische Beeinträchtigung und Einsamkeit erhöhen Mehrfacherkrankung um Faktor 1,56–2,36</w:t>
      </w:r>
    </w:p>
    <w:p>
      <w:r>
        <w:rPr>
          <w:i/>
          <w:color w:val="666666"/>
          <w:sz w:val="18"/>
        </w:rPr>
        <w:t>Pan Y et al.  ·  Int J Equity Health  ·  24.07.2026  ·  PMID 42902280</w:t>
      </w:r>
    </w:p>
    <w:p>
      <w:r>
        <w:t>Querschnittliche Analyse von 15.022 Älteren in China, USA und England zur Assoziation von Hör- und Sehstörungen mit dem Auftreten von körperlich-psychisch-kognitiven Mehrfacherkrankungen über 6–8 Jahre Nachbeobachtung.</w:t>
      </w:r>
    </w:p>
    <w:p>
      <w:r>
        <w:rPr>
          <w:b/>
        </w:rPr>
        <w:t xml:space="preserve">Ergebnis: </w:t>
      </w:r>
      <w:r>
        <w:t>Duale Sinnesbeeinträchtigung war unabhängig mit physisch-psychischer Mehrfacherkrankung (HR 2,18), psychisch-kognitiver (HR 2,36) und dreifacher Komorbidität (HR 1,56; 95%-KI 1,19–2,03) assoziiert. Einsamkeit erklärte etwa 10–12 % dieser Assoziation. Die Assoziation blieb in Sensitivitätsanalysen und länderübergreifend stabil.</w:t>
      </w:r>
    </w:p>
    <w:p>
      <w:r>
        <w:rPr>
          <w:b/>
          <w:sz w:val="19"/>
        </w:rPr>
        <w:t xml:space="preserve">Übertragbarkeit: </w:t>
      </w:r>
      <w:r>
        <w:rPr>
          <w:sz w:val="19"/>
        </w:rPr>
        <w:t>Internationale Vergleichskohorte; Übertragbarkeit hängt von Struktur der Altenhilfe ab.</w:t>
      </w:r>
    </w:p>
    <w:p>
      <w:r>
        <w:rPr>
          <w:color w:val="5A7D3A"/>
          <w:sz w:val="18"/>
        </w:rPr>
        <w:t>https://pubmed.ncbi.nlm.nih.gov/42902280/</w:t>
      </w:r>
    </w:p>
    <w:p>
      <w:pPr>
        <w:pStyle w:val="Heading2"/>
      </w:pPr>
      <w:r>
        <w:t>Therapeutische Kontinuität verbessert Diabetesmanagement nicht ohne koordinierte Versorgung</w:t>
      </w:r>
    </w:p>
    <w:p>
      <w:r>
        <w:rPr>
          <w:i/>
          <w:color w:val="666666"/>
          <w:sz w:val="18"/>
        </w:rPr>
        <w:t>Poarch E et al.  ·  BMC Prim Care  ·  24.07.2026  ·  PMID 42902172</w:t>
      </w:r>
    </w:p>
    <w:p>
      <w:r>
        <w:t>Bevölkerungsbasierte Kohortenstudie von 2020–2023 in British Columbia mit über 84.000 Patienten mit Diabetes und/oder Hypertonie zur Frage, ob die Kontinuität der Arzt-Patienten-Beziehung zu empfohlenen Managementprozessen führt.</w:t>
      </w:r>
    </w:p>
    <w:p>
      <w:r>
        <w:rPr>
          <w:b/>
        </w:rPr>
        <w:t xml:space="preserve">Ergebnis: </w:t>
      </w:r>
      <w:r>
        <w:t>Vollständige relationale Kontinuität war nicht mit erhöhtem empfohlenem Management assoziiert (adjustierte RR 1,00; 95%-KI 0,99–1,01). Bei Patienten mit komplexem Bedarf (schwere psychische Erkrankung, Suchterkrankung) zeigten sich inverse Assoziationen (SMI + ≥12 Besuche aRR 0,64 [0,52–0,80]). Dies deutet darauf hin, dass reine Beziehungskontinuität ohne Management- und Informationskontinuität nicht ausreicht.</w:t>
      </w:r>
    </w:p>
    <w:p>
      <w:r>
        <w:rPr>
          <w:b/>
          <w:sz w:val="19"/>
        </w:rPr>
        <w:t xml:space="preserve">Übertragbarkeit: </w:t>
      </w:r>
      <w:r>
        <w:rPr>
          <w:sz w:val="19"/>
        </w:rPr>
        <w:t>Kanada/British Columbia; ähnliches primärärztliches System, aber ohne DMP-ähnliche Strukturen.</w:t>
      </w:r>
    </w:p>
    <w:p>
      <w:r>
        <w:rPr>
          <w:color w:val="5A7D3A"/>
          <w:sz w:val="18"/>
        </w:rPr>
        <w:t>https://pubmed.ncbi.nlm.nih.gov/42902172/</w:t>
      </w:r>
    </w:p>
    <w:p>
      <w:pPr>
        <w:pStyle w:val="Heading2"/>
      </w:pPr>
      <w:r>
        <w:t>Multimorbidität bei älteren Sturzhospitalisierungen: vier Phänotypen mit steuerbaren Risikofaktoren</w:t>
      </w:r>
    </w:p>
    <w:p>
      <w:r>
        <w:rPr>
          <w:i/>
          <w:color w:val="666666"/>
          <w:sz w:val="18"/>
        </w:rPr>
        <w:t>Wang X et al.  ·  BMC Geriatr  ·  22.07.2026  ·  PMID 42897528</w:t>
      </w:r>
    </w:p>
    <w:p>
      <w:r>
        <w:t>Querschnittsanalyse von 705 älteren Stürzen im Krankenhaus (Januar 2015–August 2025) mit latenter Klassenanalyse von 12 chronischen Erkrankungen zur Identifikation von Mehrfacherkrankungs-Clustern und assoziierten Faktoren.</w:t>
      </w:r>
    </w:p>
    <w:p>
      <w:r>
        <w:rPr>
          <w:b/>
        </w:rPr>
        <w:t xml:space="preserve">Ergebnis: </w:t>
      </w:r>
      <w:r>
        <w:t>Vier distinct Multimorbidität-Klassen: Schlaganfall-Gruppe (11,9 %), Krebsgruppe (22,8 %), Multisystem-Multimorbidität (22,4 %), relativ Gesunde (42,8 %). Logistische Regression zeigte signifikante Assoziationen mit Alter, Station, Begleitstatus, Prä-Sturz-Status, Personalerfahrung, Risiko-Assessment-Score und Anzahl sturzrisiko-erhöhender Arzneimittel (alle p&lt;0,05). Krebs war häufigste Einzelerkrankung.</w:t>
      </w:r>
    </w:p>
    <w:p>
      <w:r>
        <w:rPr>
          <w:b/>
          <w:sz w:val="19"/>
        </w:rPr>
        <w:t xml:space="preserve">Übertragbarkeit: </w:t>
      </w:r>
      <w:r>
        <w:rPr>
          <w:sz w:val="19"/>
        </w:rPr>
        <w:t>China (Hangzhou); tertäre Klinik; Struktur ähnlich deutschen Krankenhäusern, aber Adhärenz- und Dokumentationspraxis unterscheidet sich.</w:t>
      </w:r>
    </w:p>
    <w:p>
      <w:r>
        <w:rPr>
          <w:color w:val="5A7D3A"/>
          <w:sz w:val="18"/>
        </w:rPr>
        <w:t>https://pubmed.ncbi.nlm.nih.gov/42897528/</w:t>
      </w:r>
    </w:p>
    <w:p>
      <w:pPr>
        <w:pStyle w:val="Heading2"/>
      </w:pPr>
      <w:r>
        <w:t>GLP-1-Analogon reduziert renale Ereignisse bei Typ-2-Diabetes mit Nierenschaden um 51–67 %</w:t>
      </w:r>
    </w:p>
    <w:p>
      <w:r>
        <w:rPr>
          <w:i/>
          <w:color w:val="666666"/>
          <w:sz w:val="18"/>
        </w:rPr>
        <w:t>Ye J et al.  ·  Signal Transduct Target Ther  ·  20.10.2026  ·  PMID 42897130</w:t>
      </w:r>
    </w:p>
    <w:p>
      <w:r>
        <w:t>Multizentrische retrospektive Kohortenstudie mit 3.305 Patienten in China mit Typ-2-Diabetes, Nierenschädigung und kardiovaskulärem Risiko über median 36,4 Monate zur renoprotektiven Wirkung von Polyethylenglycol-Loxenatid vs. Standardtherapie.</w:t>
      </w:r>
    </w:p>
    <w:p>
      <w:r>
        <w:rPr>
          <w:b/>
        </w:rPr>
        <w:t xml:space="preserve">Ergebnis: </w:t>
      </w:r>
      <w:r>
        <w:t>Polyethylenglycol-Loxenatid war mit reduziertem Risiko für primäre nierenspezifische Ereignisse assoziiert (adjustierte HR 0,49; 95%-KI 0,25–0,95; p=0,035 in Gesamtkohorte; HR 0,44 [0,20–0,97] nach Propensity-Score-Matching). Effekt zeigte sich progressiv über 6-Monats-Landmarks (HR 0,40) bis 12-Monats-Landmarks (HR 0,33). Kardiovaskulärer Effekt war nicht stabil.</w:t>
      </w:r>
    </w:p>
    <w:p>
      <w:r>
        <w:rPr>
          <w:b/>
          <w:sz w:val="19"/>
        </w:rPr>
        <w:t xml:space="preserve">Übertragbarkeit: </w:t>
      </w:r>
      <w:r>
        <w:rPr>
          <w:sz w:val="19"/>
        </w:rPr>
        <w:t>China; Datenextraktion durch KI-gestützte Pipeline, aber Übertragbarkeit begrenzt durch ethnische/pathophysiologische Unterschiede.</w:t>
      </w:r>
    </w:p>
    <w:p>
      <w:r>
        <w:rPr>
          <w:color w:val="5A7D3A"/>
          <w:sz w:val="18"/>
        </w:rPr>
        <w:t>https://pubmed.ncbi.nlm.nih.gov/42897130/</w:t>
      </w:r>
    </w:p>
    <w:p>
      <w:pPr>
        <w:pStyle w:val="Heading2"/>
      </w:pPr>
      <w:r>
        <w:t>Exergame erzielte 67 % maximale Herzfrequenz mit hoher Adhärenzfreude bei stabilen Chronikern</w:t>
      </w:r>
    </w:p>
    <w:p>
      <w:r>
        <w:rPr>
          <w:i/>
          <w:color w:val="666666"/>
          <w:sz w:val="18"/>
        </w:rPr>
        <w:t>Haron MJ et al.  ·  JMIR Form Res  ·  19.10.2026  ·  PMID 42896149</w:t>
      </w:r>
    </w:p>
    <w:p>
      <w:r>
        <w:t>Einarm-Pilot-Experimentalstudie mit 20 Erwachsenen (Durchschnittsalter 54,3 Jahre) mit stabilen chronischen Erkrankungen (70 % Hypertonie, 55 % Hyperlipidämie) zur Untersuchung physiologischer Reaktionen, Trainingsintensität und Spielfreude beim Exergame Ring Fit Adventure.</w:t>
      </w:r>
    </w:p>
    <w:p>
      <w:r>
        <w:rPr>
          <w:b/>
        </w:rPr>
        <w:t xml:space="preserve">Ergebnis: </w:t>
      </w:r>
      <w:r>
        <w:t>Mittlere Herzfrequenz während Spiels 111,6 bpm (67,2 % maximale altersgerechte HF); Spitzenwert 138,6 bpm (83,5 %). HF-Anstieg nach Welt 1: 16,7 bpm (p&lt;0,001), nach Welt 2: 20,7 bpm (p&lt;0,001). Kapillarblutglukose sank um 1,4 mmol/L (Welt 1) und 1,6 mmol/L (Welt 2) ohne Hypoglykämien. Blutdruck stabil. Genussquote 77,6/100. Keine schweren Nebenereignisse.</w:t>
      </w:r>
    </w:p>
    <w:p>
      <w:r>
        <w:rPr>
          <w:b/>
          <w:sz w:val="19"/>
        </w:rPr>
        <w:t xml:space="preserve">Übertragbarkeit: </w:t>
      </w:r>
      <w:r>
        <w:rPr>
          <w:sz w:val="19"/>
        </w:rPr>
        <w:t>Singapur; kleine Stichprobe, keine Kontrollgruppe, aber Machbarkeit für Home-Based-Übungen gezeigt.</w:t>
      </w:r>
    </w:p>
    <w:p>
      <w:r>
        <w:rPr>
          <w:color w:val="5A7D3A"/>
          <w:sz w:val="18"/>
        </w:rPr>
        <w:t>https://pubmed.ncbi.nlm.nih.gov/42896149/</w:t>
      </w:r>
    </w:p>
    <w:p>
      <w:pPr>
        <w:pStyle w:val="Heading2"/>
      </w:pPr>
      <w:r>
        <w:t>Erhöhte Sulfatase-1 im Serum korreliert mit langsamerer Lungenfunktionsabnahme bei COPD</w:t>
      </w:r>
    </w:p>
    <w:p>
      <w:r>
        <w:rPr>
          <w:i/>
          <w:color w:val="666666"/>
          <w:sz w:val="18"/>
        </w:rPr>
        <w:t>Liu Y et al.  ·  Respir Res  ·  22.07.2026  ·  PMID 42894165</w:t>
      </w:r>
    </w:p>
    <w:p>
      <w:r>
        <w:t>Klinische Beobachtungsstudie mit Serum-ELISA und funktionellen Modellen zur Rolle von Sulfatase 1 (SULF1) in der COPD-Progression mit Analyse der Korrelation zu Lungenfunktionsverlauf und In-vivo-Mechanismus.</w:t>
      </w:r>
    </w:p>
    <w:p>
      <w:r>
        <w:rPr>
          <w:b/>
        </w:rPr>
        <w:t xml:space="preserve">Ergebnis: </w:t>
      </w:r>
      <w:r>
        <w:t>Bei COPD-Patienten waren SULF1-Serumspiegel erhöht und zeigten negative Korrelation mit FEV1/FVC-Ratio (p&lt;0,001) und jährlichem FEV1/FVC-Rückgang. In Rauchexpositionsmodellen führte SULF1-Knockout zu ausgeprägteren Emphysemveränderungen; SULF1-Überexpression minderte Lungenalterationen partiell ab. SULF1 band stabil an Keratin 15 (KRT15).</w:t>
      </w:r>
    </w:p>
    <w:p>
      <w:r>
        <w:rPr>
          <w:b/>
          <w:sz w:val="19"/>
        </w:rPr>
        <w:t xml:space="preserve">Übertragbarkeit: </w:t>
      </w:r>
      <w:r>
        <w:rPr>
          <w:sz w:val="19"/>
        </w:rPr>
        <w:t>China (Guangzhou); Mechanismus belegt, aber klinische Validierung und Interventionspfade fehlen.</w:t>
      </w:r>
    </w:p>
    <w:p>
      <w:r>
        <w:rPr>
          <w:color w:val="5A7D3A"/>
          <w:sz w:val="18"/>
        </w:rPr>
        <w:t>https://pubmed.ncbi.nlm.nih.gov/42894165/</w:t>
      </w:r>
    </w:p>
    <w:p>
      <w:pPr>
        <w:pStyle w:val="Heading1"/>
      </w:pPr>
      <w:r>
        <w:t>Aufgenommen am 21.10.2026</w:t>
      </w:r>
    </w:p>
    <w:p>
      <w:pPr>
        <w:pStyle w:val="Heading2"/>
      </w:pPr>
      <w:r>
        <w:t>COPD-Phänotypen nach Entzündungsmuster identifiziert: vier klinisch relevante Subgruppen</w:t>
      </w:r>
    </w:p>
    <w:p>
      <w:r>
        <w:rPr>
          <w:i/>
          <w:color w:val="666666"/>
          <w:sz w:val="18"/>
        </w:rPr>
        <w:t>Wang Q et al.  ·  Int J Chron Obstruct Pulmon Dis  ·  15.10.2026  ·  PMID 42899181</w:t>
      </w:r>
    </w:p>
    <w:p>
      <w:r>
        <w:t>Chinesische Studie an 319 stabilen COPD-Patienten identifizierte vier Phänotypen mittels Clusteranalyse von Zytokinen und Atemwegsverengung und korrelierte diese mit CT-Befunden, klinischen Symptomen und Exazerbationen.</w:t>
      </w:r>
    </w:p>
    <w:p>
      <w:r>
        <w:rPr>
          <w:b/>
        </w:rPr>
        <w:t xml:space="preserve">Ergebnis: </w:t>
      </w:r>
      <w:r>
        <w:t>Cluster 1 (Schwer-niedrige Entzündung): niedrigste Zytokine, höchste Symptomen, schwerste Atemwegsverengung, ausgeprägtestes Emphysem. Cluster 2 (Mild-niedrig): geringe Symptomen, erhaltene Lungenfunktion. Cluster 3 (Moderat-erhöht): mittlere Entzündung und Symptomen. Cluster 4 (Sehr hohe Entzündung): deutlich erhöhte Zytokine, erhaltene Lungenfunktion, aber massive Atemwegsraum-Verdickung und häufige Exazerbationen. Diese Phänotypisierung offenbarte eine Dissoziation zwischen systemischer Entzündung und Krankheitsschweregrad, was individualisierte Therapie ermöglicht.</w:t>
      </w:r>
    </w:p>
    <w:p>
      <w:r>
        <w:rPr>
          <w:b/>
          <w:sz w:val="19"/>
        </w:rPr>
        <w:t xml:space="preserve">Übertragbarkeit: </w:t>
      </w:r>
      <w:r>
        <w:rPr>
          <w:sz w:val="19"/>
        </w:rPr>
        <w:t>China, aber Phänotypisierungskonzept unabhängig von Gesundheitssystem übertragbar</w:t>
      </w:r>
    </w:p>
    <w:p>
      <w:r>
        <w:rPr>
          <w:color w:val="5A7D3A"/>
          <w:sz w:val="18"/>
        </w:rPr>
        <w:t>https://pubmed.ncbi.nlm.nih.gov/42899181/</w:t>
      </w:r>
    </w:p>
    <w:p>
      <w:pPr>
        <w:pStyle w:val="Heading2"/>
      </w:pPr>
      <w:r>
        <w:t>DECAF-Score überlegen: 95,6 % Spezifität für Mortalitätsprognose bei COPD-Exazerbation</w:t>
      </w:r>
    </w:p>
    <w:p>
      <w:r>
        <w:rPr>
          <w:i/>
          <w:color w:val="666666"/>
          <w:sz w:val="18"/>
        </w:rPr>
        <w:t>Gode R et al.  ·  BMC Pulm Med  ·  23.07.2026  ·  PMID 42897561</w:t>
      </w:r>
    </w:p>
    <w:p>
      <w:r>
        <w:t>Türkische Klinikkohorte verglich zwei Prognosescores (HALP und DECAF) bei 499 Patienten mit akuter COPD-Exazerbation zur Vorhersage 30-Tage-Krankenhaussterblichkeit mittels ROC-Analyse und logistischer Regression.</w:t>
      </w:r>
    </w:p>
    <w:p>
      <w:r>
        <w:rPr>
          <w:b/>
        </w:rPr>
        <w:t xml:space="preserve">Ergebnis: </w:t>
      </w:r>
      <w:r>
        <w:t>63 Patienten (12,6 %) starben innerhalb 30 Tage. DECAF-Score zeigte überlegene Diskriminierung (AUC 0,932) gegenüber HALP (AUC 0,724; p&lt;0,001). Bei DECAF ≥4 betrugen Sensitivität 76,2 %, Spezifität 95,6 %, negativer prädiktiver Wert 96,5 %. HALP bot nur begrenzte prognostische Information. DECAF bleibt robuster und klinisch anwendbarer Prädiktor für Kurzzeitergebnisse im Notfalleinsatz.</w:t>
      </w:r>
    </w:p>
    <w:p>
      <w:r>
        <w:rPr>
          <w:b/>
          <w:sz w:val="19"/>
        </w:rPr>
        <w:t xml:space="preserve">Übertragbarkeit: </w:t>
      </w:r>
      <w:r>
        <w:rPr>
          <w:sz w:val="19"/>
        </w:rPr>
        <w:t>Türkische Notfallmedizin, Score international validiert und einsetzbar</w:t>
      </w:r>
    </w:p>
    <w:p>
      <w:r>
        <w:rPr>
          <w:color w:val="5A7D3A"/>
          <w:sz w:val="18"/>
        </w:rPr>
        <w:t>https://pubmed.ncbi.nlm.nih.gov/42897561/</w:t>
      </w:r>
    </w:p>
    <w:p>
      <w:pPr>
        <w:pStyle w:val="Heading2"/>
      </w:pPr>
      <w:r>
        <w:t>Messinstrument für Therapieunsicherheit bei Dialysepatienten validiert</w:t>
      </w:r>
    </w:p>
    <w:p>
      <w:r>
        <w:rPr>
          <w:i/>
          <w:color w:val="666666"/>
          <w:sz w:val="18"/>
        </w:rPr>
        <w:t>Gündoğan R et al.  ·  BMC Nephrol  ·  23.07.2026  ·  PMID 42897558</w:t>
      </w:r>
    </w:p>
    <w:p>
      <w:r>
        <w:t>Türkische Validierungsstudie entwickelte eine reliable und valide Skala (UC-D&amp;TS) zur Messung von Unsicherheit über Erkrankung und Behandlung bei 155 Dialysepatienten, angewendet um den Zusammenhang zwischen Unsicherheit, Adhärenz und psychosozialem Wohlbefinden zu untersuchen.</w:t>
      </w:r>
    </w:p>
    <w:p>
      <w:r>
        <w:rPr>
          <w:b/>
        </w:rPr>
        <w:t xml:space="preserve">Ergebnis: </w:t>
      </w:r>
      <w:r>
        <w:t>Die Skala zeigte hohe interne Konsistenz (Cronbach α = 0,872), eine vier-Faktoren-Struktur, die 59,13 % der Varianz erklärte, und exzellente Test-Retest-Reliabilität (r = 0,986). Messmodell passte akzeptabel (χ²/df = 1,77; CFI = 0,94). Das Instrument ist einsatzreif für klinische Praxis und Forschung zur Rolle von Unsicherheit bei Therapietreue und psychischem Wohlbefinden von Dialysepatienten.</w:t>
      </w:r>
    </w:p>
    <w:p>
      <w:r>
        <w:rPr>
          <w:b/>
          <w:sz w:val="19"/>
        </w:rPr>
        <w:t xml:space="preserve">Übertragbarkeit: </w:t>
      </w:r>
      <w:r>
        <w:rPr>
          <w:sz w:val="19"/>
        </w:rPr>
        <w:t>Validierungsstudie an türkischer Population; Instrument für internationale Verwendung adaptierbar</w:t>
      </w:r>
    </w:p>
    <w:p>
      <w:r>
        <w:rPr>
          <w:color w:val="5A7D3A"/>
          <w:sz w:val="18"/>
        </w:rPr>
        <w:t>https://pubmed.ncbi.nlm.nih.gov/42897558/</w:t>
      </w:r>
    </w:p>
    <w:p>
      <w:pPr>
        <w:pStyle w:val="Heading2"/>
      </w:pPr>
      <w:r>
        <w:t>Südafrika: Hypertonie und Diabetes verdoppelt – Mehrfacherkrankung bei älteren Frauen am höchsten</w:t>
      </w:r>
    </w:p>
    <w:p>
      <w:r>
        <w:rPr>
          <w:i/>
          <w:color w:val="666666"/>
          <w:sz w:val="18"/>
        </w:rPr>
        <w:t>Chironda CT et al.  ·  BMC Public Health  ·  23.07.2026  ·  PMID 42897543</w:t>
      </w:r>
    </w:p>
    <w:p>
      <w:r>
        <w:t>Südafrikanische Verbal-Autopsy-Studie an 5.892 Verstorbenen analysierte Trends chronischer Erkrankungen und Multimorbidität-Cluster über 11 Jahre mittels Clusteranalyse und latenter Klassenanalyse, um epidemiologischen Wandel in ländlicher Region zu dokumentieren.</w:t>
      </w:r>
    </w:p>
    <w:p>
      <w:r>
        <w:rPr>
          <w:b/>
        </w:rPr>
        <w:t xml:space="preserve">Ergebnis: </w:t>
      </w:r>
      <w:r>
        <w:t>Hypertonie stieg von 25 % (2012) auf über 50 % (2022), Diabetes von 10 % auf 25 %. Tuberkulose fiel von 23 % auf 11 %, HIV-Prävalenz schwankte um 20 %. Multimorbidität (≥2 Erkrankungen) wuchs, Komplexmultimorbidität (≥3) verdoppelte sich von 8 % (2012) auf 15 % (2019). Cluster verschwanden progressiv vom HIV/TB-Muster zu kardio-metabolischen Mustern (Hypertonie-Diabetes). Ältere Erwachsene (≥65 Jahre) und Frauen trugen höchste Multimorbidität-Last. Dies zeigt: ländliche Bevölkerung unterliegt Epidemiologischem Übergang; Versorgung muss Nichtübertragbare Krankheiten priorisieren und Mehrfacherkrankungen adressieren.</w:t>
      </w:r>
    </w:p>
    <w:p>
      <w:r>
        <w:rPr>
          <w:b/>
          <w:sz w:val="19"/>
        </w:rPr>
        <w:t xml:space="preserve">Übertragbarkeit: </w:t>
      </w:r>
      <w:r>
        <w:rPr>
          <w:sz w:val="19"/>
        </w:rPr>
        <w:t>Südafrika, ländliches Setting; epidemiologischer Wandel global relevant, Gesundheitssysteme unterschiedlich</w:t>
      </w:r>
    </w:p>
    <w:p>
      <w:r>
        <w:rPr>
          <w:color w:val="5A7D3A"/>
          <w:sz w:val="18"/>
        </w:rPr>
        <w:t>https://pubmed.ncbi.nlm.nih.gov/42897543/</w:t>
      </w:r>
    </w:p>
    <w:p>
      <w:pPr>
        <w:pStyle w:val="Heading2"/>
      </w:pPr>
      <w:r>
        <w:t>Nierentransplantation senkt Kosten dramatisch: Krankenhauskosten 82 % niedriger als bei Dialyse</w:t>
      </w:r>
    </w:p>
    <w:p>
      <w:r>
        <w:rPr>
          <w:i/>
          <w:color w:val="666666"/>
          <w:sz w:val="18"/>
        </w:rPr>
        <w:t>Santamaria R et al.  ·  BMC Nephrol  ·  22.07.2026  ·  PMID 42897541</w:t>
      </w:r>
    </w:p>
    <w:p>
      <w:r>
        <w:t>Spanische Kohortenstudie verglich Gesundheitskosten und Krankenhausnutzung bei 588 Patienten mit Dialyse oder Nierentransplantation über zwei Jahre, gemessen an Hospitalisierungen, schwerwiegenden kardiovaskulären Ereignissen und Mortalität.</w:t>
      </w:r>
    </w:p>
    <w:p>
      <w:r>
        <w:rPr>
          <w:b/>
        </w:rPr>
        <w:t xml:space="preserve">Ergebnis: </w:t>
      </w:r>
      <w:r>
        <w:t>Durchschnittliche Jahreskosten für Dialysepatienten betrugen 25.410 €, für Transplantierte 4.473 €. Bei Dialysepatienten waren schwerwiegende kardiovaskuläre Ereignisse 3,2-mal häufiger (276,3 vs. 85,9 pro 1000 Patientenjahre), Hospitalisierungsrate 1,3-mal höher (245,7 vs. 183,0 pro 1000), Sterblichkeit 7,1-mal höher (253,8 vs. 35,6). Hospitalisierungen verursachten 72,4 % der Dialysekosten, bei Transplantation nur 39,8 %. Die Ergebnisse bestätigen Transplantation als kosteneffektivste Therapie chronischer Nierenfunktionsstörung.</w:t>
      </w:r>
    </w:p>
    <w:p>
      <w:r>
        <w:rPr>
          <w:b/>
          <w:sz w:val="19"/>
        </w:rPr>
        <w:t xml:space="preserve">Übertragbarkeit: </w:t>
      </w:r>
      <w:r>
        <w:rPr>
          <w:sz w:val="19"/>
        </w:rPr>
        <w:t>Spanisches Gesundheitssystem, vergleichbar mit deutschem Versicherungsmodell</w:t>
      </w:r>
    </w:p>
    <w:p>
      <w:r>
        <w:rPr>
          <w:color w:val="5A7D3A"/>
          <w:sz w:val="18"/>
        </w:rPr>
        <w:t>https://pubmed.ncbi.nlm.nih.gov/42897541/</w:t>
      </w:r>
    </w:p>
    <w:p>
      <w:pPr>
        <w:pStyle w:val="Heading2"/>
      </w:pPr>
      <w:r>
        <w:t>Schlafmangel erhöht Multimorbidität-Risiko um 375 %: Studie an postmenopausalen Frauen</w:t>
      </w:r>
    </w:p>
    <w:p>
      <w:r>
        <w:rPr>
          <w:i/>
          <w:color w:val="666666"/>
          <w:sz w:val="18"/>
        </w:rPr>
        <w:t>Xu J et al.  ·  BMC Public Health  ·  24.07.2026  ·  PMID 42897539</w:t>
      </w:r>
    </w:p>
    <w:p>
      <w:r>
        <w:t>Chinesische Längsschnittstudie an 2.859 postmenopausalen Frauen aus der CHARLS-Kohorte identifizierte Schlafmuster (Group-Based Trajectory Modeling) und untersuchte deren Assoziation mit kardio-renal-metabolischer Mehrfacherkrankung (kardiovaskulär, Niere, Stoffwechsel) über mittlere zwei Jahre Nachbeobachtung.</w:t>
      </w:r>
    </w:p>
    <w:p>
      <w:r>
        <w:rPr>
          <w:b/>
        </w:rPr>
        <w:t xml:space="preserve">Ergebnis: </w:t>
      </w:r>
      <w:r>
        <w:t>Drei Schlafmuster wurden identifiziert: normal-stabil (33,9 %), normal-fluktuierend abnehmend (52,0 %), kurz-rapide abnehmend (14,1 %). Während Nachbeobachtung entwickelten 108 Frauen (3,8 %) Multimorbidität. Gegenüber normal-stabil-Gruppe: normal-fluktuierend-abnehmend erhöhte Multimorbidität-Risiko um 130 % (OR 2,30; 95%KI 1,35–3,91), kurz-rapide-abnehmend um 275 % (OR 3,75; 95%KI 1,99–7,07). Effekte blieben in Subgruppen- und Sensitivitätsanalysen stabil. Stable ausreichende Schlafdauer ist protektiver Faktor gegen Multimorbidität.</w:t>
      </w:r>
    </w:p>
    <w:p>
      <w:r>
        <w:rPr>
          <w:b/>
          <w:sz w:val="19"/>
        </w:rPr>
        <w:t xml:space="preserve">Übertragbarkeit: </w:t>
      </w:r>
      <w:r>
        <w:rPr>
          <w:sz w:val="19"/>
        </w:rPr>
        <w:t>China; Phänomen biologisch universal, präventiventiver Ansatz systemunabhängig</w:t>
      </w:r>
    </w:p>
    <w:p>
      <w:r>
        <w:rPr>
          <w:color w:val="5A7D3A"/>
          <w:sz w:val="18"/>
        </w:rPr>
        <w:t>https://pubmed.ncbi.nlm.nih.gov/42897539/</w:t>
      </w:r>
    </w:p>
    <w:p>
      <w:pPr>
        <w:pStyle w:val="Heading1"/>
      </w:pPr>
      <w:r>
        <w:t>Aufgenommen am 20.10.2026</w:t>
      </w:r>
    </w:p>
    <w:p>
      <w:pPr>
        <w:pStyle w:val="Heading2"/>
      </w:pPr>
      <w:r>
        <w:t>Atherogenic-Frailty-Index sagt kardio-metabole Mehrfacherkrankung voraus: kumulative Last und Trajektorien</w:t>
      </w:r>
    </w:p>
    <w:p>
      <w:r>
        <w:rPr>
          <w:i/>
          <w:color w:val="666666"/>
          <w:sz w:val="18"/>
        </w:rPr>
        <w:t>Wu H et al.  ·  J Glob Health  ·  19.10.2026  ·  PMID 42895260</w:t>
      </w:r>
    </w:p>
    <w:p>
      <w:r>
        <w:t>Prospektive nationale chinesische Kohortenstudie (CHARLS) an 4.157 Erwachsenen ≥45 Jahren ohne baseline-Mehrfacherkrankung zur Assoziation von kumulativer Exposition und Longitudinal-Trajektorien eines kombinierten atherogenic-frailty-Index (AIP-FI) mit neu auftretender kardio-metaboler Mehrfacherkrankung.</w:t>
      </w:r>
    </w:p>
    <w:p>
      <w:r>
        <w:rPr>
          <w:b/>
        </w:rPr>
        <w:t xml:space="preserve">Ergebnis: </w:t>
      </w:r>
      <w:r>
        <w:t>Über 8,5 Jahre Nachverfolgung traten 612 neue Mehrfacherkrankungs-Fälle auf. Höherer baseline und kumulativer AIP-FI waren signifikant mit erhöhtem Mehrfacherkrankungs-Risiko assoziiert; kumulativer Effekt war stärker (adjustierte HR pro SD: 1,46; 95%-KI 1,38–1,54). Höchstes Quartil vs. niedrigstes: HR 3,95 (95%-KI 2,95–5,29). Hoch-stabile AIP-FI-Gruppen zeigten höchstes Risiko. AIP-FI hatte überlegene Vorhersageleistung (AUC 71,17%) mit verbesserter Reklassifikation (NRI 0,157).</w:t>
      </w:r>
    </w:p>
    <w:p>
      <w:r>
        <w:rPr>
          <w:b/>
          <w:sz w:val="19"/>
        </w:rPr>
        <w:t xml:space="preserve">Übertragbarkeit: </w:t>
      </w:r>
      <w:r>
        <w:rPr>
          <w:sz w:val="19"/>
        </w:rPr>
        <w:t>China, nationales Register, aber Mehrfacherkrankungs-Konzept und Biomarker-Ansatz europäisch relevant</w:t>
      </w:r>
    </w:p>
    <w:p>
      <w:r>
        <w:rPr>
          <w:color w:val="5A7D3A"/>
          <w:sz w:val="18"/>
        </w:rPr>
        <w:t>https://pubmed.ncbi.nlm.nih.gov/42895260/</w:t>
      </w:r>
    </w:p>
    <w:p>
      <w:pPr>
        <w:pStyle w:val="Heading2"/>
      </w:pPr>
      <w:r>
        <w:t>CKD als Kardio-Nieren-Stoffwechsel-Kontinuum: neue Phänotypen für Risikostratifikation</w:t>
      </w:r>
    </w:p>
    <w:p>
      <w:r>
        <w:rPr>
          <w:i/>
          <w:color w:val="666666"/>
          <w:sz w:val="18"/>
        </w:rPr>
        <w:t>Valtuille RA et al.  ·  Panminerva Med  ·  Sept. 2026  ·  PMID 42895046</w:t>
      </w:r>
    </w:p>
    <w:p>
      <w:r>
        <w:t>Narrative Übersichtsarbeit zu CKD als systemische Erkrankung mit mehreren Filtrationphänotypen, Entzündung und kardiovaskulärer Vulnerabilität; Integration von Nierenbiomarkern in Risikoprädiktion.</w:t>
      </w:r>
    </w:p>
    <w:p>
      <w:r>
        <w:rPr>
          <w:b/>
        </w:rPr>
        <w:t xml:space="preserve">Ergebnis: </w:t>
      </w:r>
      <w:r>
        <w:t>Neuartige Filtrationphänotypen (Kreatinin-Cystatin-C-basierte eGFR-Kategorien) verbessern klassisches Staging. Simulation an 5.000 virtuellen Patienten zeigt nicht-lineare, synergetische Effekte von eGFR, Albuminurie, Alter, Hypertonie, Diabetes und Lipidstörungen auf kardiovaskuläres Risiko. SGLT2-Inhibitoren, Finerenon und GLP-1-Agonisten bieten Multisystemvorteile.</w:t>
      </w:r>
    </w:p>
    <w:p>
      <w:r>
        <w:rPr>
          <w:b/>
          <w:sz w:val="19"/>
        </w:rPr>
        <w:t xml:space="preserve">Übertragbarkeit: </w:t>
      </w:r>
      <w:r>
        <w:rPr>
          <w:sz w:val="19"/>
        </w:rPr>
        <w:t>Europäische Fachliteratur, kontinuum-basierter Ansatz übertragbar auf deutsches DMP-System</w:t>
      </w:r>
    </w:p>
    <w:p>
      <w:r>
        <w:rPr>
          <w:color w:val="5A7D3A"/>
          <w:sz w:val="18"/>
        </w:rPr>
        <w:t>https://pubmed.ncbi.nlm.nih.gov/42895046/</w:t>
      </w:r>
    </w:p>
    <w:p>
      <w:pPr>
        <w:pStyle w:val="Heading2"/>
      </w:pPr>
      <w:r>
        <w:t>Osteoporose bei COPD: Erkenntnislücke zwischen Wissen und klinischer Praxis</w:t>
      </w:r>
    </w:p>
    <w:p>
      <w:r>
        <w:rPr>
          <w:i/>
          <w:color w:val="666666"/>
          <w:sz w:val="18"/>
        </w:rPr>
        <w:t>Siraj RA et al.  ·  Int J Chron Obstruct Pulmon Dis  ·  14.10.2026  ·  PMID 42894800</w:t>
      </w:r>
    </w:p>
    <w:p>
      <w:r>
        <w:t>Nationale Cross-sectional-Befragung von 977 saudi-arabischen Fachleuten (Hausärzte, Pneumologen, Intensivmediziner) zu Wahrnehmung, Selbstsicherheit und Routinetätigkeit bei Osteoporoserisiko-Assessment bei COPD-Patienten.</w:t>
      </w:r>
    </w:p>
    <w:p>
      <w:r>
        <w:rPr>
          <w:b/>
        </w:rPr>
        <w:t xml:space="preserve">Ergebnis: </w:t>
      </w:r>
      <w:r>
        <w:t>61% berichteten routinemäßiges Osteoporose-Risiko-Screening, aber Umsetzung war inkonsistent; Hauptbarrieren waren Priorisierung respiratorischer Symptome (58,9%), fehlende Klinik-Protokolle (55,1%), begrenzte Konsultationszeit (51,1%) und limitierter Ressourcenzugang (51,1%). Pulmonologen (aOR 1,53), höhere Patientenzahl (10–30 monatlich; aOR 1,70), formale Ausbildung (aOR 1,45) und Selbsteinschätzung (aOR 1,71) waren unabhängig assoziiert mit routinemäßigem Assessment.</w:t>
      </w:r>
    </w:p>
    <w:p>
      <w:r>
        <w:rPr>
          <w:b/>
          <w:sz w:val="19"/>
        </w:rPr>
        <w:t xml:space="preserve">Übertragbarkeit: </w:t>
      </w:r>
      <w:r>
        <w:rPr>
          <w:sz w:val="19"/>
        </w:rPr>
        <w:t>Saudi-Arabien, aber Barrieren-Struktur und Interventionsmöglichkeiten auf deutsches Mehrfacherkrankungs-Screening übertragbar</w:t>
      </w:r>
    </w:p>
    <w:p>
      <w:r>
        <w:rPr>
          <w:color w:val="5A7D3A"/>
          <w:sz w:val="18"/>
        </w:rPr>
        <w:t>https://pubmed.ncbi.nlm.nih.gov/42894800/</w:t>
      </w:r>
    </w:p>
    <w:p>
      <w:pPr>
        <w:pStyle w:val="Heading2"/>
      </w:pPr>
      <w:r>
        <w:t>Neutrophil-Lymphozyten-Ratio bei COPD: Assoziation mit beschleunigtem Lungenfunktionsverlust</w:t>
      </w:r>
    </w:p>
    <w:p>
      <w:r>
        <w:rPr>
          <w:i/>
          <w:color w:val="666666"/>
          <w:sz w:val="18"/>
        </w:rPr>
        <w:t>Xue H et al.  ·  Int J Chron Obstruct Pulmon Dis  ·  14.10.2026  ·  PMID 42894652</w:t>
      </w:r>
    </w:p>
    <w:p>
      <w:r>
        <w:t>Retrospektive Einzelzentrum-Kohortenstudie mit wiederholter Spirometrie zur Assoziation zwischen Ausgangswert des Neutrophil-Lymphozyten-Quotienten (NLR) und jährlicher FEV1-Veränderung bei klinisch stabiler COPD.</w:t>
      </w:r>
    </w:p>
    <w:p>
      <w:r>
        <w:rPr>
          <w:b/>
        </w:rPr>
        <w:t xml:space="preserve">Ergebnis: </w:t>
      </w:r>
      <w:r>
        <w:t>Bei 640 Patienten (2.525 Beobachtungen, Median 22 Monate) war höherer baseline-NLR (pro Verdopplung) nach Schweregrad-Anpassung mit zusätzlichem FEV1-Rückgang von 8,26 mL/Jahr verbunden (95%-KI 2,29–14,23; p=0,0068). Assoziation war modellabhängig und etablierte weder Kausalität noch individuellen Vorhersagewert.</w:t>
      </w:r>
    </w:p>
    <w:p>
      <w:r>
        <w:rPr>
          <w:b/>
          <w:sz w:val="19"/>
        </w:rPr>
        <w:t xml:space="preserve">Übertragbarkeit: </w:t>
      </w:r>
      <w:r>
        <w:rPr>
          <w:sz w:val="19"/>
        </w:rPr>
        <w:t>China (Einzelzentrum), retrograd strukturiert; Entzündungsmarker-Ansatz auf deutsches COPD-Monitoring übertragbar</w:t>
      </w:r>
    </w:p>
    <w:p>
      <w:r>
        <w:rPr>
          <w:color w:val="5A7D3A"/>
          <w:sz w:val="18"/>
        </w:rPr>
        <w:t>https://pubmed.ncbi.nlm.nih.gov/42894652/</w:t>
      </w:r>
    </w:p>
    <w:p>
      <w:pPr>
        <w:pStyle w:val="Heading2"/>
      </w:pPr>
      <w:r>
        <w:t>Asthma-COPD-Überlappung: erhöhte Exazerbationsrate bei Mehrfacherkrankung</w:t>
      </w:r>
    </w:p>
    <w:p>
      <w:r>
        <w:rPr>
          <w:i/>
          <w:color w:val="666666"/>
          <w:sz w:val="18"/>
        </w:rPr>
        <w:t>Athlin Å et al.  ·  Scand J Prim Health Care  ·  18.10.2026  ·  PMID 42894311</w:t>
      </w:r>
    </w:p>
    <w:p>
      <w:r>
        <w:t>Schwedische Kohortenstudie mit Patienten aus Primär- und Sekundärversorgung zur Häufigkeit und Auswirkung von Asthma-COPD-Überlappung auf Exazerbationen, Symptombelastung und Mortalität.</w:t>
      </w:r>
    </w:p>
    <w:p>
      <w:r>
        <w:rPr>
          <w:b/>
        </w:rPr>
        <w:t xml:space="preserve">Ergebnis: </w:t>
      </w:r>
      <w:r>
        <w:t>22% (2005) bzw. 9% (2014) der COPD-Patienten hatten komorbides Asthma; diese zeigten erhöhtes Exazerbationsrisiko (OR 1,58–2,20, p≤0,02), ohne signifikante Unterschiede in der Symptombelastung. Mortalität war nur in der 2014-Kohorte niedriger (HR 0,67, p=0,02). Reduktion der Asthma-COPD-Überlappung deutet auf verbesserte Diagnostik hin.</w:t>
      </w:r>
    </w:p>
    <w:p>
      <w:r>
        <w:rPr>
          <w:b/>
          <w:sz w:val="19"/>
        </w:rPr>
        <w:t xml:space="preserve">Übertragbarkeit: </w:t>
      </w:r>
      <w:r>
        <w:rPr>
          <w:sz w:val="19"/>
        </w:rPr>
        <w:t>Schweden, ambulante/stationäre Struktur vergleichbar mit Deutschland, 17 Jahre Verlauf</w:t>
      </w:r>
    </w:p>
    <w:p>
      <w:r>
        <w:rPr>
          <w:color w:val="5A7D3A"/>
          <w:sz w:val="18"/>
        </w:rPr>
        <w:t>https://pubmed.ncbi.nlm.nih.gov/42894311/</w:t>
      </w:r>
    </w:p>
    <w:p>
      <w:pPr>
        <w:pStyle w:val="Heading2"/>
      </w:pPr>
      <w:r>
        <w:t>CRP-Triglyzerid-Glukose-Index sagt kardio-metabole Mehrfacherkrankung postmenopausaler Frauen voraus</w:t>
      </w:r>
    </w:p>
    <w:p>
      <w:r>
        <w:rPr>
          <w:i/>
          <w:color w:val="666666"/>
          <w:sz w:val="18"/>
        </w:rPr>
        <w:t>Wang L et al.  ·  BMC Cardiovasc Disord  ·  22.07.2026  ·  PMID 42894124</w:t>
      </w:r>
    </w:p>
    <w:p>
      <w:r>
        <w:t>Prospektive nationale chinesische Kohortenstudie an 2.972 postmenopausalen Frauen (≥45 Jahre) ohne baseline-Mehrfacherkrankung (Median-Nachverfolgung 103,5 Monate) zur Assoziation eines kombinierten Entzündungs-Stoffwechsel-Index (CTI) mit neu auftretender kardio-metaboler Mehrfacherkrankung.</w:t>
      </w:r>
    </w:p>
    <w:p>
      <w:r>
        <w:rPr>
          <w:b/>
        </w:rPr>
        <w:t xml:space="preserve">Ergebnis: </w:t>
      </w:r>
      <w:r>
        <w:t>395 Teilnehmer (13,3%) entwickelten neue Mehrfacherkrankung. Jede 1-Punkt-CTI-Erhöhung: Risiko +95% (HR 1,95; 95%-KI 1,66–2,30). Höchstes vs. niedrigstes Quartil: HR 3,91 (95%-KI 2,62–5,82, p-Trend &lt;0,001). CTI-AUC 0,649 überlegen gegenüber TyG (0,616), CRP (0,612) und TG (0,582). Nomogramm (6 LASSO-Variablen) zeigte akzeptable Diskrimination (AUC Training 0,742, Validierung 0,703).</w:t>
      </w:r>
    </w:p>
    <w:p>
      <w:r>
        <w:rPr>
          <w:b/>
          <w:sz w:val="19"/>
        </w:rPr>
        <w:t xml:space="preserve">Übertragbarkeit: </w:t>
      </w:r>
      <w:r>
        <w:rPr>
          <w:sz w:val="19"/>
        </w:rPr>
        <w:t>China, nationales Langzeit-Panel, Entzündungs-Metabolit-Profil für deutsches Präventivscreening adaptierbar</w:t>
      </w:r>
    </w:p>
    <w:p>
      <w:r>
        <w:rPr>
          <w:color w:val="5A7D3A"/>
          <w:sz w:val="18"/>
        </w:rPr>
        <w:t>https://pubmed.ncbi.nlm.nih.gov/42894124/</w:t>
      </w:r>
    </w:p>
    <w:p>
      <w:pPr>
        <w:pStyle w:val="Heading1"/>
      </w:pPr>
      <w:r>
        <w:t>Aufgenommen am 19.10.2026</w:t>
      </w:r>
    </w:p>
    <w:p>
      <w:pPr>
        <w:pStyle w:val="Heading2"/>
      </w:pPr>
      <w:r>
        <w:t>Hämoglobin-Zielbereich 105-125 g/L erhöhte Sterblichkeit bei Hämodialysepatienten nicht</w:t>
      </w:r>
    </w:p>
    <w:p>
      <w:r>
        <w:rPr>
          <w:i/>
          <w:color w:val="666666"/>
          <w:sz w:val="18"/>
        </w:rPr>
        <w:t>Birnie K et al.  ·  Pharmacoepidemiol Drug Saf  ·  Nov. 2026  ·  PMID 42893801</w:t>
      </w:r>
    </w:p>
    <w:p>
      <w:r>
        <w:t>Elektronische Patientendaten aus 10 englischen Nierenzentren (2004-2016) verglichen mittels Target-Trial-Emulation verschiedene Hämoglobin-Zielwerte unter standardisierter Darbepoetindosierung.</w:t>
      </w:r>
    </w:p>
    <w:p>
      <w:r>
        <w:rPr>
          <w:b/>
        </w:rPr>
        <w:t xml:space="preserve">Ergebnis: </w:t>
      </w:r>
      <w:r>
        <w:t>Bei 8.628 Patienten (Medianalter 66 Jahre) zeigten sich für 105-125 g/L vs. 95-115 g/L Hazard Ratio 0,92 (95% KI 0,75-1,12), für &gt;125 g/L vs. 95-115 g/L HR 1,20 (95% KI 0,94-1,54). Ein moderat erhöhtes Ziel war nicht mit erhöhter Mortalität assoziiert, während Werte über 125 g/L das Mortalitätsrisiko möglicherweise steigern.</w:t>
      </w:r>
    </w:p>
    <w:p>
      <w:r>
        <w:rPr>
          <w:b/>
          <w:sz w:val="19"/>
        </w:rPr>
        <w:t xml:space="preserve">Übertragbarkeit: </w:t>
      </w:r>
      <w:r>
        <w:rPr>
          <w:sz w:val="19"/>
        </w:rPr>
        <w:t>UK-Nierenzentren mit vollständiger elektronischer Dokumentation, übertragbar auf Deutschland.</w:t>
      </w:r>
    </w:p>
    <w:p>
      <w:r>
        <w:rPr>
          <w:color w:val="5A7D3A"/>
          <w:sz w:val="18"/>
        </w:rPr>
        <w:t>https://pubmed.ncbi.nlm.nih.gov/42893801/</w:t>
      </w:r>
    </w:p>
    <w:p>
      <w:pPr>
        <w:pStyle w:val="Heading2"/>
      </w:pPr>
      <w:r>
        <w:t>COPD-Last in Asien stieg 2009-2023 um 41 Prozent trotz sinkender altersstandardisierter Raten</w:t>
      </w:r>
    </w:p>
    <w:p>
      <w:r>
        <w:rPr>
          <w:i/>
          <w:color w:val="666666"/>
          <w:sz w:val="18"/>
        </w:rPr>
        <w:t>Luo Q et al.  ·  Int J Chron Obstruct Pulmon Dis  ·  13.10.2026  ·  PMID 42893247</w:t>
      </w:r>
    </w:p>
    <w:p>
      <w:r>
        <w:t>Global Burden of Disease 2023 Analyse für 48 asiatische Länder (2009-2023) quantifizierte Inzidenz, Prävalenz, Todesfälle und DALYs mit Fokus auf demografische Treiber und Ungleichheit nach Sozio-demografischem Index.</w:t>
      </w:r>
    </w:p>
    <w:p>
      <w:r>
        <w:rPr>
          <w:b/>
        </w:rPr>
        <w:t xml:space="preserve">Ergebnis: </w:t>
      </w:r>
      <w:r>
        <w:t>Inzidenzfälle stiegen von 7,74 auf 10,75 Millionen (+38,9%), Prävalenz von 91,88 auf 129,76 Millionen (+41,2%), Todesfälle von 2,11 auf 2,63 Millionen (+24,8%). Altersstandardisierte Raten sanken jedoch in 34-43 der 48 Standorte. Von 522.061 zusätzlichen Todesfällen waren 345.084 auf Bevölkerungswachstum und 933.776 auf Alterung zurückzuführen. Sozioökonomische Konzentration der Todesfalllasten verschärfte sich (SII -69,90 auf -87,22).</w:t>
      </w:r>
    </w:p>
    <w:p>
      <w:r>
        <w:rPr>
          <w:b/>
          <w:sz w:val="19"/>
        </w:rPr>
        <w:t xml:space="preserve">Übertragbarkeit: </w:t>
      </w:r>
      <w:r>
        <w:rPr>
          <w:sz w:val="19"/>
        </w:rPr>
        <w:t>Asien, zeigt versorgungspolitischen Handlungsbedarf durch demografische Lasten unabhängig von Epidemiologie-Verbesserungen.</w:t>
      </w:r>
    </w:p>
    <w:p>
      <w:r>
        <w:rPr>
          <w:color w:val="5A7D3A"/>
          <w:sz w:val="18"/>
        </w:rPr>
        <w:t>https://pubmed.ncbi.nlm.nih.gov/42893247/</w:t>
      </w:r>
    </w:p>
    <w:p>
      <w:pPr>
        <w:pStyle w:val="Heading2"/>
      </w:pPr>
      <w:r>
        <w:t>Niedriges gewichtsadjustiertes Muskelvolumen fördert COPD-Exazerbationen bei niedrigem BMI</w:t>
      </w:r>
    </w:p>
    <w:p>
      <w:r>
        <w:rPr>
          <w:i/>
          <w:color w:val="666666"/>
          <w:sz w:val="18"/>
        </w:rPr>
        <w:t>Zhang Y et al.  ·  Int J Chron Obstruct Pulmon Dis  ·  13.10.2026  ·  PMID 42893075</w:t>
      </w:r>
    </w:p>
    <w:p>
      <w:r>
        <w:t>Querschnittstudie mit 419 COPD-Patienten untersuchte Assoziation zwischen Körperzusammensetzung (traditionell versus gewichtsadjustiert) und häufigen Exazerbationen (≥2 moderat oder ≥1 schwer im Vorjahr).</w:t>
      </w:r>
    </w:p>
    <w:p>
      <w:r>
        <w:rPr>
          <w:b/>
        </w:rPr>
        <w:t xml:space="preserve">Ergebnis: </w:t>
      </w:r>
      <w:r>
        <w:t>Niedriges ASM/BMI war mit häufigen Exazerbationen assoziiert (bereinigtes OR 1,74; 95% KI 1,07-2,87), besonders stark bei BMI &lt;24 kg/m² (aOR 5,66; 95% KI 2,22-17,66). Traditionelle Höhenindizes zeigten keine signifikante Assoziation (aOR 1,52; 95% KI 0,96-2,41).</w:t>
      </w:r>
    </w:p>
    <w:p>
      <w:r>
        <w:rPr>
          <w:b/>
          <w:sz w:val="19"/>
        </w:rPr>
        <w:t xml:space="preserve">Übertragbarkeit: </w:t>
      </w:r>
      <w:r>
        <w:rPr>
          <w:sz w:val="19"/>
        </w:rPr>
        <w:t>China, relevant für Versorgungspraxis: Muskelabbau als therapeutischer Angriffspunkt.</w:t>
      </w:r>
    </w:p>
    <w:p>
      <w:r>
        <w:rPr>
          <w:color w:val="5A7D3A"/>
          <w:sz w:val="18"/>
        </w:rPr>
        <w:t>https://pubmed.ncbi.nlm.nih.gov/42893075/</w:t>
      </w:r>
    </w:p>
    <w:p>
      <w:pPr>
        <w:pStyle w:val="Heading2"/>
      </w:pPr>
      <w:r>
        <w:t>Sehbehinderung reduziert Medikamentenadhärenz bei älteren Chronikern um bis zu 85 Prozent</w:t>
      </w:r>
    </w:p>
    <w:p>
      <w:r>
        <w:rPr>
          <w:i/>
          <w:color w:val="666666"/>
          <w:sz w:val="18"/>
        </w:rPr>
        <w:t>Shen Q et al.  ·  Med Sci Monit  ·  18.10.2026  ·  PMID 42892708</w:t>
      </w:r>
    </w:p>
    <w:p>
      <w:r>
        <w:t>Querschnittsstudie mit 100 Patienten &gt;60 Jahren an geriatrischer Klinik untersuchte Assoziation zwischen Grad der Sehbehinderung und Medikamentenadhärenz bei chronischen Erkrankungen mittels MMAS-8 Skala.</w:t>
      </w:r>
    </w:p>
    <w:p>
      <w:r>
        <w:rPr>
          <w:b/>
        </w:rPr>
        <w:t xml:space="preserve">Ergebnis: </w:t>
      </w:r>
      <w:r>
        <w:t>MMAS-8 Scores sanken von 7,32 (Normalsicht) auf 4,29 bei schwerer Sehbehinderung. Niedrige Adhärenz stieg von 3,7% (normal) auf 45,0% (mild), 71,4% (moderat) und 88,9% (schwer). Bereinigte Odds Ratios: milde Behinderung OR 3,45 (95% KI 1,18-10,13), moderate OR 8,72 (95% KI 2,94-25,83), schwere OR 16,45 (95% KI 4,21-64,23) versus Normalsicht.</w:t>
      </w:r>
    </w:p>
    <w:p>
      <w:r>
        <w:rPr>
          <w:b/>
          <w:sz w:val="19"/>
        </w:rPr>
        <w:t xml:space="preserve">Übertragbarkeit: </w:t>
      </w:r>
      <w:r>
        <w:rPr>
          <w:sz w:val="19"/>
        </w:rPr>
        <w:t>China, patientenschutzrelevant: Sehbehinderung als unerkanntes Adhärenzrisiko in der Praxis.</w:t>
      </w:r>
    </w:p>
    <w:p>
      <w:r>
        <w:rPr>
          <w:color w:val="5A7D3A"/>
          <w:sz w:val="18"/>
        </w:rPr>
        <w:t>https://pubmed.ncbi.nlm.nih.gov/42892708/</w:t>
      </w:r>
    </w:p>
    <w:p>
      <w:pPr>
        <w:pStyle w:val="Heading2"/>
      </w:pPr>
      <w:r>
        <w:t>CFTR-I556V-Variant erhöht COPD-Risiko um 96 Prozent nach Adjustierung</w:t>
      </w:r>
    </w:p>
    <w:p>
      <w:r>
        <w:rPr>
          <w:i/>
          <w:color w:val="666666"/>
          <w:sz w:val="18"/>
        </w:rPr>
        <w:t>Xu H et al.  ·  Int J Chron Obstruct Pulmon Dis  ·  11.10.2026  ·  PMID 42889849</w:t>
      </w:r>
    </w:p>
    <w:p>
      <w:r>
        <w:t>Klinische und experimentelle Studie mit 208 COPD-Patienten und 100 Kontrollen identifizierte CFTR-Genvarianten und untersuchte Auswirkungen der I556V-Variante auf ROS und Mitochondrienfunktion sowie Lungenparameter nach Zigarettenrauch in transgenen Mäusen.</w:t>
      </w:r>
    </w:p>
    <w:p>
      <w:r>
        <w:rPr>
          <w:b/>
        </w:rPr>
        <w:t xml:space="preserve">Ergebnis: </w:t>
      </w:r>
      <w:r>
        <w:t>I556V-Variante zeigte signifikante COPD-Assoziation (P=0,045), mit 2,12-fach erhöhtem Risiko (OR 2,12; 95% KI 1,16-3,86), nach Adjustierung für Alter, Geschlecht und Rauchen OR 1,96 (95% KI 1,01-3,81, +96%). In Mäusen führte I556V zu 23,03% erhöhter Atemwegswanddicke und 48,40% erhöhter Kollagenablagerung nach CS-Exposition mit exazerbierter Inflammation.</w:t>
      </w:r>
    </w:p>
    <w:p>
      <w:r>
        <w:rPr>
          <w:b/>
          <w:sz w:val="19"/>
        </w:rPr>
        <w:t xml:space="preserve">Übertragbarkeit: </w:t>
      </w:r>
      <w:r>
        <w:rPr>
          <w:sz w:val="19"/>
        </w:rPr>
        <w:t>China, Grundlage für genetische Stratifizierung und präventive Interventionen in Hochrisikopopulationen.</w:t>
      </w:r>
    </w:p>
    <w:p>
      <w:r>
        <w:rPr>
          <w:color w:val="5A7D3A"/>
          <w:sz w:val="18"/>
        </w:rPr>
        <w:t>https://pubmed.ncbi.nlm.nih.gov/42889849/</w:t>
      </w:r>
    </w:p>
    <w:p>
      <w:pPr>
        <w:pStyle w:val="Heading2"/>
      </w:pPr>
      <w:r>
        <w:t>Nilotinib senkt neurodegenerative Erkrankungen bei CML-Patienten um 63 Prozent</w:t>
      </w:r>
    </w:p>
    <w:p>
      <w:r>
        <w:rPr>
          <w:i/>
          <w:color w:val="666666"/>
          <w:sz w:val="18"/>
        </w:rPr>
        <w:t>Wittström F et al.  ·  Alzheimers Dement  ·  Okt. 2026  ·  PMID 42860391</w:t>
      </w:r>
    </w:p>
    <w:p>
      <w:r>
        <w:t>Schwedische populationsbasierte Kohortenstudie (2005-2024) verglich Inzidenz neurodegenerativer Erkrankungen bei 1.322 CML-Patienten unter verschiedenen Tyrosinkinasehemmern versus gematcht gesunde Vergleicher.</w:t>
      </w:r>
    </w:p>
    <w:p>
      <w:r>
        <w:rPr>
          <w:b/>
        </w:rPr>
        <w:t xml:space="preserve">Ergebnis: </w:t>
      </w:r>
      <w:r>
        <w:t>Bei 1.188 Imatinib-Nutzern (41 neurodegenerative Events) HR 0,98 (95% KI 0,71-1,36), bei 541 Dasatinib-Nutzern (15 Events) HR 1,18 (95% KI 0,68-2,03), bei 390 Nilotinib-Nutzern (5 Events) HR 0,37 (95% KI 0,15-0,90). Nur Nilotinib zeigte statistisch signifikante Assoziation mit reduzierter neurodegenerativer Erkrankung.</w:t>
      </w:r>
    </w:p>
    <w:p>
      <w:r>
        <w:rPr>
          <w:b/>
          <w:sz w:val="19"/>
        </w:rPr>
        <w:t xml:space="preserve">Übertragbarkeit: </w:t>
      </w:r>
      <w:r>
        <w:rPr>
          <w:sz w:val="19"/>
        </w:rPr>
        <w:t>Skandinavische Kohortendaten mit Universalversicherung, begrenzte Übertragbarkeit wegen Selektionseffekte bei Wirkstoffwahl.</w:t>
      </w:r>
    </w:p>
    <w:p>
      <w:r>
        <w:rPr>
          <w:color w:val="5A7D3A"/>
          <w:sz w:val="18"/>
        </w:rPr>
        <w:t>https://pubmed.ncbi.nlm.nih.gov/42860391/</w:t>
      </w:r>
    </w:p>
    <w:p>
      <w:pPr>
        <w:pStyle w:val="Heading1"/>
      </w:pPr>
      <w:r>
        <w:t>Aufgenommen am 18.10.2026</w:t>
      </w:r>
    </w:p>
    <w:p>
      <w:pPr>
        <w:pStyle w:val="Heading2"/>
      </w:pPr>
      <w:r>
        <w:t>COPD mit erhöhtem Pulsdruck verdoppelt Herzinfarktrisiko in Alter</w:t>
      </w:r>
    </w:p>
    <w:p>
      <w:r>
        <w:rPr>
          <w:i/>
          <w:color w:val="666666"/>
          <w:sz w:val="18"/>
        </w:rPr>
        <w:t>Liu G et al.  ·  Int J Chron Obstruct Pulmon Dis  ·  12.10.2026  ·  PMID 42891288</w:t>
      </w:r>
    </w:p>
    <w:p>
      <w:r>
        <w:t>Prospektive Kohortenstudie an 4183 älteren Chinesen (≥60 Jahre) mit 7-Jahres-Nachverfolgung zum Risiko kardiovaskulärer Ereignisse bei Mehrfacherkrankung (COPD und vaskuläres Altern).</w:t>
      </w:r>
    </w:p>
    <w:p>
      <w:r>
        <w:rPr>
          <w:b/>
        </w:rPr>
        <w:t xml:space="preserve">Ergebnis: </w:t>
      </w:r>
      <w:r>
        <w:t>COPD allein (HR 1,15, 95%-KI 0,84–1,57) und erhöhter Pulsdruck allein (HR 0,93, 95%-KI 0,70–1,25) waren nicht mit kardiovaskulären Ereignissen assoziiert. Beide zusammen zeigten HR 1,86 (95%-KI 1,26–2,76), primär getrieben durch Herzerkrankungen (HR 2,80, 95%-KI 1,94–4,05), nicht Schlaganfälle (HR 0,84, 95%-KI 0,43–1,65). Für Mortalität: HR 2,05 (95%-KI 1,54–2,73) bei beiden Expositionen vs. weder Exposition.</w:t>
      </w:r>
    </w:p>
    <w:p>
      <w:r>
        <w:rPr>
          <w:b/>
          <w:sz w:val="19"/>
        </w:rPr>
        <w:t xml:space="preserve">Übertragbarkeit: </w:t>
      </w:r>
      <w:r>
        <w:rPr>
          <w:sz w:val="19"/>
        </w:rPr>
        <w:t>China, Bevölkerungsstichprobe; Mehrfacherkrankung zentral, strukturelle Vergleichbarkeit begrenzt</w:t>
      </w:r>
    </w:p>
    <w:p>
      <w:r>
        <w:rPr>
          <w:color w:val="5A7D3A"/>
          <w:sz w:val="18"/>
        </w:rPr>
        <w:t>https://pubmed.ncbi.nlm.nih.gov/42891288/</w:t>
      </w:r>
    </w:p>
    <w:p>
      <w:pPr>
        <w:pStyle w:val="Heading2"/>
      </w:pPr>
      <w:r>
        <w:t>COPD-assoziierte Herzinsuffizienz stieg weltweit um 40%, Projektion bis 2050 weiter aufwärts</w:t>
      </w:r>
    </w:p>
    <w:p>
      <w:r>
        <w:rPr>
          <w:i/>
          <w:color w:val="666666"/>
          <w:sz w:val="18"/>
        </w:rPr>
        <w:t>Liu C et al.  ·  Int J Chron Obstruct Pulmon Dis  ·  12.10.2026  ·  PMID 42891260</w:t>
      </w:r>
    </w:p>
    <w:p>
      <w:r>
        <w:t>Systematische Analyse der Global Burden of Disease Study 2021 zu Prävalenz und Krankheitslast von COPD-assoziierter Herzinsuffizienz 1990–2021 mit Bayes'scher Projektion bis 2050 nach Geschlecht, Alter, Region und SDI-Kategorie.</w:t>
      </w:r>
    </w:p>
    <w:p>
      <w:r>
        <w:rPr>
          <w:b/>
        </w:rPr>
        <w:t xml:space="preserve">Ergebnis: </w:t>
      </w:r>
      <w:r>
        <w:t>2021: 3,61 Mio. Fälle COPD-assoziierte Herzinsuffizienz (1,4-facher Anstieg seit 1990). Altersstandarisierte Prävalenzrate und Years Lived with Disability stiegen insgesamt. Absolute Fälle stiegen in beiden Geschlechtern; altersstandarisierte Raten fielen bei Männern, stiegen bei Frauen. Lastspitze Alter 70–74 Jahre. Nur High-SDI-Regionen zeigten steigende altersstandarisierte Raten; Osteuropa fiel deutlich. Projektion 2022–2050: Anhaltender Anstieg altersstandarisierter Prävalenz und Krankheitslast, leicht höher bei Frauen.</w:t>
      </w:r>
    </w:p>
    <w:p>
      <w:r>
        <w:rPr>
          <w:b/>
          <w:sz w:val="19"/>
        </w:rPr>
        <w:t xml:space="preserve">Übertragbarkeit: </w:t>
      </w:r>
      <w:r>
        <w:rPr>
          <w:sz w:val="19"/>
        </w:rPr>
        <w:t>Globale GBD-Daten, Mehrfacherkrankung zentral, strukturelle Übertragbarkeit begrenzt</w:t>
      </w:r>
    </w:p>
    <w:p>
      <w:r>
        <w:rPr>
          <w:color w:val="5A7D3A"/>
          <w:sz w:val="18"/>
        </w:rPr>
        <w:t>https://pubmed.ncbi.nlm.nih.gov/42891260/</w:t>
      </w:r>
    </w:p>
    <w:p>
      <w:pPr>
        <w:pStyle w:val="Heading2"/>
      </w:pPr>
      <w:r>
        <w:t>CIDP in Saudi-Arabien: 89% erreichten klinische Besserung, 42% Relapse nach 11 Monaten</w:t>
      </w:r>
    </w:p>
    <w:p>
      <w:r>
        <w:rPr>
          <w:i/>
          <w:color w:val="666666"/>
          <w:sz w:val="18"/>
        </w:rPr>
        <w:t>Alhammad RM et al.  ·  Front Neurol  ·  01.10.2026  ·  PMID 42890075</w:t>
      </w:r>
    </w:p>
    <w:p>
      <w:r>
        <w:t>Multizentrische retrospektive Kohorte von 36 Patienten (18 m, 18 w) mit CIDP aus 5 Krankenhäusern in Saudi-Arabien (2014–2025) zur Charakterisierung Demografie, Klinik, Elektrophysiologie und Therapieergebnisse.</w:t>
      </w:r>
    </w:p>
    <w:p>
      <w:r>
        <w:rPr>
          <w:b/>
        </w:rPr>
        <w:t xml:space="preserve">Ergebnis: </w:t>
      </w:r>
      <w:r>
        <w:t>33 CIDP, 3 mögliche CIDP, Onset-Alter Durchschnitt 33 Jahre (Erwachsene: 40 Jahre). Typisch CIDP 72%, distal 8%, motorisch-dominiert 8%, multifokal 8%. Primär IVIG (42%) oder orale Steroide (33%) zur Erhaltung. Über 55 Monate: 89% erreichten mittlere Besserung im INCAT-Score (3,7-Punkte-Änderung) und 83% im MRCSS (11,9-Punkte-Änderung, p&lt;0,001). Relapse bei 42% nach mittleren 11 Monaten, meist durch suboptimale Therapie oder Nichtkompliance.</w:t>
      </w:r>
    </w:p>
    <w:p>
      <w:r>
        <w:rPr>
          <w:b/>
          <w:sz w:val="19"/>
        </w:rPr>
        <w:t xml:space="preserve">Übertragbarkeit: </w:t>
      </w:r>
      <w:r>
        <w:rPr>
          <w:sz w:val="19"/>
        </w:rPr>
        <w:t>Saudi-Arabien, multizentrische klinische Kohortendaten; regionales Benchmark für künftige Studien</w:t>
      </w:r>
    </w:p>
    <w:p>
      <w:r>
        <w:rPr>
          <w:color w:val="5A7D3A"/>
          <w:sz w:val="18"/>
        </w:rPr>
        <w:t>https://pubmed.ncbi.nlm.nih.gov/42890075/</w:t>
      </w:r>
    </w:p>
    <w:p>
      <w:pPr>
        <w:pStyle w:val="Heading2"/>
      </w:pPr>
      <w:r>
        <w:t>Hohes Parathormon vor Transplantation sagte persistierende Hyperparathyreose voraus</w:t>
      </w:r>
    </w:p>
    <w:p>
      <w:r>
        <w:rPr>
          <w:i/>
          <w:color w:val="666666"/>
          <w:sz w:val="18"/>
        </w:rPr>
        <w:t>Lam KH et al.  ·  Medicine (Baltimore)  ·  16.10.2026  ·  PMID 42888627</w:t>
      </w:r>
    </w:p>
    <w:p>
      <w:r>
        <w:t>Prospektive Kohorte von 104 Patienten mit Nierenterminalstadium nach Nierentransplantation zur Identifikation von Risikofaktoren für persistierende Hyperparathyreose (PTH ≥150 pg/mL) 6 Monate nach Transplantation.</w:t>
      </w:r>
    </w:p>
    <w:p>
      <w:r>
        <w:rPr>
          <w:b/>
        </w:rPr>
        <w:t xml:space="preserve">Ergebnis: </w:t>
      </w:r>
      <w:r>
        <w:t>Prävalenz persistierende Hyperparathyreose: 58,65%. Patienten mit persistierender Hyperparathyreose hatten signifikant höhere Baseline-PTH (Median 489 vs. 273 pg/mL, p&lt;0,001) und alkalische Phosphatase (Median 102,0 vs. 89,5 U/L, p=0,025). Längere Dialysedauer war assoziiert (Median 2,0 vs. 1,0 Jahre, p&lt;0,001). Höheres Baseline-PTH war unabhängig assoziiert mit persistierender Hyperparathyreose; Dialysedauer nur signifikant ≥1 Jahr.</w:t>
      </w:r>
    </w:p>
    <w:p>
      <w:r>
        <w:rPr>
          <w:b/>
          <w:sz w:val="19"/>
        </w:rPr>
        <w:t xml:space="preserve">Übertragbarkeit: </w:t>
      </w:r>
      <w:r>
        <w:rPr>
          <w:sz w:val="19"/>
        </w:rPr>
        <w:t>Vietnam, prospektive Klinikdaten; strukturelle Vergleichbarkeit eingeschränkt</w:t>
      </w:r>
    </w:p>
    <w:p>
      <w:r>
        <w:rPr>
          <w:color w:val="5A7D3A"/>
          <w:sz w:val="18"/>
        </w:rPr>
        <w:t>https://pubmed.ncbi.nlm.nih.gov/42888627/</w:t>
      </w:r>
    </w:p>
    <w:p>
      <w:pPr>
        <w:pStyle w:val="Heading2"/>
      </w:pPr>
      <w:r>
        <w:t>Medicare Advantage verschärft Zugang zu Nierendialyse und Transplantation</w:t>
      </w:r>
    </w:p>
    <w:p>
      <w:r>
        <w:rPr>
          <w:i/>
          <w:color w:val="666666"/>
          <w:sz w:val="18"/>
        </w:rPr>
        <w:t>Tyler DA et al.  ·  Health Serv Res  ·  Okt. 2026  ·  PMID 42888180</w:t>
      </w:r>
    </w:p>
    <w:p>
      <w:r>
        <w:t>Qualitative Studie mit 48 Interviews (56 Teilnehmende) aus Krankenversicherungsplänen, Dialyseanbieter und Nierenprogrammen in USA zur Versorgungszugang bei Nierenschädigung Terminal (ESRD) unter Medicare Advantage seit 2021.</w:t>
      </w:r>
    </w:p>
    <w:p>
      <w:r>
        <w:rPr>
          <w:b/>
        </w:rPr>
        <w:t xml:space="preserve">Ergebnis: </w:t>
      </w:r>
      <w:r>
        <w:t>Perspektiven divergierten zwischen Organisationen: Große Dialyseanbieter berichteten keine Zugangsbarrieren, kleine Anbieter beschrieben, dass Patienten zu weiter entfernten In-Network-Einrichtungen fahren mussten. Patienten waren sich Netzwerk-Restriktionen nicht bewusst. Versicherer beschrieben Beschränkungen auf «Centers of Excellence» für Transplantation; andere Teilnehmende berichteten, diese Restriktionen behinderten Transplantationszugang. Zusatzleistungen wurden von Führungskräften als wertvoll dargestellt, von Frontpersonal aber als weniger umfassend als angekündigt beschrieben.</w:t>
      </w:r>
    </w:p>
    <w:p>
      <w:r>
        <w:rPr>
          <w:b/>
          <w:sz w:val="19"/>
        </w:rPr>
        <w:t xml:space="preserve">Übertragbarkeit: </w:t>
      </w:r>
      <w:r>
        <w:rPr>
          <w:sz w:val="19"/>
        </w:rPr>
        <w:t>USA, Medicare Advantage; Übertragbarkeit auf deutsche Versichertenversorgung gering</w:t>
      </w:r>
    </w:p>
    <w:p>
      <w:r>
        <w:rPr>
          <w:color w:val="5A7D3A"/>
          <w:sz w:val="18"/>
        </w:rPr>
        <w:t>https://pubmed.ncbi.nlm.nih.gov/42888180/</w:t>
      </w:r>
    </w:p>
    <w:p>
      <w:pPr>
        <w:pStyle w:val="Heading2"/>
      </w:pPr>
      <w:r>
        <w:t>IL-6-Spiegeldynamik, nicht Baseline, zeigte Ansprechen auf B-Zell-Therapie bei MS</w:t>
      </w:r>
    </w:p>
    <w:p>
      <w:r>
        <w:rPr>
          <w:i/>
          <w:color w:val="666666"/>
          <w:sz w:val="18"/>
        </w:rPr>
        <w:t>Kölsche T et al.  ·  BMC Neurol  ·  21.08.2026  ·  PMID 42629559</w:t>
      </w:r>
    </w:p>
    <w:p>
      <w:r>
        <w:t>Retrospektive Kohortenstudie an 73 MS-Patienten (30 schubförmig-remittierend, 43 primär progredient) unter Ocrelizumab zur Validierung von Baseline-IL-6 und longitudinalen IL-6-Spiegeln als Biomarker für Therapieerfolg über 24 Monate.</w:t>
      </w:r>
    </w:p>
    <w:p>
      <w:r>
        <w:rPr>
          <w:b/>
        </w:rPr>
        <w:t xml:space="preserve">Ergebnis: </w:t>
      </w:r>
      <w:r>
        <w:t>Baseline-IL-6 unterschied sich nicht zwischen MS-Patienten und gesunden Kontrollen (p=0,178). Baseline-IL-6 war kein unabhängiger Prädiktor für Krankheitsaktivität (HR 1,83, 95%-KI 0,73–4,61, p=0,989). Longitudinal: Patienten, die NEDA-3 (No Evidence of Disease Activity) erhielten, zeigten 50% IL-6-Reduktion nach 12 Monaten (mittlere Änderung −1,30 pg/mL, p=0,0318); Verlust von NEDA-3 ging mit stabilen IL-6-Werten einher (0,09 pg/mL). Schlussfolgerung: Dynamische IL-6-Spiegel, nicht statische Baseline, reflektieren Therapieantwort besser.</w:t>
      </w:r>
    </w:p>
    <w:p>
      <w:r>
        <w:rPr>
          <w:b/>
          <w:sz w:val="19"/>
        </w:rPr>
        <w:t xml:space="preserve">Übertragbarkeit: </w:t>
      </w:r>
      <w:r>
        <w:rPr>
          <w:sz w:val="19"/>
        </w:rPr>
        <w:t>Deutschland (Düsseldorf), klinische Routinedaten MS-Zentren, vergleichbares System</w:t>
      </w:r>
    </w:p>
    <w:p>
      <w:r>
        <w:rPr>
          <w:color w:val="5A7D3A"/>
          <w:sz w:val="18"/>
        </w:rPr>
        <w:t>https://pubmed.ncbi.nlm.nih.gov/42629559/</w:t>
      </w:r>
    </w:p>
    <w:p>
      <w:pPr>
        <w:pStyle w:val="Heading1"/>
      </w:pPr>
      <w:r>
        <w:t>Aufgenommen am 17.10.2026</w:t>
      </w:r>
    </w:p>
    <w:p>
      <w:pPr>
        <w:pStyle w:val="Heading2"/>
      </w:pPr>
      <w:r>
        <w:t>Nierentransplantation verbessert Lebensqualität deutlich auch in Ländern mit niedrigem Einkommen</w:t>
      </w:r>
    </w:p>
    <w:p>
      <w:r>
        <w:rPr>
          <w:i/>
          <w:color w:val="666666"/>
          <w:sz w:val="18"/>
        </w:rPr>
        <w:t>Jafry NH et al.  ·  Exp Clin Transplant  ·  Sept. 2026  ·  PMID 42885702</w:t>
      </w:r>
    </w:p>
    <w:p>
      <w:r>
        <w:t>Querschnittstudie mit 205 erwachsenen Nierentransplantatempfängern (≥1 Jahr nach Transplantation) in Pakistan zu gesundheitsbezogener Lebensqualität mittels SF-36.</w:t>
      </w:r>
    </w:p>
    <w:p>
      <w:r>
        <w:rPr>
          <w:b/>
        </w:rPr>
        <w:t xml:space="preserve">Ergebnis: </w:t>
      </w:r>
      <w:r>
        <w:t>SF-36-Durchschnittswert 99,5±4,81 (hohe Lebensqualität). Körperfunktion 96,8±8,5 und soziale Funktion 95,5±15,7 besonders hoch; Allgemeingesundheitswahrnehmung niedriger (82,5±22,5). Männliche Patienten hatten bessere körperliche Funktion als weibliche (p=0,031). Strukturierte Transplantprogramme wirksam auch unter Ressourcenmangel; geschlechtsspezifische Nachsorge empfohlen.</w:t>
      </w:r>
    </w:p>
    <w:p>
      <w:r>
        <w:rPr>
          <w:b/>
          <w:sz w:val="19"/>
        </w:rPr>
        <w:t xml:space="preserve">Übertragbarkeit: </w:t>
      </w:r>
      <w:r>
        <w:rPr>
          <w:sz w:val="19"/>
        </w:rPr>
        <w:t>Pakistan; begrenzt auf ähnlich strukturierte Gesundheitssysteme ohne Versicherungsschutz</w:t>
      </w:r>
    </w:p>
    <w:p>
      <w:r>
        <w:rPr>
          <w:color w:val="5A7D3A"/>
          <w:sz w:val="18"/>
        </w:rPr>
        <w:t>https://pubmed.ncbi.nlm.nih.gov/42885702/</w:t>
      </w:r>
    </w:p>
    <w:p>
      <w:pPr>
        <w:pStyle w:val="Heading2"/>
      </w:pPr>
      <w:r>
        <w:t>Polypharmaka-Intensität erhöht Funktionsbehinderung bei Mehrfacherkrankung: 5-Jahres-Longitudinalstudie in China</w:t>
      </w:r>
    </w:p>
    <w:p>
      <w:r>
        <w:rPr>
          <w:i/>
          <w:color w:val="666666"/>
          <w:sz w:val="18"/>
        </w:rPr>
        <w:t>Wang QC et al.  ·  Geriatr Gerontol Int  ·  Okt. 2026  ·  PMID 42885111</w:t>
      </w:r>
    </w:p>
    <w:p>
      <w:r>
        <w:t>Längsschnittstudie mit 7.477 chinesischen Teilnehmern ≥45 Jahren mit ≥2 chronischen Erkrankungen (CHARLS 2015–2020) zum Zusammenhang zwischen multimorbidity-adjusted pharmacotherapy intensity (MA-PI) und funktioneller Behinderung.</w:t>
      </w:r>
    </w:p>
    <w:p>
      <w:r>
        <w:rPr>
          <w:b/>
        </w:rPr>
        <w:t xml:space="preserve">Ergebnis: </w:t>
      </w:r>
      <w:r>
        <w:t>2020: 33,5% mit ADL-Behinderung, 22,8% mit incident ADL-Behinderung, 26,3% mit Hospitalisierung. Höhere MA-PI (Q3 vs. Q1): OR 1,21 (95%-KI 1,01–1,44) für ADL-Behinderung; Q4: OR 1,28 (95%-KI 1,07–1,53). Incident disability ohne Baseline-Behinderung: Q4 OR 1,32 (95%-KI 1,06–1,64). Hospitalisierung Q3/Q4: OR 1,24/1,29. MA-PI kann Überbehandlung und Funktionsverlust in der Population identifizieren.</w:t>
      </w:r>
    </w:p>
    <w:p>
      <w:r>
        <w:rPr>
          <w:b/>
          <w:sz w:val="19"/>
        </w:rPr>
        <w:t xml:space="preserve">Übertragbarkeit: </w:t>
      </w:r>
      <w:r>
        <w:rPr>
          <w:sz w:val="19"/>
        </w:rPr>
        <w:t>China; Mehrfacherkrankung und Polypharmaka-Problematik universal, Übertragung auf deutsche Kohorte sinnvoll</w:t>
      </w:r>
    </w:p>
    <w:p>
      <w:r>
        <w:rPr>
          <w:color w:val="5A7D3A"/>
          <w:sz w:val="18"/>
        </w:rPr>
        <w:t>https://pubmed.ncbi.nlm.nih.gov/42885111/</w:t>
      </w:r>
    </w:p>
    <w:p>
      <w:pPr>
        <w:pStyle w:val="Heading2"/>
      </w:pPr>
      <w:r>
        <w:t>Mehrfacherkrankung im Krankenhaus: Was erschwert Entscheidungen bei komplexen Patienten</w:t>
      </w:r>
    </w:p>
    <w:p>
      <w:r>
        <w:rPr>
          <w:i/>
          <w:color w:val="666666"/>
          <w:sz w:val="18"/>
        </w:rPr>
        <w:t>Pretorius S et al.  ·  BMC Med  ·  16.10.2026  ·  PMID 42881454</w:t>
      </w:r>
    </w:p>
    <w:p>
      <w:r>
        <w:t>Qualitative Studie mit 40 Klinikstaffmitarbeitern in England zu Entscheidungsfindung bei hospitalisierten Patienten mit Mehrfacherkrankung.</w:t>
      </w:r>
    </w:p>
    <w:p>
      <w:r>
        <w:rPr>
          <w:b/>
        </w:rPr>
        <w:t xml:space="preserve">Ergebnis: </w:t>
      </w:r>
      <w:r>
        <w:t>Personalentscheidungen werden durch komplexe Patientenprofile, Systemdruck und inflexible Strukturen behindert. Ärzte nutzen Heuristiken und relationale Strategien zur Risikominderung, berichten aber, dass compensatory work allein unzureichend ist. Systemische Änderungen – bessere Gemeindeversorgung, generalistisches Fachwissen, flexible Versorgungspfade – könnten helfen.</w:t>
      </w:r>
    </w:p>
    <w:p>
      <w:r>
        <w:rPr>
          <w:b/>
          <w:sz w:val="19"/>
        </w:rPr>
        <w:t xml:space="preserve">Übertragbarkeit: </w:t>
      </w:r>
      <w:r>
        <w:rPr>
          <w:sz w:val="19"/>
        </w:rPr>
        <w:t>England, NHS-System; übertragbar auf deutsche Kliniken mit ähnlicher Spezialisierungslogik</w:t>
      </w:r>
    </w:p>
    <w:p>
      <w:r>
        <w:rPr>
          <w:color w:val="5A7D3A"/>
          <w:sz w:val="18"/>
        </w:rPr>
        <w:t>https://pubmed.ncbi.nlm.nih.gov/42881454/</w:t>
      </w:r>
    </w:p>
    <w:p>
      <w:pPr>
        <w:pStyle w:val="Heading2"/>
      </w:pPr>
      <w:r>
        <w:t>Patientenerfahrung mit Mehrfacherkrankung im Krankenhaus: Spezialisierung als Hindernis</w:t>
      </w:r>
    </w:p>
    <w:p>
      <w:r>
        <w:rPr>
          <w:i/>
          <w:color w:val="666666"/>
          <w:sz w:val="18"/>
        </w:rPr>
        <w:t>Bellass S et al.  ·  BMC Med  ·  16.10.2026  ·  PMID 42881406</w:t>
      </w:r>
    </w:p>
    <w:p>
      <w:r>
        <w:t>Qualitative Studie mit 44 hospitalisierten Patienten (44 mit 2–11 Erkrankungen) in England zu deren Versorgungserfahrung.</w:t>
      </w:r>
    </w:p>
    <w:p>
      <w:r>
        <w:rPr>
          <w:b/>
        </w:rPr>
        <w:t xml:space="preserve">Ergebnis: </w:t>
      </w:r>
      <w:r>
        <w:t>Patienten erleben Krankenhaus als Spezialistenumgebung, die auf Einzelerkrankungen ausgerichtet ist. Positive Versorgung hängt von Alignment zwischen Kliniker- und Patientenwissen ab. Organisatorische Barrieren gegen holistische Betreuung wahrgenommen. Empfehlung: Einbezug von Patient-Expertise in Entscheidungsprozesse; flexibles Servicedesign erforderlich.</w:t>
      </w:r>
    </w:p>
    <w:p>
      <w:r>
        <w:rPr>
          <w:b/>
          <w:sz w:val="19"/>
        </w:rPr>
        <w:t xml:space="preserve">Übertragbarkeit: </w:t>
      </w:r>
      <w:r>
        <w:rPr>
          <w:sz w:val="19"/>
        </w:rPr>
        <w:t>England, NHS-Universitätskliniken; Struktur- und Koordinationsprobleme vergleichbar mit deutschen Klinikabläufen</w:t>
      </w:r>
    </w:p>
    <w:p>
      <w:r>
        <w:rPr>
          <w:color w:val="5A7D3A"/>
          <w:sz w:val="18"/>
        </w:rPr>
        <w:t>https://pubmed.ncbi.nlm.nih.gov/42881406/</w:t>
      </w:r>
    </w:p>
    <w:p>
      <w:pPr>
        <w:pStyle w:val="Heading2"/>
      </w:pPr>
      <w:r>
        <w:t>Atemmuskelkraft prognostiziert Symptomverschlechterung bei COPD besser als Standard-Spirometrie</w:t>
      </w:r>
    </w:p>
    <w:p>
      <w:r>
        <w:rPr>
          <w:i/>
          <w:color w:val="666666"/>
          <w:sz w:val="18"/>
        </w:rPr>
        <w:t>Niu M et al.  ·  Clin Respir J  ·  Okt. 2026  ·  PMID 42878658</w:t>
      </w:r>
    </w:p>
    <w:p>
      <w:r>
        <w:t>Retrospektive Kohortenstudie mit 203 stabilen COPD-Patienten zur Vorhersage klinisch signifikanter CAT-Score-Verschlechterung (≥2 Punkte/12 Monate) mittels Atemmuskelkraft.</w:t>
      </w:r>
    </w:p>
    <w:p>
      <w:r>
        <w:rPr>
          <w:b/>
        </w:rPr>
        <w:t xml:space="preserve">Ergebnis: </w:t>
      </w:r>
      <w:r>
        <w:t>62 Patienten (30,5%) erlebten CAT-Verschlechterung. Niedrigere FEV₁%-Vorhersage, maximale inspiratorische Druckfunktion (MIP) und Zwerchfellverdickungsfraktion (DTF) waren protektiv. Modell mit MIP/DTF: AUC 0,873 (95%-KI 0,822–0,924), nach Optimismus-Korrektur 0,859. MIP/DTF erhöhten AUC von 0,801 auf 0,873 (NRI 0,527, IDI 0,058). Externe Validierung erforderlich.</w:t>
      </w:r>
    </w:p>
    <w:p>
      <w:r>
        <w:rPr>
          <w:b/>
          <w:sz w:val="19"/>
        </w:rPr>
        <w:t xml:space="preserve">Übertragbarkeit: </w:t>
      </w:r>
      <w:r>
        <w:rPr>
          <w:sz w:val="19"/>
        </w:rPr>
        <w:t>China; Atemmuskelprüfung in allen Ländern möglich, Übertragbarkeit des Prognose-Modells offen</w:t>
      </w:r>
    </w:p>
    <w:p>
      <w:r>
        <w:rPr>
          <w:color w:val="5A7D3A"/>
          <w:sz w:val="18"/>
        </w:rPr>
        <w:t>https://pubmed.ncbi.nlm.nih.gov/42878658/</w:t>
      </w:r>
    </w:p>
    <w:p>
      <w:pPr>
        <w:pStyle w:val="Heading2"/>
      </w:pPr>
      <w:r>
        <w:t>Akutes Nierenschädigungssyndrom nach akutem Nierenversagen: 45,6% entwickeln Chronizität innerhalb von 90 Tagen</w:t>
      </w:r>
    </w:p>
    <w:p>
      <w:r>
        <w:rPr>
          <w:i/>
          <w:color w:val="666666"/>
          <w:sz w:val="18"/>
        </w:rPr>
        <w:t>Hu S et al.  ·  Ren Fail  ·  15.10.2026  ·  PMID 42876246</w:t>
      </w:r>
    </w:p>
    <w:p>
      <w:r>
        <w:t>Retrospektive Kohortenstudie mit 23.868 erwachsenen Patienten nach mindestens einer AKI-Episode (2015–2024) in China zur Inzidenz und Prognose des Acute Kidney Disease (AKD).</w:t>
      </w:r>
    </w:p>
    <w:p>
      <w:r>
        <w:rPr>
          <w:b/>
        </w:rPr>
        <w:t xml:space="preserve">Ergebnis: </w:t>
      </w:r>
      <w:r>
        <w:t>10.884 von 23.868 Patienten (45,6%) entwickelten AKD. Unabhängige Risikofaktoren: hohes Alter, Hypertonie, Herzinsuffizienz, Zirrhose, Diuretikagebrauch, höheres AKI-Stadium, Dialyse-Bedarf. Unter 6.597 Patienten ohne vorbestehende CKD entwickelten 19,8% de novo CKD (HR 1,92; 95%-KI 1,70–2,17). Frühe Erkennung und Zielinterventionen für Risikopatienten essenziell.</w:t>
      </w:r>
    </w:p>
    <w:p>
      <w:r>
        <w:rPr>
          <w:b/>
          <w:sz w:val="19"/>
        </w:rPr>
        <w:t xml:space="preserve">Übertragbarkeit: </w:t>
      </w:r>
      <w:r>
        <w:rPr>
          <w:sz w:val="19"/>
        </w:rPr>
        <w:t>China; Datengründung und Risikofaktoren auf nicht-europäische Population bezogen</w:t>
      </w:r>
    </w:p>
    <w:p>
      <w:r>
        <w:rPr>
          <w:color w:val="5A7D3A"/>
          <w:sz w:val="18"/>
        </w:rPr>
        <w:t>https://pubmed.ncbi.nlm.nih.gov/42876246/</w:t>
      </w:r>
    </w:p>
    <w:p>
      <w:pPr>
        <w:pStyle w:val="Heading2"/>
      </w:pPr>
      <w:r>
        <w:t>Antivirale Therapie bei HBV-HCC untergenutzt: 3- und 5-Jahres-Überlebensraten um 20% höher mit Behandlung</w:t>
      </w:r>
    </w:p>
    <w:p>
      <w:r>
        <w:rPr>
          <w:i/>
          <w:color w:val="666666"/>
          <w:sz w:val="18"/>
        </w:rPr>
        <w:t>Kudaravalli S et al.  ·  J Viral Hepat  ·  Nov. 2026  ·  PMID 42876044</w:t>
      </w:r>
    </w:p>
    <w:p>
      <w:r>
        <w:t>Systematischer Review und Meta-Analyse von 78 Studien (68.243 Patienten, 2006–2024) zur Nutzung von Nukleosid(t)id-Analoga und Überleben bei HBV-assoziiertem hepatozellulärem Karzinom.</w:t>
      </w:r>
    </w:p>
    <w:p>
      <w:r>
        <w:rPr>
          <w:b/>
        </w:rPr>
        <w:t xml:space="preserve">Ergebnis: </w:t>
      </w:r>
      <w:r>
        <w:t>Gepoolte antivirale Behandlungsrate 53,1% (52 Studien, 41.345 Patienten); nur 17,2% erhielten Therapie vor HCC-Diagnose. Behandelte vs. Unbehandelte: 3-Jahres-OS 80,4% vs. 59,2% (p&lt;0,01), 5-Jahres-OS 72,1% vs. 46,8% (p&lt;0,01). Bei inaktivem HCC 5-Jahres-OS 78,0% vs. 56,4% (p&lt;0,01). Antivirale Therapie bleibt unabhängig mit verbessertem 5-Jahres-Überleben assoziiert.</w:t>
      </w:r>
    </w:p>
    <w:p>
      <w:r>
        <w:rPr>
          <w:b/>
          <w:sz w:val="19"/>
        </w:rPr>
        <w:t xml:space="preserve">Übertragbarkeit: </w:t>
      </w:r>
      <w:r>
        <w:rPr>
          <w:sz w:val="19"/>
        </w:rPr>
        <w:t>Globale Daten; Versorgungslücke universal, Kosteneffektivität muss regional geklärt werden</w:t>
      </w:r>
    </w:p>
    <w:p>
      <w:r>
        <w:rPr>
          <w:color w:val="5A7D3A"/>
          <w:sz w:val="18"/>
        </w:rPr>
        <w:t>https://pubmed.ncbi.nlm.nih.gov/42876044/</w:t>
      </w:r>
    </w:p>
    <w:p>
      <w:pPr>
        <w:pStyle w:val="Heading1"/>
      </w:pPr>
      <w:r>
        <w:t>Aufgenommen am 16.10.2026</w:t>
      </w:r>
    </w:p>
    <w:p>
      <w:pPr>
        <w:pStyle w:val="Heading2"/>
      </w:pPr>
      <w:r>
        <w:t>α1-Antitrypsin-Mangel unterdiagnostiziert: Testung bei nur 5,8 % der COPD-Patienten</w:t>
      </w:r>
    </w:p>
    <w:p>
      <w:r>
        <w:rPr>
          <w:i/>
          <w:color w:val="666666"/>
          <w:sz w:val="18"/>
        </w:rPr>
        <w:t>Baldomero AK et al.  ·  JAMA Netw Open  ·  01.10.2026  ·  PMID 42879152</w:t>
      </w:r>
    </w:p>
    <w:p>
      <w:r>
        <w:t>Retrospektive multizentrische Kohortenstudie mit 2.384.913 Personen mit COPD/Asthma aus US-Veteranensystem 2020–2024 zur Testungsrate und Therapie des α1-Antitrypsin-Mangels und deren Ungleichverteilung.</w:t>
      </w:r>
    </w:p>
    <w:p>
      <w:r>
        <w:rPr>
          <w:b/>
        </w:rPr>
        <w:t xml:space="preserve">Ergebnis: </w:t>
      </w:r>
      <w:r>
        <w:t>Von 2.384.913 Patienten wurden 138.278 (5,8 %) getestet; von 8.564 Diagnosefällen erhielten nur 320 (3,7 %) Augmentationstherapie. Assoziationen: höhere Testung mit Zirrhose (aOR 6,40; 95%-KI: 6,29–6,51) und Bronchiektasen (aOR 3,73; 95%-KI: 3,59–3,87). Niedrigere Testung: höheres Alter, aktiver Tabakkonsum, längere Anfahrtszeiten (&gt;90 vs. ≤30 min: aOR 0,63). Disparitäten nach Ethnizität und sozioökonomischem Status.</w:t>
      </w:r>
    </w:p>
    <w:p>
      <w:r>
        <w:rPr>
          <w:b/>
          <w:sz w:val="19"/>
        </w:rPr>
        <w:t xml:space="preserve">Übertragbarkeit: </w:t>
      </w:r>
      <w:r>
        <w:rPr>
          <w:sz w:val="19"/>
        </w:rPr>
        <w:t>USA – Befund der Unterdiagnose und Ungleichverteilung ist grundsätzlich übertragbar; System unterscheidet sich erheblich.</w:t>
      </w:r>
    </w:p>
    <w:p>
      <w:r>
        <w:rPr>
          <w:color w:val="5A7D3A"/>
          <w:sz w:val="18"/>
        </w:rPr>
        <w:t>https://pubmed.ncbi.nlm.nih.gov/42879152/</w:t>
      </w:r>
    </w:p>
    <w:p>
      <w:pPr>
        <w:pStyle w:val="Heading2"/>
      </w:pPr>
      <w:r>
        <w:t>Glukoseverwertung sagt Mehrfacherkrankung besser voraus als andere Marker</w:t>
      </w:r>
    </w:p>
    <w:p>
      <w:r>
        <w:rPr>
          <w:i/>
          <w:color w:val="666666"/>
          <w:sz w:val="18"/>
        </w:rPr>
        <w:t>Wang Z et al.  ·  Front Endocrinol (Lausanne)  ·  30.09.2026  ·  PMID 42877036</w:t>
      </w:r>
    </w:p>
    <w:p>
      <w:r>
        <w:t>Longitudinale Kohortenstudie mit 6.407 chinesischen Teilnehmern (45–79 Jahre) aus CHARLS 2011–2020 zur Vorhersage von kardiometabolischer Mehrfacherkrankung (mind. 2 von: Diabetes, Herzerkrankung, Schlaganfall) mittels eGDR, TyG und AIP.</w:t>
      </w:r>
    </w:p>
    <w:p>
      <w:r>
        <w:rPr>
          <w:b/>
        </w:rPr>
        <w:t xml:space="preserve">Ergebnis: </w:t>
      </w:r>
      <w:r>
        <w:t>593 Fälle von Mehrfacherkrankung. eGDR: HR 1,92 (95%-KI: 1,77–2,09) pro SD ungünstiger Richtung; TyG: HR 1,69 (95%-KI: 1,57–1,82); AIP: HR 1,51 (95%-KI: 1,39–1,64). eGDR zeigte größten Einzelmarker-Gewinn (ΔC-Index 0,041), TyG komplementär; AIP marginal. Interne Validierung bestätigt.</w:t>
      </w:r>
    </w:p>
    <w:p>
      <w:r>
        <w:rPr>
          <w:b/>
          <w:sz w:val="19"/>
        </w:rPr>
        <w:t xml:space="preserve">Übertragbarkeit: </w:t>
      </w:r>
      <w:r>
        <w:rPr>
          <w:sz w:val="19"/>
        </w:rPr>
        <w:t>China, repräsentative Kohortenstudie; Risikoscores unabhängig vom Gesundheitssystem übertragbar.</w:t>
      </w:r>
    </w:p>
    <w:p>
      <w:r>
        <w:rPr>
          <w:color w:val="5A7D3A"/>
          <w:sz w:val="18"/>
        </w:rPr>
        <w:t>https://pubmed.ncbi.nlm.nih.gov/42877036/</w:t>
      </w:r>
    </w:p>
    <w:p>
      <w:pPr>
        <w:pStyle w:val="Heading2"/>
      </w:pPr>
      <w:r>
        <w:t>PaCO₂-Schwellwert sagt Scheitern der NIV bei COPD-Exazerbation voraus</w:t>
      </w:r>
    </w:p>
    <w:p>
      <w:r>
        <w:rPr>
          <w:i/>
          <w:color w:val="666666"/>
          <w:sz w:val="18"/>
        </w:rPr>
        <w:t>Song F et al.  ·  Int J Chron Obstruct Pulmon Dis  ·  09.10.2026  ·  PMID 42876922</w:t>
      </w:r>
    </w:p>
    <w:p>
      <w:r>
        <w:t>Zweizentrische retrospektive Kohortenstudie mit 676 Patienten mit akuter COPD-Exazerbation und Typ-II-Ateminsuffizienz, behandelt mit nicht-invasiver Beatmung (NIV), zur Vorhersage von NIV-Versagen.</w:t>
      </w:r>
    </w:p>
    <w:p>
      <w:r>
        <w:rPr>
          <w:b/>
        </w:rPr>
        <w:t xml:space="preserve">Ergebnis: </w:t>
      </w:r>
      <w:r>
        <w:t>NIV-Versagen in 10,8 % (73 Patienten). Nach vollständiger Anpassung: jede Steigerung von PaCO₂ um 1 mmHg mit 3 % höherer Versagenswahrscheinlichkeit (OR 1,03; 95%-KI: 1,01–1,06). Schwellwert bei 60,2 mmHg identifiziert Hochrisikopatienten; AUC 0,805 des multivariaten Modells.</w:t>
      </w:r>
    </w:p>
    <w:p>
      <w:r>
        <w:rPr>
          <w:b/>
          <w:sz w:val="19"/>
        </w:rPr>
        <w:t xml:space="preserve">Übertragbarkeit: </w:t>
      </w:r>
      <w:r>
        <w:rPr>
          <w:sz w:val="19"/>
        </w:rPr>
        <w:t>China, klinische Routine; verfügbarer Bedside-Parameter, unabhängig von Gesundheitssystem.</w:t>
      </w:r>
    </w:p>
    <w:p>
      <w:r>
        <w:rPr>
          <w:color w:val="5A7D3A"/>
          <w:sz w:val="18"/>
        </w:rPr>
        <w:t>https://pubmed.ncbi.nlm.nih.gov/42876922/</w:t>
      </w:r>
    </w:p>
    <w:p>
      <w:pPr>
        <w:pStyle w:val="Heading2"/>
      </w:pPr>
      <w:r>
        <w:t>Koordinierte Pflege verbessert Versorgung von älteren Menschen mit Mehrfacherkrankungen</w:t>
      </w:r>
    </w:p>
    <w:p>
      <w:r>
        <w:rPr>
          <w:i/>
          <w:color w:val="666666"/>
          <w:sz w:val="18"/>
        </w:rPr>
        <w:t>Lagerin A et al.  ·  BMC Prim Care  ·  09.10.2026  ·  PMID 42875741</w:t>
      </w:r>
    </w:p>
    <w:p>
      <w:r>
        <w:t>Qualitative Studie mit 15 Bezirkspflegerinnen an fünf schwedischen Hausarztpraxen zur Versorgung älterer Menschen mit komplexer Mehrfacherkrankung und psychischen Problemen.</w:t>
      </w:r>
    </w:p>
    <w:p>
      <w:r>
        <w:rPr>
          <w:b/>
        </w:rPr>
        <w:t xml:space="preserve">Ergebnis: </w:t>
      </w:r>
      <w:r>
        <w:t>Fachkräfte fühlen sich fachlich kompetent und bereit, Verantwortung für Patienten mit Mehrfacherkrankungen zu übernehmen – wenn Zeit, Unterstützung und Struktur vorhanden sind. Zentrale Erkenntnisse: Bedarf nach verbindlich definierten Rollen, Grenzen für Koordinierungsaufgaben und struktureller Entlastung bei Kooperationslücken.</w:t>
      </w:r>
    </w:p>
    <w:p>
      <w:r>
        <w:rPr>
          <w:b/>
          <w:sz w:val="19"/>
        </w:rPr>
        <w:t xml:space="preserve">Übertragbarkeit: </w:t>
      </w:r>
      <w:r>
        <w:rPr>
          <w:sz w:val="19"/>
        </w:rPr>
        <w:t>Schweden, Hausarztpraxen; ähnliche Primärversorgungsstruktur wie Deutschland-Ansätze ohne verbindliche Steuerung.</w:t>
      </w:r>
    </w:p>
    <w:p>
      <w:r>
        <w:rPr>
          <w:color w:val="5A7D3A"/>
          <w:sz w:val="18"/>
        </w:rPr>
        <w:t>https://pubmed.ncbi.nlm.nih.gov/42875741/</w:t>
      </w:r>
    </w:p>
    <w:p>
      <w:pPr>
        <w:pStyle w:val="Heading2"/>
      </w:pPr>
      <w:r>
        <w:t>Post-COVID-Symptome bei Migranten: ethnische Unterschiede in Amsterdam</w:t>
      </w:r>
    </w:p>
    <w:p>
      <w:r>
        <w:rPr>
          <w:i/>
          <w:color w:val="666666"/>
          <w:sz w:val="18"/>
        </w:rPr>
        <w:t>Spronk M et al.  ·  Epidemiol Infect  ·  14.10.2026  ·  PMID 42870569</w:t>
      </w:r>
    </w:p>
    <w:p>
      <w:r>
        <w:t>Retrospektive Kohortenstudie mit 932 COVID-19-Erkrankten in Amsterdam zur Prävalenz von post-COVID-Symptomen (≥3 Monate) stratifiziert nach sechs ethnischen Gruppen.</w:t>
      </w:r>
    </w:p>
    <w:p>
      <w:r>
        <w:rPr>
          <w:b/>
        </w:rPr>
        <w:t xml:space="preserve">Ergebnis: </w:t>
      </w:r>
      <w:r>
        <w:t>31 % (95%-KI: 27–37 %) entwickelten post-COVID-Symptome. Nach 3 Monaten: 17 % bei niederländischer Herkunft vs. 41 % (95%-KI: 34–48 %) bei südostasiatisch-surinamischer Herkunft, beide p &lt; 0,001. Risikofaktoren: südostasiatisch-surinamische, türkische oder marokkanische Herkunft, höheres Alter, weiblich, niedrigere Bildung, Adipositas.</w:t>
      </w:r>
    </w:p>
    <w:p>
      <w:r>
        <w:rPr>
          <w:b/>
          <w:sz w:val="19"/>
        </w:rPr>
        <w:t xml:space="preserve">Übertragbarkeit: </w:t>
      </w:r>
      <w:r>
        <w:rPr>
          <w:sz w:val="19"/>
        </w:rPr>
        <w:t>Niederlande, vergleichbares Sozialsicherungssystem und Versorgungskontext.</w:t>
      </w:r>
    </w:p>
    <w:p>
      <w:r>
        <w:rPr>
          <w:color w:val="5A7D3A"/>
          <w:sz w:val="18"/>
        </w:rPr>
        <w:t>https://pubmed.ncbi.nlm.nih.gov/42870569/</w:t>
      </w:r>
    </w:p>
    <w:p>
      <w:pPr>
        <w:pStyle w:val="Heading2"/>
      </w:pPr>
      <w:r>
        <w:t>AA-Amyloidose bei autoinflammatorischen Erkrankungen: verzögerte Diagnose und hohe Krankheitslast</w:t>
      </w:r>
    </w:p>
    <w:p>
      <w:r>
        <w:rPr>
          <w:i/>
          <w:color w:val="666666"/>
          <w:sz w:val="18"/>
        </w:rPr>
        <w:t>El Moussaoui M et al.  ·  J Intern Med  ·  07.09.2026  ·  PMID 42706496</w:t>
      </w:r>
    </w:p>
    <w:p>
      <w:r>
        <w:t>Retrospektive Studie am französischen Referenzzentrum mit 181 Patienten mit sekundärer AA-Amyloidose; 50 davon (28 %) mit familiärem Mittelmeerfieber, CAPS, MKD oder TRAPS.</w:t>
      </w:r>
    </w:p>
    <w:p>
      <w:r>
        <w:rPr>
          <w:b/>
        </w:rPr>
        <w:t xml:space="preserve">Ergebnis: </w:t>
      </w:r>
      <w:r>
        <w:t>AA-Amyloidose ging der Diagnose der Grunderkrankung in 40 % der Fälle voraus (besonders bei Non-FMF). 46 % benötigten Nierentransplantation, Mortalität 26 % während Nachverfolgung. Erkrankungslast bleibt hoch trotz bekannter Erkrankung – weist auf verzögerte Diagnose hin.</w:t>
      </w:r>
    </w:p>
    <w:p>
      <w:r>
        <w:rPr>
          <w:b/>
          <w:sz w:val="19"/>
        </w:rPr>
        <w:t xml:space="preserve">Übertragbarkeit: </w:t>
      </w:r>
      <w:r>
        <w:rPr>
          <w:sz w:val="19"/>
        </w:rPr>
        <w:t>Frankreich, europäisches Referenzzentrum; übertragbar auf strukturierte Früherkennung in Deutschland.</w:t>
      </w:r>
    </w:p>
    <w:p>
      <w:r>
        <w:rPr>
          <w:color w:val="5A7D3A"/>
          <w:sz w:val="18"/>
        </w:rPr>
        <w:t>https://pubmed.ncbi.nlm.nih.gov/42706496/</w:t>
      </w:r>
    </w:p>
    <w:p>
      <w:pPr>
        <w:pStyle w:val="Heading1"/>
      </w:pPr>
      <w:r>
        <w:t>Aufgenommen am 15.10.2026</w:t>
      </w:r>
    </w:p>
    <w:p>
      <w:pPr>
        <w:pStyle w:val="Heading2"/>
      </w:pPr>
      <w:r>
        <w:t>COPD-Leitlinie: Gestaffelte Therapie senkt Exazerbationen in der Praxis</w:t>
      </w:r>
    </w:p>
    <w:p>
      <w:r>
        <w:rPr>
          <w:i/>
          <w:color w:val="666666"/>
          <w:sz w:val="18"/>
        </w:rPr>
        <w:t>D'Urzo AD et al.  ·  Can Fam Physician  ·  Okt. 2026  ·  PMID 42875068</w:t>
      </w:r>
    </w:p>
    <w:p>
      <w:r>
        <w:t>Umsetzungsleitlinie für Hausärzte zur 2023-Empfehlung der Canadian Thoracic Society beschreibt, wie Bronchodilator-Monotherapie bei leichter, Dualtherapie bei moderater und Tripeltherapie bei schwerer stabiler COPD die Symptome reduziert und Exazerbationen verhindert.</w:t>
      </w:r>
    </w:p>
    <w:p>
      <w:r>
        <w:rPr>
          <w:b/>
        </w:rPr>
        <w:t xml:space="preserve">Ergebnis: </w:t>
      </w:r>
      <w:r>
        <w:t>Stratifizierte Pharmakotherapie nach Symptombelastung und Exazerbationsrisiko: Single long-acting bronchodilator für milde, dual long-acting bronchodilator für moderate und single-inhaler triple therapy für schwere COPD mit hochem Exazerbationsrisiko reduziert Mortalität. Richtlinie betont Therapietreue als Erfolgsfaktor für Überlebensvorteil.</w:t>
      </w:r>
    </w:p>
    <w:p>
      <w:r>
        <w:rPr>
          <w:b/>
          <w:sz w:val="19"/>
        </w:rPr>
        <w:t xml:space="preserve">Übertragbarkeit: </w:t>
      </w:r>
      <w:r>
        <w:rPr>
          <w:sz w:val="19"/>
        </w:rPr>
        <w:t>Kanada, vergleichbare Primärversorgungsstruktur; direkt auf deutsche Disease-Management-Programme übertragbar</w:t>
      </w:r>
    </w:p>
    <w:p>
      <w:r>
        <w:rPr>
          <w:color w:val="5A7D3A"/>
          <w:sz w:val="18"/>
        </w:rPr>
        <w:t>https://pubmed.ncbi.nlm.nih.gov/42875068/</w:t>
      </w:r>
    </w:p>
    <w:p>
      <w:pPr>
        <w:pStyle w:val="Heading2"/>
      </w:pPr>
      <w:r>
        <w:t>Integriertes Care-Modell senkt Notaufnahmen bei High-Risk-COPD um 78 %</w:t>
      </w:r>
    </w:p>
    <w:p>
      <w:r>
        <w:rPr>
          <w:i/>
          <w:color w:val="666666"/>
          <w:sz w:val="18"/>
        </w:rPr>
        <w:t>Organista D et al.  ·  Acta Med Port  ·  01.10.2026  ·  PMID 42874036</w:t>
      </w:r>
    </w:p>
    <w:p>
      <w:r>
        <w:t>Portugiesische Vorher-nachher-Studie an 53 Hochrisiko-COPD-Patienten (LACE-Index &gt;9) evaluierte ein frühes, multidisziplinäres Versorgungsmodell mit ärztlicher, pflegerischer und sozialer Betreuung sowie hybrider Überwachung (vor Ort und remote).</w:t>
      </w:r>
    </w:p>
    <w:p>
      <w:r>
        <w:rPr>
          <w:b/>
        </w:rPr>
        <w:t xml:space="preserve">Ergebnis: </w:t>
      </w:r>
      <w:r>
        <w:t>Nach einem Jahr sanken mittlere Notaufnahmen von 3,09 auf 0,67 Besuche (−78 %, p&lt;0,001) und Hospitalisierungen von 1,39 auf 0,33 (−76 %, p&lt;0,001). Remote-Monitoring ermöglichte frühe klinische Interventionen; nur zwei Patienten mussten bei schwerem respiratorischen Versagen aufgenommen werden. Soziale Intervention half den meisten, häusliche Unterstützung zu halten.</w:t>
      </w:r>
    </w:p>
    <w:p>
      <w:r>
        <w:rPr>
          <w:b/>
          <w:sz w:val="19"/>
        </w:rPr>
        <w:t xml:space="preserve">Übertragbarkeit: </w:t>
      </w:r>
      <w:r>
        <w:rPr>
          <w:sz w:val="19"/>
        </w:rPr>
        <w:t>Portugal, ähnliche Sozialversicherungsstruktur; Koordination und Überwachungsmodelle auf deutsche integrierte Versorgung übertragbar</w:t>
      </w:r>
    </w:p>
    <w:p>
      <w:r>
        <w:rPr>
          <w:color w:val="5A7D3A"/>
          <w:sz w:val="18"/>
        </w:rPr>
        <w:t>https://pubmed.ncbi.nlm.nih.gov/42874036/</w:t>
      </w:r>
    </w:p>
    <w:p>
      <w:pPr>
        <w:pStyle w:val="Heading2"/>
      </w:pPr>
      <w:r>
        <w:t>Schwangerschaftskomplikationen erhöhen Risiko für Herz-Nieren-Erkrankungen</w:t>
      </w:r>
    </w:p>
    <w:p>
      <w:r>
        <w:rPr>
          <w:i/>
          <w:color w:val="666666"/>
          <w:sz w:val="18"/>
        </w:rPr>
        <w:t>Wambua S et al.  ·  BMJ Med  ·  06.10.2026  ·  PMID 42872422</w:t>
      </w:r>
    </w:p>
    <w:p>
      <w:r>
        <w:t>Longitudinale Kohortenstudie an 1,4 Millionen englischen Frauen untersuchte, wie Schwangerschaftskomplikationen das Risiko für kardiovaskuläre Erkrankungen, Typ-2-Diabetes, Hypertonie und chronische Nierenkrankheit in den Jahren nach der Schwangerschaft beeinflussen.</w:t>
      </w:r>
    </w:p>
    <w:p>
      <w:r>
        <w:rPr>
          <w:b/>
        </w:rPr>
        <w:t xml:space="preserve">Ergebnis: </w:t>
      </w:r>
      <w:r>
        <w:t>Gestationsdiabetes erhöhte das Typ-2-Diabetes-Risiko siebenfach (HR 7,0); Präeklampsie verdreifachte das Hypertonierisiko (HR 3,05) und verdoppelte das Nierenkrankheitsrisiko (HR 2,0). Postpartale Depression erhöhte alle vier Endpunkte um 35–56 % (HR 1,35–1,56). Diese Befunde unterstützen präventive Interventionen in der postpartalen Phase bei Frauen mit Schwangerschaftskomplikationen.</w:t>
      </w:r>
    </w:p>
    <w:p>
      <w:r>
        <w:rPr>
          <w:b/>
          <w:sz w:val="19"/>
        </w:rPr>
        <w:t xml:space="preserve">Übertragbarkeit: </w:t>
      </w:r>
      <w:r>
        <w:rPr>
          <w:sz w:val="19"/>
        </w:rPr>
        <w:t>England, vergleichbares Gesundheitssystem; Daten aus Primärversorgungsdatenbank</w:t>
      </w:r>
    </w:p>
    <w:p>
      <w:r>
        <w:rPr>
          <w:color w:val="5A7D3A"/>
          <w:sz w:val="18"/>
        </w:rPr>
        <w:t>https://pubmed.ncbi.nlm.nih.gov/42872422/</w:t>
      </w:r>
    </w:p>
    <w:p>
      <w:pPr>
        <w:pStyle w:val="Heading2"/>
      </w:pPr>
      <w:r>
        <w:t>Chronische Urtikaria erleichtert Früherkennung, aber nicht Kontrolle von Herz-Kreislauf-Erkrankungen</w:t>
      </w:r>
    </w:p>
    <w:p>
      <w:r>
        <w:rPr>
          <w:i/>
          <w:color w:val="666666"/>
          <w:sz w:val="18"/>
        </w:rPr>
        <w:t>Yang ZH et al.  ·  Biomed Environ Sci  ·  20.09.2026  ·  PMID 42870596</w:t>
      </w:r>
    </w:p>
    <w:p>
      <w:r>
        <w:t>Chinesische nationale Querschnittsstudie an 118.036 Erwachsenen mit Herz-Kreislauf-Erkrankungen untersuchte Prävalenz, Risikofaktoren und Auswirkungen chronischer Urtikaria auf Bewusstsein, Behandlung und Kontrolle von Hypertonie, Diabetes und Dyslipidämie.</w:t>
      </w:r>
    </w:p>
    <w:p>
      <w:r>
        <w:rPr>
          <w:b/>
        </w:rPr>
        <w:t xml:space="preserve">Ergebnis: </w:t>
      </w:r>
      <w:r>
        <w:t>Urtikaria-Prävalenz: 2,90 %, höher bei Frauen (3,41 % vs. 2,56 %) und Landbevölkerung. Risikofaktoren: aktuelles Rauchen (OR 1,17), Schlafmangel &lt;5h (OR 1,79) und &gt;10h (OR 1,39). Patienten mit Urtikaria zeigten höhere CMD-Bewusstseinraten (Hypertonie 50,7 % vs. 40,3 %) und Behandlungsquoten (Hypertonie 41,4 % vs. 34,2 %), aber vergleichbare Kontrollraten. Urtikaria wirkt als Marker, verbessert aber nicht die Krankheitskontrolle.</w:t>
      </w:r>
    </w:p>
    <w:p>
      <w:r>
        <w:rPr>
          <w:b/>
          <w:sz w:val="19"/>
        </w:rPr>
        <w:t xml:space="preserve">Übertragbarkeit: </w:t>
      </w:r>
      <w:r>
        <w:rPr>
          <w:sz w:val="19"/>
        </w:rPr>
        <w:t>China; Mehrfacherkrankung-Befunde aber unabhängig von Gesundheitssystem relevant</w:t>
      </w:r>
    </w:p>
    <w:p>
      <w:r>
        <w:rPr>
          <w:color w:val="5A7D3A"/>
          <w:sz w:val="18"/>
        </w:rPr>
        <w:t>https://pubmed.ncbi.nlm.nih.gov/42870596/</w:t>
      </w:r>
    </w:p>
    <w:p>
      <w:pPr>
        <w:pStyle w:val="Heading2"/>
      </w:pPr>
      <w:r>
        <w:t>Maresin-1-Profil markiert pädiatrische Nierenschädigung stadienabhängig</w:t>
      </w:r>
    </w:p>
    <w:p>
      <w:r>
        <w:rPr>
          <w:i/>
          <w:color w:val="666666"/>
          <w:sz w:val="18"/>
        </w:rPr>
        <w:t>Guler MA et al.  ·  BMC Nephrol  ·  28.09.2026  ·  PMID 42870244</w:t>
      </w:r>
    </w:p>
    <w:p>
      <w:r>
        <w:t>Türkische Querschnittsstudie an gesunden Kindern und Patienten mit CKD-Stadien 1–5 gemessen Serum-Maresin-1 (MaR1), ein pro-resolutives Lipidmediator-Biomarker, um dessen Rolle bei entzündlich-degenerativen Nierenprozessen zu charakterisieren.</w:t>
      </w:r>
    </w:p>
    <w:p>
      <w:r>
        <w:rPr>
          <w:b/>
        </w:rPr>
        <w:t xml:space="preserve">Ergebnis: </w:t>
      </w:r>
      <w:r>
        <w:t>Serum-MaR1-Konzentrationen zeigten stadienabhängiges Muster: Kontrollen 110,2 pg/mL, Stadium 1 CKD 20,0 pg/mL (deutlicher Abfall), dann progressive Erhöhung Stadium 2 (39,6), 3 (60,7), 4 (203,9), Stadium 5 (284,6 pg/mL). Markante Suppression in frühem Stadium gefolgt von progressiver Elevation in fortgeschrittenen Stadien deutet auf Biomarker-Potenzial hin, erfordert aber Validierung in Längsschnittstudien.</w:t>
      </w:r>
    </w:p>
    <w:p>
      <w:r>
        <w:rPr>
          <w:b/>
          <w:sz w:val="19"/>
        </w:rPr>
        <w:t xml:space="preserve">Übertragbarkeit: </w:t>
      </w:r>
      <w:r>
        <w:rPr>
          <w:sz w:val="19"/>
        </w:rPr>
        <w:t>Türkei; diagnostischer Biomarker-Ansatz prinzipiell systemunabhängig</w:t>
      </w:r>
    </w:p>
    <w:p>
      <w:r>
        <w:rPr>
          <w:color w:val="5A7D3A"/>
          <w:sz w:val="18"/>
        </w:rPr>
        <w:t>https://pubmed.ncbi.nlm.nih.gov/42870244/</w:t>
      </w:r>
    </w:p>
    <w:p>
      <w:pPr>
        <w:pStyle w:val="Heading2"/>
      </w:pPr>
      <w:r>
        <w:t>Frühe Nierenkoordinator-Überweisung verhindert ungeplante Dialyseeinleitung</w:t>
      </w:r>
    </w:p>
    <w:p>
      <w:r>
        <w:rPr>
          <w:i/>
          <w:color w:val="666666"/>
          <w:sz w:val="18"/>
        </w:rPr>
        <w:t>Tiew HW et al.  ·  BMC Nephrol  ·  05.08.2026  ·  PMID 42870239</w:t>
      </w:r>
    </w:p>
    <w:p>
      <w:r>
        <w:t>Singapurer Kohortenstudie mit 282 Patienten im Stadium 5 CKD untersuchte, wie der Zeitpunkt der Überweisung zu einem Nierenkoordinator (bei verschiedenen eGFR-Schwellwerten) das Risiko für ungeplante Dialyseeinleitung beeinflusst.</w:t>
      </w:r>
    </w:p>
    <w:p>
      <w:r>
        <w:rPr>
          <w:b/>
        </w:rPr>
        <w:t xml:space="preserve">Ergebnis: </w:t>
      </w:r>
      <w:r>
        <w:t>Überweisung bei eGFR 9–14 mL/min/1,73m² war mit 55 % niedrigerem Risiko für ungeplante Dialyseeinleitung assoziiert (HR 0,45, 95%-KI 0,22–0,91) im Vergleich zu späteren Überweisungen. Ungeplante Einleitung war häufiger bei CKD Stage 5 als Stage 4 (78,8 % vs. 62,5 %). Frühzeitige Koordination ermöglichte ausreichend Zeit für Vorbereitung eines permanenten Zugangs.</w:t>
      </w:r>
    </w:p>
    <w:p>
      <w:r>
        <w:rPr>
          <w:b/>
          <w:sz w:val="19"/>
        </w:rPr>
        <w:t xml:space="preserve">Übertragbarkeit: </w:t>
      </w:r>
      <w:r>
        <w:rPr>
          <w:sz w:val="19"/>
        </w:rPr>
        <w:t>Singapur, aber Case-Management-Prinzip auf deutsches Versorgungssystem und Hausarzt-Steuerung übertragbar</w:t>
      </w:r>
    </w:p>
    <w:p>
      <w:r>
        <w:rPr>
          <w:color w:val="5A7D3A"/>
          <w:sz w:val="18"/>
        </w:rPr>
        <w:t>https://pubmed.ncbi.nlm.nih.gov/42870239/</w:t>
      </w:r>
    </w:p>
    <w:p>
      <w:pPr>
        <w:pStyle w:val="Heading1"/>
      </w:pPr>
      <w:r>
        <w:t>Aufgenommen am 14.10.2026</w:t>
      </w:r>
    </w:p>
    <w:p>
      <w:pPr>
        <w:pStyle w:val="Heading2"/>
      </w:pPr>
      <w:r>
        <w:t>Arbeitsinklusion verbessert Therapietreue bei chronischen Erkrankungen</w:t>
      </w:r>
    </w:p>
    <w:p>
      <w:r>
        <w:rPr>
          <w:i/>
          <w:color w:val="666666"/>
          <w:sz w:val="18"/>
        </w:rPr>
        <w:t>Aalbers E et al.  ·  PLoS One  ·  13.10.2026  ·  PMID 42868134</w:t>
      </w:r>
    </w:p>
    <w:p>
      <w:r>
        <w:t>Niederländische Querschnittsstudie mit 309 erwerbstätigen Personen mit chronischen Erkrankungen und Medikamenteneinnahme untersuchte, wie Arbeitsmerkmale die Therapietreue beeinflussen.</w:t>
      </w:r>
    </w:p>
    <w:p>
      <w:r>
        <w:rPr>
          <w:b/>
        </w:rPr>
        <w:t xml:space="preserve">Ergebnis: </w:t>
      </w:r>
      <w:r>
        <w:t>Therapietreue betrug 56%. Arbeitsinklusion war unabhängig mit besserer Adhärenz assoziiert (AOR 1,50; 95%-KI 1,00–2,25; p=0,049). Moderate körperliche Arbeitsbelastung zeigte paradoxe schützende Assoziation (AOR 0,49; 95%-KI 0,26–0,92; p=0,026). Praktische Arbeitsmerkmale wie Stundenanzahl oder Vertragstyp waren nicht signifikant mit Adhärenz assoziiert.</w:t>
      </w:r>
    </w:p>
    <w:p>
      <w:r>
        <w:rPr>
          <w:b/>
          <w:sz w:val="19"/>
        </w:rPr>
        <w:t xml:space="preserve">Übertragbarkeit: </w:t>
      </w:r>
      <w:r>
        <w:rPr>
          <w:sz w:val="19"/>
        </w:rPr>
        <w:t>Niederlande, Versicherungssystem vergleichbar mit Deutschland; Frage der Arbeitsintegration für chronisch Kranke universell relevant.</w:t>
      </w:r>
    </w:p>
    <w:p>
      <w:r>
        <w:rPr>
          <w:color w:val="5A7D3A"/>
          <w:sz w:val="18"/>
        </w:rPr>
        <w:t>https://pubmed.ncbi.nlm.nih.gov/42868134/</w:t>
      </w:r>
    </w:p>
    <w:p>
      <w:pPr>
        <w:pStyle w:val="Heading2"/>
      </w:pPr>
      <w:r>
        <w:t>Kardiovaskuläre Mehrfacherkrankung verschärft Krankenhausergebnisse bei COPD-Exazerbation</w:t>
      </w:r>
    </w:p>
    <w:p>
      <w:r>
        <w:rPr>
          <w:i/>
          <w:color w:val="666666"/>
          <w:sz w:val="18"/>
        </w:rPr>
        <w:t>Fu Y et al.  ·  Int J Chron Obstruct Pulmon Dis  ·  07.10.2026  ·  PMID 42865926</w:t>
      </w:r>
    </w:p>
    <w:p>
      <w:r>
        <w:t>Chinesische Rückwärtskohorte mit 3.684 Aufnahmen von 2.281 COPD-Patienten (2015–2024) untersuchte den Einfluss kardiovaskulärer Komorbiditäten auf Krankenhausverweildauer und Wiederaufnahmen.</w:t>
      </w:r>
    </w:p>
    <w:p>
      <w:r>
        <w:rPr>
          <w:b/>
        </w:rPr>
        <w:t xml:space="preserve">Ergebnis: </w:t>
      </w:r>
      <w:r>
        <w:t>71,7% hatten mindestens eine kardiovaskuläre Erkrankung. Nach vollständiger Adjustierung: 2 kardiovaskuläre Erkrankungen erhöhten verlängerte Verweildauer (≥14 Tage) OR 1,60 (95%-KI 1,18–2,16); ≥3 Erkrankungen OR 1,95 (95%-KI 1,30–2,93; p&lt;0,001 Trend). 1-Jahres-Wiederaufnahmerate stieg mit Komorbidität (HR 1,38 für 1; 1,42 für 2; 1,68 für ≥3 Erkrankungen; p=0,006). HTN+IHD+PAD höchstes Risiko (OR 2,53). Kardiovaskuläre Mehrfacherkrankung ist unabhängiger Risikofaktor für Hospitalisierungsergebnisse bei AECOPD.</w:t>
      </w:r>
    </w:p>
    <w:p>
      <w:r>
        <w:rPr>
          <w:b/>
          <w:sz w:val="19"/>
        </w:rPr>
        <w:t xml:space="preserve">Übertragbarkeit: </w:t>
      </w:r>
      <w:r>
        <w:rPr>
          <w:sz w:val="19"/>
        </w:rPr>
        <w:t>China, aber Mehrfacherkrankung und klinische Ergebnisse in ähnlicher Versorgungsstruktur messbar.</w:t>
      </w:r>
    </w:p>
    <w:p>
      <w:r>
        <w:rPr>
          <w:color w:val="5A7D3A"/>
          <w:sz w:val="18"/>
        </w:rPr>
        <w:t>https://pubmed.ncbi.nlm.nih.gov/42865926/</w:t>
      </w:r>
    </w:p>
    <w:p>
      <w:pPr>
        <w:pStyle w:val="Heading2"/>
      </w:pPr>
      <w:r>
        <w:t>Sozialverschreibung wirkt durch Teilnahme, nicht bloße Überweisung</w:t>
      </w:r>
    </w:p>
    <w:p>
      <w:r>
        <w:rPr>
          <w:i/>
          <w:color w:val="666666"/>
          <w:sz w:val="18"/>
        </w:rPr>
        <w:t>Huang M et al.  ·  Front Public Health  ·  28.09.2026  ·  PMID 42865730</w:t>
      </w:r>
    </w:p>
    <w:p>
      <w:r>
        <w:t>Bayesianische Re-Analyse von 10 randomisierten Studien (4.840 Teilnehmer) zur Sozialverschreibung (Social Prescribing) bei chronischen Erkrankungen untersuchte, ob Empfehlung oder Programmteilnahme den Nutzen erklärt.</w:t>
      </w:r>
    </w:p>
    <w:p>
      <w:r>
        <w:rPr>
          <w:b/>
        </w:rPr>
        <w:t xml:space="preserve">Ergebnis: </w:t>
      </w:r>
      <w:r>
        <w:t>Intention-to-treat-Effekt auf körperliche Aktivität: OR 1,31 (95%-CrI 1,07–1,67; posterior probability 0,991). Kein konsistenter Dosis-Response-Effekt (Slope -1,29; 95%-CrI -6,17 bis 3,48). Hohe Programmteilnahme zeigte zusätzlichen Benefit von 0,26 klinisch bedeutsamen Einheiten (95%-CrI -0,07 bis 0,63; posterior probability 0,940). Positive Effekte über körperliche Aktivität, Körpergewicht, Blutdruck, psychisches Wohlbefinden, Lebensqualität. Erfolgreiche Teilnahme – nicht bloße Überweisung – ist primärer Wirkmechanismus.</w:t>
      </w:r>
    </w:p>
    <w:p>
      <w:r>
        <w:rPr>
          <w:b/>
          <w:sz w:val="19"/>
        </w:rPr>
        <w:t xml:space="preserve">Übertragbarkeit: </w:t>
      </w:r>
      <w:r>
        <w:rPr>
          <w:sz w:val="19"/>
        </w:rPr>
        <w:t>Überwiegend europäische und kanadische Studien; Konzept Social Prescribing mit Partizipation über Systeme hinweg relevant.</w:t>
      </w:r>
    </w:p>
    <w:p>
      <w:r>
        <w:rPr>
          <w:color w:val="5A7D3A"/>
          <w:sz w:val="18"/>
        </w:rPr>
        <w:t>https://pubmed.ncbi.nlm.nih.gov/42865730/</w:t>
      </w:r>
    </w:p>
    <w:p>
      <w:pPr>
        <w:pStyle w:val="Heading2"/>
      </w:pPr>
      <w:r>
        <w:t>Strukturiertes Trainungsprogramm verbessert Lungenfunktion bei COPD</w:t>
      </w:r>
    </w:p>
    <w:p>
      <w:r>
        <w:rPr>
          <w:i/>
          <w:color w:val="666666"/>
          <w:sz w:val="18"/>
        </w:rPr>
        <w:t>Cederberg A et al.  ·  Respir Res  ·  12.10.2026  ·  PMID 42864666</w:t>
      </w:r>
    </w:p>
    <w:p>
      <w:r>
        <w:t>Schwedische prospektive Interventionsstudie mit 62 COPD-Patienten evaluierte 12 Wochen ambulantes Kraft- und Ausdauertraining (3×/Woche) auf Lungenfunktion, Belastbarkeit und Symptombelastung.</w:t>
      </w:r>
    </w:p>
    <w:p>
      <w:r>
        <w:rPr>
          <w:b/>
        </w:rPr>
        <w:t xml:space="preserve">Ergebnis: </w:t>
      </w:r>
      <w:r>
        <w:t>Impulse-Oszillometrie zeigte signifikante Verbesserungen: R5 Δ=-0,75 z-Score (p=0,001), R5-R20 Δ=-0,18 z-Score (p=0,007), Fres Δ=-0,33 Hz (p=0,022), AX Δ=-0,05 kPa·s⁻¹ (p=0,042). 6-Minuten-Gehtest verbesserte sich um 15 m (p=0,002), 1-Minuten-Sit-to-Stand um 3 Wiederholungen (p&lt;0,0001). CAT-Score sank um 1,0 Punkt (p=0,014), CCQ um 0,1 (p=0,011). Spirometrie zeigte nur kleine FVC-Zunahme. Verbesserung der peripheren Atemwegsphysiologie ohne signifikante Spirometrieänderung.</w:t>
      </w:r>
    </w:p>
    <w:p>
      <w:r>
        <w:rPr>
          <w:b/>
          <w:sz w:val="19"/>
        </w:rPr>
        <w:t xml:space="preserve">Übertragbarkeit: </w:t>
      </w:r>
      <w:r>
        <w:rPr>
          <w:sz w:val="19"/>
        </w:rPr>
        <w:t>Schweden, vergleichbare Primärversorgung; strukturiertes Trainingskonzept für Praxen und Reha übertragbar.</w:t>
      </w:r>
    </w:p>
    <w:p>
      <w:r>
        <w:rPr>
          <w:color w:val="5A7D3A"/>
          <w:sz w:val="18"/>
        </w:rPr>
        <w:t>https://pubmed.ncbi.nlm.nih.gov/42864666/</w:t>
      </w:r>
    </w:p>
    <w:p>
      <w:pPr>
        <w:pStyle w:val="Heading2"/>
      </w:pPr>
      <w:r>
        <w:t>ME/CFS bei jungen Menschen: Unmet Needs in Versorgung und Betreuung</w:t>
      </w:r>
    </w:p>
    <w:p>
      <w:r>
        <w:rPr>
          <w:i/>
          <w:color w:val="666666"/>
          <w:sz w:val="18"/>
        </w:rPr>
        <w:t>Kircher A et al.  ·  BMC Public Health  ·  29.09.2026  ·  PMID 42864639</w:t>
      </w:r>
    </w:p>
    <w:p>
      <w:r>
        <w:t>Qualitative deutsche Studie mit 14 Patienten (12–25 Jahre) und 18 Eltern (Fokusgruppen und Tagebuch) identifizierte unerfüllte Versorgungsbedarfe bei ME/CFS.</w:t>
      </w:r>
    </w:p>
    <w:p>
      <w:r>
        <w:rPr>
          <w:b/>
        </w:rPr>
        <w:t xml:space="preserve">Ergebnis: </w:t>
      </w:r>
      <w:r>
        <w:t>Patienten benannten vier zentrale unerfüllte Bedarfe: (1) nicht alleine gelassen werden mit der Krankheit, (2) Flexibilität und Verständnis von Gesundheitsanbietern, (3) weniger Erklärungsdruck gegenüber anderen, (4) Anerkennung des Familieneinsatzes als Lückenbüßer. Eltern identifizierten parallel vier Themen: nicht alleine sein, krankheitsgerechte Versorgung, Wissen und Verständnis für ME/CFS, Handlungskompetenz. Bedarfe von Patienten und Eltern überlappten deutlich und zeigen Bedarf für bedarfsadaptierte Versorgungsstrukturen.</w:t>
      </w:r>
    </w:p>
    <w:p>
      <w:r>
        <w:rPr>
          <w:b/>
          <w:sz w:val="19"/>
        </w:rPr>
        <w:t xml:space="preserve">Übertragbarkeit: </w:t>
      </w:r>
      <w:r>
        <w:rPr>
          <w:sz w:val="19"/>
        </w:rPr>
        <w:t>Deutsche Studie; direkter Versorgungsbezug für Ausgestaltung von ME/CFS-Programmen in Deutschland.</w:t>
      </w:r>
    </w:p>
    <w:p>
      <w:r>
        <w:rPr>
          <w:color w:val="5A7D3A"/>
          <w:sz w:val="18"/>
        </w:rPr>
        <w:t>https://pubmed.ncbi.nlm.nih.gov/42864639/</w:t>
      </w:r>
    </w:p>
    <w:p>
      <w:pPr>
        <w:pStyle w:val="Heading2"/>
      </w:pPr>
      <w:r>
        <w:t>Sequenzielle Tyrosinkinase-Inhibitor-Therapie bei resistenter chronischer myeloischer Leukämie</w:t>
      </w:r>
    </w:p>
    <w:p>
      <w:r>
        <w:rPr>
          <w:i/>
          <w:color w:val="666666"/>
          <w:sz w:val="18"/>
        </w:rPr>
        <w:t>Gugliotta G et al.  ·  Clin Lymphoma Myeloma Leuk  ·  24.07.2026  ·  PMID 42608256</w:t>
      </w:r>
    </w:p>
    <w:p>
      <w:r>
        <w:t>Italienische Real-World-Kohortenstudie mit 69 CML-Patienten in chronischer Phase untersuchte Ergebnisse nach Wechsel auf Zweitlinien-TKI bei Versagen von Nilotinib oder Dasatinib.</w:t>
      </w:r>
    </w:p>
    <w:p>
      <w:r>
        <w:rPr>
          <w:b/>
        </w:rPr>
        <w:t xml:space="preserve">Ergebnis: </w:t>
      </w:r>
      <w:r>
        <w:t>Medianer Zeitpunkt zum Wechsel: 15 Monate. Ponatinib am häufigsten eingesetzt (68%). Als beste Molekülresponse: 78% erreichten BCR::ABL1IS &lt;1%. 3-Jahres-Rate für MR3: 69,4% (95%-KI 53,2–84,2%). 30% benötigten nach median 9 Monaten Drittlinien-Therapie, meist wegen Resistenz (81%); von diesen erreichten 50% BCR::ABL1IS &lt;1%. 9% zur Stammzelltransplantation; 7% Blastentransformation (alle starben). 5-Jahres-progressionsfreies und Gesamtüberleben: 87% (95%-KI 67,1–95,2%) und 83% (95%-KI 61,7–93%).</w:t>
      </w:r>
    </w:p>
    <w:p>
      <w:r>
        <w:rPr>
          <w:b/>
          <w:sz w:val="19"/>
        </w:rPr>
        <w:t xml:space="preserve">Übertragbarkeit: </w:t>
      </w:r>
      <w:r>
        <w:rPr>
          <w:sz w:val="19"/>
        </w:rPr>
        <w:t>Italien, ähnliche Versorgungsstrukturen und Dokumentation wie Deutschland; real-world Wirk­lichkeit von Sequenztherapien.</w:t>
      </w:r>
    </w:p>
    <w:p>
      <w:r>
        <w:rPr>
          <w:color w:val="5A7D3A"/>
          <w:sz w:val="18"/>
        </w:rPr>
        <w:t>https://pubmed.ncbi.nlm.nih.gov/42608256/</w:t>
      </w:r>
    </w:p>
    <w:p>
      <w:pPr>
        <w:pStyle w:val="Heading1"/>
      </w:pPr>
      <w:r>
        <w:t>Aufgenommen am 13.10.2026</w:t>
      </w:r>
    </w:p>
    <w:p>
      <w:pPr>
        <w:pStyle w:val="Heading2"/>
      </w:pPr>
      <w:r>
        <w:t>Selbstvertretung bei Hämodialysepatienten: aktive Partizipation nur bei 15%</w:t>
      </w:r>
    </w:p>
    <w:p>
      <w:r>
        <w:rPr>
          <w:i/>
          <w:color w:val="666666"/>
          <w:sz w:val="18"/>
        </w:rPr>
        <w:t>Xu W et al.  ·  BMC Nephrol  ·  07.08.2026  ·  PMID 42859166</w:t>
      </w:r>
    </w:p>
    <w:p>
      <w:r>
        <w:t>Querschnittsstudie an 429 Hämodialysepatienten zur Identifikation von Profilen der Patientenselbstvertretung und deren Einflussfaktoren.</w:t>
      </w:r>
    </w:p>
    <w:p>
      <w:r>
        <w:rPr>
          <w:b/>
        </w:rPr>
        <w:t xml:space="preserve">Ergebnis: </w:t>
      </w:r>
      <w:r>
        <w:t>Nur 15,0% der Patienten zeigten aktive Selbstvertretung ("Active Striving Type"), 58,5% moderate Partizipation und 26,5% passive Akzeptanz. Wahrgenommene soziale Unterstützung, Selbstmanagementfähigkeit und emotionale Last waren signifikante Einflussfaktoren (p&lt;0,05). Die Netzwerkanalyse identifizierte unterschiedliche zentrale Symptomknoten pro Gruppe.</w:t>
      </w:r>
    </w:p>
    <w:p>
      <w:r>
        <w:rPr>
          <w:b/>
          <w:sz w:val="19"/>
        </w:rPr>
        <w:t xml:space="preserve">Übertragbarkeit: </w:t>
      </w:r>
      <w:r>
        <w:rPr>
          <w:sz w:val="19"/>
        </w:rPr>
        <w:t>China, Versorgungspraxis anwendbar; Selbstvertretung als Versorgungsqualitätsmerkmal</w:t>
      </w:r>
    </w:p>
    <w:p>
      <w:r>
        <w:rPr>
          <w:color w:val="5A7D3A"/>
          <w:sz w:val="18"/>
        </w:rPr>
        <w:t>https://pubmed.ncbi.nlm.nih.gov/42859166/</w:t>
      </w:r>
    </w:p>
    <w:p>
      <w:pPr>
        <w:pStyle w:val="Heading2"/>
      </w:pPr>
      <w:r>
        <w:t>U-förmige Beziehung zwischen Schlaf und Nierenfunktion: CKD-Prävalenz bei Kurz- und Langschläfern erhöht</w:t>
      </w:r>
    </w:p>
    <w:p>
      <w:r>
        <w:rPr>
          <w:i/>
          <w:color w:val="666666"/>
          <w:sz w:val="18"/>
        </w:rPr>
        <w:t>Oh J et al.  ·  Medicine (Baltimore)  ·  09.10.2026  ·  PMID 42854001</w:t>
      </w:r>
    </w:p>
    <w:p>
      <w:r>
        <w:t>Populationsstudie mit 87.246 koreanischen Erwachsenen (≥19 Jahre) zur Assoziation zwischen Schlafmuster und CKD-Prävalenz über 16 Jahre.</w:t>
      </w:r>
    </w:p>
    <w:p>
      <w:r>
        <w:rPr>
          <w:b/>
        </w:rPr>
        <w:t xml:space="preserve">Ergebnis: </w:t>
      </w:r>
      <w:r>
        <w:t>CKD-Prävalenz zeigte U-förmige Assoziation mit Schlafdauer: &lt;6 h täglicher Schlaf (adjustierte OR 2,34, 95%-KI 2,04-2,69), ≥9 h Schlaf (OR 2,07, 95%-KI 1,77-2,41) versus optimale 7-8 h. Die CKD-Gesamtprävalenz sank von 2007-2009 (5,13%) auf 2020-2022 (3,53%). Assoziation blieb nach Adjustment für kardio-metabolische Komorbiditäten stabil.</w:t>
      </w:r>
    </w:p>
    <w:p>
      <w:r>
        <w:rPr>
          <w:b/>
          <w:sz w:val="19"/>
        </w:rPr>
        <w:t xml:space="preserve">Übertragbarkeit: </w:t>
      </w:r>
      <w:r>
        <w:rPr>
          <w:sz w:val="19"/>
        </w:rPr>
        <w:t>Südkorea mit universalversorgtem System; Schlafqualität als modifizierbarer Präventionfaktor</w:t>
      </w:r>
    </w:p>
    <w:p>
      <w:r>
        <w:rPr>
          <w:color w:val="5A7D3A"/>
          <w:sz w:val="18"/>
        </w:rPr>
        <w:t>https://pubmed.ncbi.nlm.nih.gov/42854001/</w:t>
      </w:r>
    </w:p>
    <w:p>
      <w:pPr>
        <w:pStyle w:val="Heading2"/>
      </w:pPr>
      <w:r>
        <w:t>Kamerun: 43% aller Todesfälle durch nicht übertragbare Krankheiten, aber nur 6% der Prävention finanziert</w:t>
      </w:r>
    </w:p>
    <w:p>
      <w:r>
        <w:rPr>
          <w:i/>
          <w:color w:val="666666"/>
          <w:sz w:val="18"/>
        </w:rPr>
        <w:t>Saidu Y et al.  ·  J Glob Health  ·  09.10.2026  ·  PMID 42853019</w:t>
      </w:r>
    </w:p>
    <w:p>
      <w:r>
        <w:t>Priorisierungsstudie auf Basis von Global Burden of Disease 2019 und systematischer Literaturanalyse zur Krankheitslast und Versorgungsinvestitionen für nicht übertragbare Erkrankungen in Kamerun.</w:t>
      </w:r>
    </w:p>
    <w:p>
      <w:r>
        <w:rPr>
          <w:b/>
        </w:rPr>
        <w:t xml:space="preserve">Ergebnis: </w:t>
      </w:r>
      <w:r>
        <w:t>NCD/Verletzungen verursachten 2019 43% aller Todesfälle, 29% davon in der Altersgruppe &lt;40 Jahre. DALYs stiegen seit 1990 kontinuierlich an. 61% der NCDI-DALYs stammen aus Bereichen außerhalb der "Big Four" (Diabetes, Krebs, Atemwegserkrankungen, Kardiovaskulär). Trotz dieser Last wurden 2016-2020 nur 6% der Präventionsmittel für NCD verwendet. 49 Prioritätsbedingungen und 123 Interventionen identifiziert.</w:t>
      </w:r>
    </w:p>
    <w:p>
      <w:r>
        <w:rPr>
          <w:b/>
          <w:sz w:val="19"/>
        </w:rPr>
        <w:t xml:space="preserve">Übertragbarkeit: </w:t>
      </w:r>
      <w:r>
        <w:rPr>
          <w:sz w:val="19"/>
        </w:rPr>
        <w:t>Kamerun/LMIC; zentral für Versorgungsungleichheit und Priorisierung in ressourcenbegrenzten Systemen</w:t>
      </w:r>
    </w:p>
    <w:p>
      <w:r>
        <w:rPr>
          <w:color w:val="5A7D3A"/>
          <w:sz w:val="18"/>
        </w:rPr>
        <w:t>https://pubmed.ncbi.nlm.nih.gov/42853019/</w:t>
      </w:r>
    </w:p>
    <w:p>
      <w:pPr>
        <w:pStyle w:val="Heading2"/>
      </w:pPr>
      <w:r>
        <w:t>Long COVID: Olfaktorische Dysfunktion bei 77% trotz schwacher Selbstwahrnehmung</w:t>
      </w:r>
    </w:p>
    <w:p>
      <w:r>
        <w:rPr>
          <w:i/>
          <w:color w:val="666666"/>
          <w:sz w:val="18"/>
        </w:rPr>
        <w:t>Degen CV et al.  ·  Am J Otolaryngol  ·  25.08.2026  ·  PMID 42679644</w:t>
      </w:r>
    </w:p>
    <w:p>
      <w:r>
        <w:t>Querschnittsstudie mit 154 Teilnehmern (Long COVID n=122, genesen n=9, Kontrollen n=24) zur objektiven und subjektiven Erfassung von Riech- und Geschmacksstörungen.</w:t>
      </w:r>
    </w:p>
    <w:p>
      <w:r>
        <w:rPr>
          <w:b/>
        </w:rPr>
        <w:t xml:space="preserve">Ergebnis: </w:t>
      </w:r>
      <w:r>
        <w:t>Long-COVID-Patienten zeigten signifikant schlechtere Ergebnisse bei objektivem Riech- und Geschmackstest versus Kontrollen. Subjektive Einschätzung korrelierte nur schwach mit objektiven Messwerten (r=-0,525, p&lt;0,001). Zeitspanne seit Infektion korrelierte nicht mit Schweregrad. Olfaktorisches Training als wirksame Behandlung ist verfügbar.</w:t>
      </w:r>
    </w:p>
    <w:p>
      <w:r>
        <w:rPr>
          <w:b/>
          <w:sz w:val="19"/>
        </w:rPr>
        <w:t xml:space="preserve">Übertragbarkeit: </w:t>
      </w:r>
      <w:r>
        <w:rPr>
          <w:sz w:val="19"/>
        </w:rPr>
        <w:t>Deutschland, deutsche Studienzentren; Screening-Empfehlung für Long-COVID-Management</w:t>
      </w:r>
    </w:p>
    <w:p>
      <w:r>
        <w:rPr>
          <w:color w:val="5A7D3A"/>
          <w:sz w:val="18"/>
        </w:rPr>
        <w:t>https://pubmed.ncbi.nlm.nih.gov/42679644/</w:t>
      </w:r>
    </w:p>
    <w:p>
      <w:pPr>
        <w:pStyle w:val="Heading2"/>
      </w:pPr>
      <w:r>
        <w:t>EIT-gestützte Inhalationstechnik verbessert Hyperinflation bei COPD</w:t>
      </w:r>
    </w:p>
    <w:p>
      <w:r>
        <w:rPr>
          <w:i/>
          <w:color w:val="666666"/>
          <w:sz w:val="18"/>
        </w:rPr>
        <w:t>Stolz S et al.  ·  Sci Rep  ·  24.08.2026  ·  PMID 42637795</w:t>
      </w:r>
    </w:p>
    <w:p>
      <w:r>
        <w:t>Randomisierte, kontrollierte Pilotstudie (n=29 COPD-Patienten) zum Effekt von visueller EIT-Rückmeldung auf Lungenfunktion während Inhalationstherapie.</w:t>
      </w:r>
    </w:p>
    <w:p>
      <w:r>
        <w:rPr>
          <w:b/>
        </w:rPr>
        <w:t xml:space="preserve">Ergebnis: </w:t>
      </w:r>
      <w:r>
        <w:t>Interventionsgruppe mit EIT-Feedback zeigte signifikante FRC-Reduktion gegenüber Kontrolle (Intervention -0,4 L vs. Kontrolle -0,1 L, p&lt;0,05). Keine signifikanten Unterschiede bei FEV1 zwischen Gruppen. Widerstände tendierten zur Zunahme in der Interventionsgruppe. Subjektiver Benefit und EIT-Parameter zeigten keine Unterschiede.</w:t>
      </w:r>
    </w:p>
    <w:p>
      <w:r>
        <w:rPr>
          <w:b/>
          <w:sz w:val="19"/>
        </w:rPr>
        <w:t xml:space="preserve">Übertragbarkeit: </w:t>
      </w:r>
      <w:r>
        <w:rPr>
          <w:sz w:val="19"/>
        </w:rPr>
        <w:t>Deutschland, Universitätsklinik Saarland; methodische Machbarkeitsstudie, längerfristige Effekte offen</w:t>
      </w:r>
    </w:p>
    <w:p>
      <w:r>
        <w:rPr>
          <w:color w:val="5A7D3A"/>
          <w:sz w:val="18"/>
        </w:rPr>
        <w:t>https://pubmed.ncbi.nlm.nih.gov/42637795/</w:t>
      </w:r>
    </w:p>
    <w:p>
      <w:pPr>
        <w:pStyle w:val="Heading2"/>
      </w:pPr>
      <w:r>
        <w:t>CKD-Screening in der Hausarztpraxis: Politischer Aktionsplan für Europa</w:t>
      </w:r>
    </w:p>
    <w:p>
      <w:r>
        <w:rPr>
          <w:i/>
          <w:color w:val="666666"/>
          <w:sz w:val="18"/>
        </w:rPr>
        <w:t>De Nicola L et al.  ·  J Nephrol  ·  10.10.2026  ·  PMID 42627753</w:t>
      </w:r>
    </w:p>
    <w:p>
      <w:r>
        <w:t>Positionspapier der Italienischen Nephrologischen Gesellschaft zu einem strukturierten CKD-Screening und Managementprogramm für die primäre Versorgung.</w:t>
      </w:r>
    </w:p>
    <w:p>
      <w:r>
        <w:rPr>
          <w:b/>
        </w:rPr>
        <w:t xml:space="preserve">Ergebnis: </w:t>
      </w:r>
      <w:r>
        <w:t>WHO und UN erkannten CKD 2025 als globale Gesundheitspriorität an. Die Italienische Gesellschaft hat ein Screening-Programm für die Hausarztpraxis entwickelt (aktuell im italienischen Parlament in Diskussion) mit kombinierter Edukation zur CKD-Früherkennung. Remission von CKD ist zunehmend erreichbar; niedriges Bewusstsein bei Patienten und Nicht-Nephrologen bleibt Hauptbarriere.</w:t>
      </w:r>
    </w:p>
    <w:p>
      <w:r>
        <w:rPr>
          <w:b/>
          <w:sz w:val="19"/>
        </w:rPr>
        <w:t xml:space="preserve">Übertragbarkeit: </w:t>
      </w:r>
      <w:r>
        <w:rPr>
          <w:sz w:val="19"/>
        </w:rPr>
        <w:t>Italien/Europa, vergleichbare Gesundheitssysteme; skalierbar auf Deutschland</w:t>
      </w:r>
    </w:p>
    <w:p>
      <w:r>
        <w:rPr>
          <w:color w:val="5A7D3A"/>
          <w:sz w:val="18"/>
        </w:rPr>
        <w:t>https://pubmed.ncbi.nlm.nih.gov/42627753/</w:t>
      </w:r>
    </w:p>
    <w:p>
      <w:pPr>
        <w:pStyle w:val="Heading1"/>
      </w:pPr>
      <w:r>
        <w:t>Aufgenommen am 12.10.2026</w:t>
      </w:r>
    </w:p>
    <w:p>
      <w:pPr>
        <w:pStyle w:val="Heading2"/>
      </w:pPr>
      <w:r>
        <w:t>Sturzrisiko bei COPD: Gleichgewichtsstörungen stärker assoziiert als Muskelschwäche</w:t>
      </w:r>
    </w:p>
    <w:p>
      <w:r>
        <w:rPr>
          <w:i/>
          <w:color w:val="666666"/>
          <w:sz w:val="18"/>
        </w:rPr>
        <w:t>Zangi M et al.  ·  Int J Chron Obstruct Pulmon Dis  ·  06.10.2026  ·  PMID 42859794</w:t>
      </w:r>
    </w:p>
    <w:p>
      <w:r>
        <w:t>Systematische Übersicht von 25 Studien mit 1.295 Teilnehmenden zu Zusammenhängen zwischen neuromuskulären Faktoren, Balance, Gangcharakteristika und Sturzereignissen bei COPD.</w:t>
      </w:r>
    </w:p>
    <w:p>
      <w:r>
        <w:rPr>
          <w:b/>
        </w:rPr>
        <w:t xml:space="preserve">Ergebnis: </w:t>
      </w:r>
      <w:r>
        <w:t>17 von 25 Studien zeigten signifikante Assoziationen zwischen Studienparametern und Sturzrisiko. Gleichgewichtsstörungen wiesen die konsistenteste Beziehung auf (14 von 17 Studien mit positiven Assoziationen). Die Evidenz für Muskelkraft war gemischt: Während einige Studien Quadrizeps-Schwäche mit erhöhtem Sturzrisiko verbanden (Odds Ratio 2,9 in einer Studie), fanden andere keine signifikante Assoziation. Veränderte Gangcharakteristika, insbesondere erhöhte Schrittzeit-Variabilität, wurden ebenfalls mit Stürzen assoziiert.</w:t>
      </w:r>
    </w:p>
    <w:p>
      <w:r>
        <w:rPr>
          <w:b/>
          <w:sz w:val="19"/>
        </w:rPr>
        <w:t xml:space="preserve">Übertragbarkeit: </w:t>
      </w:r>
      <w:r>
        <w:rPr>
          <w:sz w:val="19"/>
        </w:rPr>
        <w:t>Deutsche Rehaeinrichtungen, weit verbreitet in COPD-Versorgung; prospektive Studien zur Kausalität noch ausstehend.</w:t>
      </w:r>
    </w:p>
    <w:p>
      <w:r>
        <w:rPr>
          <w:color w:val="5A7D3A"/>
          <w:sz w:val="18"/>
        </w:rPr>
        <w:t>https://pubmed.ncbi.nlm.nih.gov/42859794/</w:t>
      </w:r>
    </w:p>
    <w:p>
      <w:pPr>
        <w:pStyle w:val="Heading2"/>
      </w:pPr>
      <w:r>
        <w:t>Mehrfacherkrankung verschlechtert Lebensqualität in Dosis-Wirkungs-Beziehung</w:t>
      </w:r>
    </w:p>
    <w:p>
      <w:r>
        <w:rPr>
          <w:i/>
          <w:color w:val="666666"/>
          <w:sz w:val="18"/>
        </w:rPr>
        <w:t>Manríquez-Robles D et al.  ·  Qual Life Res  ·  10.10.2026  ·  PMID 42859314</w:t>
      </w:r>
    </w:p>
    <w:p>
      <w:r>
        <w:t>Bevölkerungsrepräsentative chilenische Stichprobe (n=16.469) zur Identifikation von Mehrfacherkrankungs-Profilen und deren Zusammenhang mit globaler Lebensqualität mittels Latent-Class-Analyse und Strukturgleichungsmodellierung.</w:t>
      </w:r>
    </w:p>
    <w:p>
      <w:r>
        <w:rPr>
          <w:b/>
        </w:rPr>
        <w:t xml:space="preserve">Ergebnis: </w:t>
      </w:r>
      <w:r>
        <w:t>Drei Klassen wurden identifiziert: niedrige Belastung (untere Gruppe), mittlere Belastung (58,5%) und hohe Belastung (15,0%). Globale Lebensqualität war bei Personen mit mittlerer Belastung um β=-0,132 (p&lt;0,001) und bei hoher Belastung um β=-0,341 (p&lt;0,001) niedriger als in der Referenzgruppe. Schulbildung (β=0,142) und Haushaltseinkommen (β=0,139) waren positiv mit Lebensqualität assoziiert. Mehrfacherkrankung und funktionale Einschränkung waren die stärksten Differenzierungsmerkmale der Profile.</w:t>
      </w:r>
    </w:p>
    <w:p>
      <w:r>
        <w:rPr>
          <w:b/>
          <w:sz w:val="19"/>
        </w:rPr>
        <w:t xml:space="preserve">Übertragbarkeit: </w:t>
      </w:r>
      <w:r>
        <w:rPr>
          <w:sz w:val="19"/>
        </w:rPr>
        <w:t>Lateinamerika; ähnliche Sozialversicherungsstruktur wie deutschsprachige Länder; vergleichbare Erfassung chronischer Erkrankungen.</w:t>
      </w:r>
    </w:p>
    <w:p>
      <w:r>
        <w:rPr>
          <w:color w:val="5A7D3A"/>
          <w:sz w:val="18"/>
        </w:rPr>
        <w:t>https://pubmed.ncbi.nlm.nih.gov/42859314/</w:t>
      </w:r>
    </w:p>
    <w:p>
      <w:pPr>
        <w:pStyle w:val="Heading2"/>
      </w:pPr>
      <w:r>
        <w:t>Körperzusammensetzung bei älteren Menschen: Fettmasse stärker mit Hypertonie assoziiert als BMI allein</w:t>
      </w:r>
    </w:p>
    <w:p>
      <w:r>
        <w:rPr>
          <w:i/>
          <w:color w:val="666666"/>
          <w:sz w:val="18"/>
        </w:rPr>
        <w:t>Wei M et al.  ·  Front Public Health  ·  24.09.2026  ·  PMID 42851637</w:t>
      </w:r>
    </w:p>
    <w:p>
      <w:r>
        <w:t>Chinesische Querschnittsstudie mit 324 älteren Erwachsenen (≥65 Jahre) zur Messung der Körperzusammensetzung mittels InBody-Analysegerät und Assoziation mit Hypertonie, Dyslipidämie und Diabetes.</w:t>
      </w:r>
    </w:p>
    <w:p>
      <w:r>
        <w:rPr>
          <w:b/>
        </w:rPr>
        <w:t xml:space="preserve">Ergebnis: </w:t>
      </w:r>
      <w:r>
        <w:t>Prävalenzen: Hypertonie 62,3%, Dyslipidämie 53,7%, Diabetes 19,8%. Signifikante Geschlechts- und Altersunterschiede: Frauen hatten höheren Körperfettanteil (PBF) und niedrigere Skelettmuskelmasse (SMM), Personen ≥75 Jahre niedrigere SMM und höheres PBF. Multivariate Regressionen zeigten: höheres PBF und höheres Viszeralfett (VFL) unabhängig mit Hypertonie assoziiert; niedrigere SMM und höheres PBF mit Dyslipidämie; höheres PBF, niedrigere SMM und höherer Rumpffettanteil mit Diabetes. Assoziationen zeigten Heterogenität nach Geschlecht und Alter: Überschüssiges Körperfett prominenter bei Frauen, niedrige SMM stärker bei älteren Altersgruppen.</w:t>
      </w:r>
    </w:p>
    <w:p>
      <w:r>
        <w:rPr>
          <w:b/>
          <w:sz w:val="19"/>
        </w:rPr>
        <w:t xml:space="preserve">Übertragbarkeit: </w:t>
      </w:r>
      <w:r>
        <w:rPr>
          <w:sz w:val="19"/>
        </w:rPr>
        <w:t>China; ähnliche demografische Struktur und Mehrfacherkrankungs-Muster wie alternde deutsche Bevölkerung.</w:t>
      </w:r>
    </w:p>
    <w:p>
      <w:r>
        <w:rPr>
          <w:color w:val="5A7D3A"/>
          <w:sz w:val="18"/>
        </w:rPr>
        <w:t>https://pubmed.ncbi.nlm.nih.gov/42851637/</w:t>
      </w:r>
    </w:p>
    <w:p>
      <w:pPr>
        <w:pStyle w:val="Heading2"/>
      </w:pPr>
      <w:r>
        <w:t>Nierenfunktionsstörung bei indigener Bevölkerung: Machine Learning identifiziert Hochrisiko-Profile für Screening</w:t>
      </w:r>
    </w:p>
    <w:p>
      <w:r>
        <w:rPr>
          <w:i/>
          <w:color w:val="666666"/>
          <w:sz w:val="18"/>
        </w:rPr>
        <w:t>Kshatri JS et al.  ·  Indian J Med Res  ·  Aug. 2026  ·  PMID 42851230</w:t>
      </w:r>
    </w:p>
    <w:p>
      <w:r>
        <w:t>Sekundäranalyse der Odisha Tribal Family Health Survey mit 19.703 erwachsenen Angehörigen von 53 indigenen Gemeinschaften zur Prävalenz eingeschränkter Nierenfunktion (eGFR &lt;90) und Entwicklung von Deep-Neural-Network- und XGBoost-Vorhersagemodellen.</w:t>
      </w:r>
    </w:p>
    <w:p>
      <w:r>
        <w:rPr>
          <w:b/>
        </w:rPr>
        <w:t xml:space="preserve">Ergebnis: </w:t>
      </w:r>
      <w:r>
        <w:t>Gesamtprävalenz eingeschränkter Nierenfunktion 24,8% (95%-KI 23,8-25,9): davon 16,6% mild, 6,4% moderat, 1,5% schwer, 0,3% Nierenversagen. Prävalenz stieg mit Alter (5,6% bei 18-30 Jahren vs. 79,4% bei &gt;70 Jahren). Deep-Neural-Network-Modell: Genauigkeit 0,78, Recall 0,69 (verbessert auf 0,78 bei Schwellenwert 0,4). SHAP-Analyse identifizierte Alter, Hypertonie, Diabetes, Tabak- und Alkoholkonsum sowie niedrige Ernährungsdiversität als Schlüsselprädikatoren. Decision-Curve-Analyse deutete auf Nutzen ML-basierter gezielter Screenings hin.</w:t>
      </w:r>
    </w:p>
    <w:p>
      <w:r>
        <w:rPr>
          <w:b/>
          <w:sz w:val="19"/>
        </w:rPr>
        <w:t xml:space="preserve">Übertragbarkeit: </w:t>
      </w:r>
      <w:r>
        <w:rPr>
          <w:sz w:val="19"/>
        </w:rPr>
        <w:t>Südasien mit extremem Ressourcenmangel; ML-Modelle könnten auch in ähnlich ressourcenlimitierten deutschen Settings (ländliche Regionen) einsetzbar sein.</w:t>
      </w:r>
    </w:p>
    <w:p>
      <w:r>
        <w:rPr>
          <w:color w:val="5A7D3A"/>
          <w:sz w:val="18"/>
        </w:rPr>
        <w:t>https://pubmed.ncbi.nlm.nih.gov/42851230/</w:t>
      </w:r>
    </w:p>
    <w:p>
      <w:pPr>
        <w:pStyle w:val="Heading2"/>
      </w:pPr>
      <w:r>
        <w:t>Post-Lyme-Syndrom nach Antibiotika: Kliniker identifizieren weniger Fälle als Patienten-Fragebögen</w:t>
      </w:r>
    </w:p>
    <w:p>
      <w:r>
        <w:rPr>
          <w:i/>
          <w:color w:val="666666"/>
          <w:sz w:val="18"/>
        </w:rPr>
        <w:t>Yu H et al.  ·  Pathogens  ·  01.08.2026  ·  PMID 42654748</w:t>
      </w:r>
    </w:p>
    <w:p>
      <w:r>
        <w:t>Prospektive europäische Multiländer-Studie (Frankreich, Deutschland, Polen, Österreich, Skandinavien, Slowenien) zur Prävalenz und Klassifikation von Post-Behandlungs-Lyme-Borreliose-Syndrom (PTLDS) anhand klinischer Bewertung versus Patient-Reported Outcomes (n=242 mit kompletter Antibiotikabehandlung).</w:t>
      </w:r>
    </w:p>
    <w:p>
      <w:r>
        <w:rPr>
          <w:b/>
        </w:rPr>
        <w:t xml:space="preserve">Ergebnis: </w:t>
      </w:r>
      <w:r>
        <w:t>299 Patienten (40,9%) berichteten ≥1 Symptom (Müdigkeit, Muskel-Skelett-Schmerz oder kognitives Defizit) 10 Monate nach Diagnose. 15 Patienten (6,2%) erfüllten PTLDS-Kriterien nach klinischer oder Fragebogen-Bewertung; 4 (1,7%) erfüllten beide Kriterien. Fragebogen-PTLDS und Patienten mit persistierenden Symptomen berichteten höhere Symptomschweregrad und schlechtere physische Funktion als klinisch diagnostiziertes PTLDS, was darauf hindeutet, dass unterschiedliche Bewertungsmethoden teilweise unterschiedliche Patientengruppen erfassen.</w:t>
      </w:r>
    </w:p>
    <w:p>
      <w:r>
        <w:rPr>
          <w:b/>
          <w:sz w:val="19"/>
        </w:rPr>
        <w:t xml:space="preserve">Übertragbarkeit: </w:t>
      </w:r>
      <w:r>
        <w:rPr>
          <w:sz w:val="19"/>
        </w:rPr>
        <w:t>Europäische Mehrzenterdaten; direkt auf Deutschland und deutschsprachigen Raum übertragbar.</w:t>
      </w:r>
    </w:p>
    <w:p>
      <w:r>
        <w:rPr>
          <w:color w:val="5A7D3A"/>
          <w:sz w:val="18"/>
        </w:rPr>
        <w:t>https://pubmed.ncbi.nlm.nih.gov/42654748/</w:t>
      </w:r>
    </w:p>
    <w:p>
      <w:pPr>
        <w:pStyle w:val="Heading2"/>
      </w:pPr>
      <w:r>
        <w:t>Erektile Dysfunktion bei COPD: 87,5% Prävalenz; Dyslipidämie und Airflow-Limitation sind unabhängige Prädiktoren</w:t>
      </w:r>
    </w:p>
    <w:p>
      <w:r>
        <w:rPr>
          <w:i/>
          <w:color w:val="666666"/>
          <w:sz w:val="18"/>
        </w:rPr>
        <w:t>Alcalá-Rivera N et al.  ·  Rev Assoc Med Bras (1992)  ·  07.08.2026  ·  PMID 42585471</w:t>
      </w:r>
    </w:p>
    <w:p>
      <w:r>
        <w:t>Spanische Querschnittsstudie mit 120 männlichen COPD-Patienten zur Erfassung sexueller Funktionsstörungen mittels International Index of Erectile Function (IIEF ≤16 als klinisch signifikant).</w:t>
      </w:r>
    </w:p>
    <w:p>
      <w:r>
        <w:rPr>
          <w:b/>
        </w:rPr>
        <w:t xml:space="preserve">Ergebnis: </w:t>
      </w:r>
      <w:r>
        <w:t>113 Patienten (94,2%) berichteten Veränderungen ihrer Sexualfunktion, 42 (36%) waren unzufrieden. Erektile Dysfunktion-Prävalenz 87,5% (mild 27,5%, mild-moderat 21,7%, moderat 17,5%, schwer 20,8%). Hauptursachen laut Patientenaussage: Grunderkrankung (53,3%), Medikamente (20,8%), psychische Probleme (20%). Multivariate Analyse: Dyslipidämie (OR 4,03; 95%-KI 1,43-11,36; p=0,008) und verminderte %pFEV1 (OR 0,937; 95%-KI 0,906-0,968; p&lt;0,001) waren unabhängige Prädiktoren für klinisch signifikante erektile Dysfunktion.</w:t>
      </w:r>
    </w:p>
    <w:p>
      <w:r>
        <w:rPr>
          <w:b/>
          <w:sz w:val="19"/>
        </w:rPr>
        <w:t xml:space="preserve">Übertragbarkeit: </w:t>
      </w:r>
      <w:r>
        <w:rPr>
          <w:sz w:val="19"/>
        </w:rPr>
        <w:t>Südeuropa, vergleichbare COPD-Versorgungsstrukturen; sexuelle Gesundheit als unterschätzte Komponente chronischer Erkrankungen in der Praxis.</w:t>
      </w:r>
    </w:p>
    <w:p>
      <w:r>
        <w:rPr>
          <w:color w:val="5A7D3A"/>
          <w:sz w:val="18"/>
        </w:rPr>
        <w:t>https://pubmed.ncbi.nlm.nih.gov/42585471/</w:t>
      </w:r>
    </w:p>
    <w:p>
      <w:pPr>
        <w:pStyle w:val="Heading1"/>
      </w:pPr>
      <w:r>
        <w:t>Aufgenommen am 11.10.2026</w:t>
      </w:r>
    </w:p>
    <w:p>
      <w:pPr>
        <w:pStyle w:val="Heading2"/>
      </w:pPr>
      <w:r>
        <w:t>Urin-Dipstick-Test verbessert CKD-Screening durch Albumin-Kreatinin-Ratio</w:t>
      </w:r>
    </w:p>
    <w:p>
      <w:r>
        <w:rPr>
          <w:i/>
          <w:color w:val="666666"/>
          <w:sz w:val="18"/>
        </w:rPr>
        <w:t>Samaan F et al.  ·  BMC Nephrol  ·  03.09.2026  ·  PMID 42855677</w:t>
      </w:r>
    </w:p>
    <w:p>
      <w:r>
        <w:t>Brasilianische Pilotvalidierungsstudie an 410 Erwachsenen mit ≥1 CKD-Risikofaktor; Vergleich von zwei kommerziellen Urin-Dipsticks (Gesamtprotein vs. Albumin-Kreatinin-Ratio) gegen Referenzstandard quantitative UACR.</w:t>
      </w:r>
    </w:p>
    <w:p>
      <w:r>
        <w:rPr>
          <w:b/>
        </w:rPr>
        <w:t xml:space="preserve">Ergebnis: </w:t>
      </w:r>
      <w:r>
        <w:t>Albumin-Kreatinin-Dipstick (S12) zeigte höhere Sensitivität als Gesamtprotein-Dipstick (S10) für UACR ≥30 mg/g: 95% (95%-CI 92–98%) vs. 64% (57–71%; p&lt;0,001), für UACR 30–300 mg/g 56% vs. 36% (p=0,009), für UACR &gt;300 mg/g 95% vs. 79% (p=0,001). Hochrechnung auf 777.096 jährliche Routinetests: Ersatz würde 12.045 falsch-negative Fälle (86%) mit UACR ≥30 mg/g verhindern.</w:t>
      </w:r>
    </w:p>
    <w:p>
      <w:r>
        <w:rPr>
          <w:b/>
          <w:sz w:val="19"/>
        </w:rPr>
        <w:t xml:space="preserve">Übertragbarkeit: </w:t>
      </w:r>
      <w:r>
        <w:rPr>
          <w:sz w:val="19"/>
        </w:rPr>
        <w:t>Brasilien, private Krankenversicherung; Screening-Ansatz auf primärversorgende Strukturen übertragbar</w:t>
      </w:r>
    </w:p>
    <w:p>
      <w:r>
        <w:rPr>
          <w:color w:val="5A7D3A"/>
          <w:sz w:val="18"/>
        </w:rPr>
        <w:t>https://pubmed.ncbi.nlm.nih.gov/42855677/</w:t>
      </w:r>
    </w:p>
    <w:p>
      <w:pPr>
        <w:pStyle w:val="Heading2"/>
      </w:pPr>
      <w:r>
        <w:t>Semaglutid plus Dapagliflozin senkt HbA1c und Proteinurie bei Diabetes und CKD</w:t>
      </w:r>
    </w:p>
    <w:p>
      <w:r>
        <w:rPr>
          <w:i/>
          <w:color w:val="666666"/>
          <w:sz w:val="18"/>
        </w:rPr>
        <w:t>Gong C et al.  ·  Medicine (Baltimore)  ·  09.10.2026  ·  PMID 42854065</w:t>
      </w:r>
    </w:p>
    <w:p>
      <w:r>
        <w:t>Retrospektive chinesische Beobachtungsstudie an 126 Patienten mit Typ-2-Diabetes und CKD; Vergleich von Monotherapien (Semaglutid oder Dapagliflozin) mit Kombinationstherapie über 8 Wochen; Messung von Glukoseindizes, Nierenfunktion und Entzündungsmarkern.</w:t>
      </w:r>
    </w:p>
    <w:p>
      <w:r>
        <w:rPr>
          <w:b/>
        </w:rPr>
        <w:t xml:space="preserve">Ergebnis: </w:t>
      </w:r>
      <w:r>
        <w:t>Kombinationstherapie zeigte signifikant stärkere Reduktionen: HbA1c -1,8% (Kombination) vs. -1,2% (Monotherapie), 24-h-Proteinurie -0,42 g/Tag (Kombination) vs. -0,28 g/Tag (Monotherapie), IL-6 und CRP stärker gesenkt. Klinische Ansprechrate höher in Kombinationsgruppe. Keine erhöhten Nebenwirkungen nach 8 Wochen. Befunde begrenzt durch retrospektives Design und kurze Beobachtungsdauer.</w:t>
      </w:r>
    </w:p>
    <w:p>
      <w:r>
        <w:rPr>
          <w:b/>
          <w:sz w:val="19"/>
        </w:rPr>
        <w:t xml:space="preserve">Übertragbarkeit: </w:t>
      </w:r>
      <w:r>
        <w:rPr>
          <w:sz w:val="19"/>
        </w:rPr>
        <w:t>China, ähnliche Mehrfacherkrankungen; kurze Beobachtung, längerfristige Effekte unklar</w:t>
      </w:r>
    </w:p>
    <w:p>
      <w:r>
        <w:rPr>
          <w:color w:val="5A7D3A"/>
          <w:sz w:val="18"/>
        </w:rPr>
        <w:t>https://pubmed.ncbi.nlm.nih.gov/42854065/</w:t>
      </w:r>
    </w:p>
    <w:p>
      <w:pPr>
        <w:pStyle w:val="Heading2"/>
      </w:pPr>
      <w:r>
        <w:t>Lungenvolumenreduktion bei Antikoagulation sicher durchführbar</w:t>
      </w:r>
    </w:p>
    <w:p>
      <w:r>
        <w:rPr>
          <w:i/>
          <w:color w:val="666666"/>
          <w:sz w:val="18"/>
        </w:rPr>
        <w:t>Aleem MS et al.  ·  COPD  ·  27.09.2026  ·  PMID 42852569</w:t>
      </w:r>
    </w:p>
    <w:p>
      <w:r>
        <w:t>Retrospektive US-Datenbankanalyse der National Inpatient Sample (2016–2023) an 16.340 gewichteten Bronchoskopie-Hospitalisierungen mit Lungenvolumenreduktion; 7,8% erhielten chronische Antikoagulation; Vergleich von Blutungs- und anderen Komplikationen.</w:t>
      </w:r>
    </w:p>
    <w:p>
      <w:r>
        <w:rPr>
          <w:b/>
        </w:rPr>
        <w:t xml:space="preserve">Ergebnis: </w:t>
      </w:r>
      <w:r>
        <w:t>Antikoagulierte Patienten: Hämothorax 2,7% vs. 1,1% (nicht-antikoaguliert), Lungenblutung 7,1% vs. 4,7%, jedoch nach multivariater Analyse kein signifikanter unabhängiger Unterschied. Keine signifikanten Unterschiede in Mortalität, Pneumothorax oder Krankenhausverweildauer. Die Studie zeigt, dass Lungenvolumenreduktion auch bei antikoagulierten COPD-Patienten mit vergleichbaren Kurzzeitergebnissen durchführbar ist.</w:t>
      </w:r>
    </w:p>
    <w:p>
      <w:r>
        <w:rPr>
          <w:b/>
          <w:sz w:val="19"/>
        </w:rPr>
        <w:t xml:space="preserve">Übertragbarkeit: </w:t>
      </w:r>
      <w:r>
        <w:rPr>
          <w:sz w:val="19"/>
        </w:rPr>
        <w:t>USA-Krankenhauskodierungsdaten; Procedere übertragbar, Finanzierungsstrukturen unterscheiden sich</w:t>
      </w:r>
    </w:p>
    <w:p>
      <w:r>
        <w:rPr>
          <w:color w:val="5A7D3A"/>
          <w:sz w:val="18"/>
        </w:rPr>
        <w:t>https://pubmed.ncbi.nlm.nih.gov/42852569/</w:t>
      </w:r>
    </w:p>
    <w:p>
      <w:pPr>
        <w:pStyle w:val="Heading2"/>
      </w:pPr>
      <w:r>
        <w:t>Symptombelastung und Exazerbationen prägen Lebensqualität bei Alpha-1-Antitrypsinmangel</w:t>
      </w:r>
    </w:p>
    <w:p>
      <w:r>
        <w:rPr>
          <w:i/>
          <w:color w:val="666666"/>
          <w:sz w:val="18"/>
        </w:rPr>
        <w:t>Aljama C et al.  ·  Pulmonology  ·  07.10.2026  ·  PMID 42841174</w:t>
      </w:r>
    </w:p>
    <w:p>
      <w:r>
        <w:t>Europäische Querschnittsstudie aus dem EARCO-Register an 1710 Pi*ZZ-Patienten; Messung der gesundheitsbezogenen Lebensqualität (EQ-5D); Identifikation von Faktoren, die Lebensqualität beeinflussen.</w:t>
      </w:r>
    </w:p>
    <w:p>
      <w:r>
        <w:rPr>
          <w:b/>
        </w:rPr>
        <w:t xml:space="preserve">Ergebnis: </w:t>
      </w:r>
      <w:r>
        <w:t>Mittleres EQ-5D-Index 0,82±0,22; Patienten mit COPD hatten signifikant schlechtere Werte (0,75±0,24 vs. 0,90±0,16; p&lt;0,001). In multivariater Analyse: höhere Symptombelastung (CAT, mMRC), Langzeitsauerstofftherapie, Arbeitslosigkeit, Exazerbationen, Bronchiektasen und niedrigeres Bildungsniveau waren unabhängig mit schlechterer Lebensqualität assoziiert. Symptombelastung und Exazerbationen waren stärkere Determinanten der Lebensqualität als Lungenfunktion allein.</w:t>
      </w:r>
    </w:p>
    <w:p>
      <w:r>
        <w:rPr>
          <w:b/>
          <w:sz w:val="19"/>
        </w:rPr>
        <w:t xml:space="preserve">Übertragbarkeit: </w:t>
      </w:r>
      <w:r>
        <w:rPr>
          <w:sz w:val="19"/>
        </w:rPr>
        <w:t>Europäische Multizenterstudie (Spanien, Schweden, UK, Dänemark, Schweiz, Portugal, Italien, Frankreich, Tschechien), vergleichbare Gesundheitssysteme</w:t>
      </w:r>
    </w:p>
    <w:p>
      <w:r>
        <w:rPr>
          <w:color w:val="5A7D3A"/>
          <w:sz w:val="18"/>
        </w:rPr>
        <w:t>https://pubmed.ncbi.nlm.nih.gov/42841174/</w:t>
      </w:r>
    </w:p>
    <w:p>
      <w:pPr>
        <w:pStyle w:val="Heading2"/>
      </w:pPr>
      <w:r>
        <w:t>KRT verbesserte Überleben bei über 80-jährigen mit fortgeschrittener Nierenerkrankung</w:t>
      </w:r>
    </w:p>
    <w:p>
      <w:r>
        <w:rPr>
          <w:i/>
          <w:color w:val="666666"/>
          <w:sz w:val="18"/>
        </w:rPr>
        <w:t>Gómez-Rojas I et al.  ·  J Nephrol  ·  10.10.2026  ·  PMID 42634179</w:t>
      </w:r>
    </w:p>
    <w:p>
      <w:r>
        <w:t>Spanische Multizenterstudie an 492 Patienten über 80 Jahren mit eGFR &lt;15 mL/min/1,73 m², die konservative Therapie oder Nierenersatztherapie erhielten; Vergleich von Sterblichkeit und Krankenhausaufenthalten.</w:t>
      </w:r>
    </w:p>
    <w:p>
      <w:r>
        <w:rPr>
          <w:b/>
        </w:rPr>
        <w:t xml:space="preserve">Ergebnis: </w:t>
      </w:r>
      <w:r>
        <w:t>262 Patienten (53,3%) wählten konservative Therapie, 230 (46,7%) begannen Nierenersatztherapie. Konservative Therapie war unabhängig mit höherer Mortalität assoziiert (HR 2,554; p&lt;0,001). Bei geplanter (nicht dringlicher) Nierenersatztherapie bessere Prognose als bei dringlicher Einleitung. Bei erwarteter Überlebensdauer &lt;12 Monate ähnliche Ergebnisse in beiden Gruppen. Die Studie zeigt, dass strukturierte Nierenersatztherapie auch bei sehr alten Patienten mit fortgeschrittener CKD Überlebensvorteil bringt, sofern nicht dringlich eingeleitet.</w:t>
      </w:r>
    </w:p>
    <w:p>
      <w:r>
        <w:rPr>
          <w:b/>
          <w:sz w:val="19"/>
        </w:rPr>
        <w:t xml:space="preserve">Übertragbarkeit: </w:t>
      </w:r>
      <w:r>
        <w:rPr>
          <w:sz w:val="19"/>
        </w:rPr>
        <w:t>Spanische Klinikdaten, vergleichbares Versicherungssystem zur deutschen Versorgung</w:t>
      </w:r>
    </w:p>
    <w:p>
      <w:r>
        <w:rPr>
          <w:color w:val="5A7D3A"/>
          <w:sz w:val="18"/>
        </w:rPr>
        <w:t>https://pubmed.ncbi.nlm.nih.gov/42634179/</w:t>
      </w:r>
    </w:p>
    <w:p>
      <w:pPr>
        <w:pStyle w:val="Heading2"/>
      </w:pPr>
      <w:r>
        <w:t>Self-Management bei Nierenerkrankung: Hürden im NHS-System</w:t>
      </w:r>
    </w:p>
    <w:p>
      <w:r>
        <w:rPr>
          <w:i/>
          <w:color w:val="666666"/>
          <w:sz w:val="18"/>
        </w:rPr>
        <w:t>Patel NA et al.  ·  J Nephrol  ·  10.10.2026  ·  PMID 42598916</w:t>
      </w:r>
    </w:p>
    <w:p>
      <w:r>
        <w:t>Qualitative Studie mit 42 UK-Fachkräften des NHS zu deren Sicht auf Self-Management-Unterstützung bei Nierenerkrankung; Erkundung von Barrieren und Ressourcenbedarf in der Routinepraxis.</w:t>
      </w:r>
    </w:p>
    <w:p>
      <w:r>
        <w:rPr>
          <w:b/>
        </w:rPr>
        <w:t xml:space="preserve">Ergebnis: </w:t>
      </w:r>
      <w:r>
        <w:t>Vier übergeordnete Themen identifiziert: (1) Unzureichende Unterstützung durch NHS-Struktur für Self-Management, (2) Notwendigkeit personalisierter Ansätze, (3) Mangel an zugänglichen Self-Management-Ressourcen, (4) Forderung nach Gesundheitsgerechtigkeit. Fachkräfte berichten, dass strukturierte, evidenzbasierte Interventionen für Self-Management fehlen und dass individuelle Bedürfnisse nicht adäquat berücksichtigt werden.</w:t>
      </w:r>
    </w:p>
    <w:p>
      <w:r>
        <w:rPr>
          <w:b/>
          <w:sz w:val="19"/>
        </w:rPr>
        <w:t xml:space="preserve">Übertragbarkeit: </w:t>
      </w:r>
      <w:r>
        <w:rPr>
          <w:sz w:val="19"/>
        </w:rPr>
        <w:t>Großbritannien, NHS-System; Koordinierungsprobleme sind übertragbar auf deutsche Praxen</w:t>
      </w:r>
    </w:p>
    <w:p>
      <w:r>
        <w:rPr>
          <w:color w:val="5A7D3A"/>
          <w:sz w:val="18"/>
        </w:rPr>
        <w:t>https://pubmed.ncbi.nlm.nih.gov/42598916/</w:t>
      </w:r>
    </w:p>
    <w:p>
      <w:pPr>
        <w:pStyle w:val="Heading1"/>
      </w:pPr>
      <w:r>
        <w:t>Aufgenommen am 10.10.2026</w:t>
      </w:r>
    </w:p>
    <w:p>
      <w:pPr>
        <w:pStyle w:val="Heading2"/>
      </w:pPr>
      <w:r>
        <w:t>Kognitive Verhaltenstherapie reduzierte Müdigkeit und verbesserte Funktionsfähigkeit bei CFS nachhaltig</w:t>
      </w:r>
    </w:p>
    <w:p>
      <w:r>
        <w:rPr>
          <w:i/>
          <w:color w:val="666666"/>
          <w:sz w:val="18"/>
        </w:rPr>
        <w:t>Jiang X et al.  ·  Medicine (Baltimore)  ·  09.10.2026  ·  PMID 42854071</w:t>
      </w:r>
    </w:p>
    <w:p>
      <w:r>
        <w:t>Systematische Übersicht und Metaanalyse von 15 randomisierten Studien mit 2.270 CFS-Patienten prüfte Langzeiteffektivität von kognitiver Verhaltenstherapie auf Müdigkeit und Lebensqualität.</w:t>
      </w:r>
    </w:p>
    <w:p>
      <w:r>
        <w:rPr>
          <w:b/>
        </w:rPr>
        <w:t xml:space="preserve">Ergebnis: </w:t>
      </w:r>
      <w:r>
        <w:t>CBT reduzierte Müdigkeit postinterventionell (Chalder: SMD −0,44; KI −0,57 bis −0,32), verbesserte körperliche Funktionsfähigkeit (SMD 0,32; KI 0,23–0,41) und Psyche (Symptom Checklist 90: SMD −0,44). Nutzen blieben in Kurz- (≤6 Monate) und Langzeitfolge (6–24 Monate) bestehen (Müdigkeit SMD −0,35; KI −0,50 bis −0,19). Keine signifikanten Nebenwirkungen.</w:t>
      </w:r>
    </w:p>
    <w:p>
      <w:r>
        <w:rPr>
          <w:b/>
          <w:sz w:val="19"/>
        </w:rPr>
        <w:t xml:space="preserve">Übertragbarkeit: </w:t>
      </w:r>
      <w:r>
        <w:rPr>
          <w:sz w:val="19"/>
        </w:rPr>
        <w:t>Metaanalyse internationaler Studien, Versorgungsevidenz, psychologische Verfahren</w:t>
      </w:r>
    </w:p>
    <w:p>
      <w:r>
        <w:rPr>
          <w:color w:val="5A7D3A"/>
          <w:sz w:val="18"/>
        </w:rPr>
        <w:t>https://pubmed.ncbi.nlm.nih.gov/42854071/</w:t>
      </w:r>
    </w:p>
    <w:p>
      <w:pPr>
        <w:pStyle w:val="Heading2"/>
      </w:pPr>
      <w:r>
        <w:t>Therapeutische Rahmenbedingungen für ME/CFS: Validierung und Vertrauensbildung durch erlebte Verbesserung</w:t>
      </w:r>
    </w:p>
    <w:p>
      <w:r>
        <w:rPr>
          <w:i/>
          <w:color w:val="666666"/>
          <w:sz w:val="18"/>
        </w:rPr>
        <w:t>Bakken AK et al.  ·  Int J Qual Stud Health Well-being  ·  31.12.2026  ·  PMID 42853299</w:t>
      </w:r>
    </w:p>
    <w:p>
      <w:r>
        <w:t>Reflexive Themenanalyse von Fokusgruppen und Interviews mit 16 Fachpersonen aus 5 Berufen, die mit psychologisch-verhaltenswissenschaftlichen Methoden ME/CFS-Patienten behandeln.</w:t>
      </w:r>
    </w:p>
    <w:p>
      <w:r>
        <w:rPr>
          <w:b/>
        </w:rPr>
        <w:t xml:space="preserve">Ergebnis: </w:t>
      </w:r>
      <w:r>
        <w:t>Vier Kernthemen: (1) Patienten in ‚Niemandsland' treffen (Unsicherheitstoleranz), (2) erklärende ‚Karte' anbieten (Integration biologisch-psychosozial), (3) danach navigieren (Regulationsstörung vs. maladaptives Lernen), (4) Vertrauen bewahren (kontrastive Krankheitserzählungen). Validierung und Agenzystärkung zentral; körperlich erlebte Verbesserung kritisch für Vertrauensaufbau.</w:t>
      </w:r>
    </w:p>
    <w:p>
      <w:r>
        <w:rPr>
          <w:b/>
          <w:sz w:val="19"/>
        </w:rPr>
        <w:t xml:space="preserve">Übertragbarkeit: </w:t>
      </w:r>
      <w:r>
        <w:rPr>
          <w:sz w:val="19"/>
        </w:rPr>
        <w:t>Qualitative Versorgungsforschung, Norwegen, Anwendbarkeit für Patient-Provider-Modelle</w:t>
      </w:r>
    </w:p>
    <w:p>
      <w:r>
        <w:rPr>
          <w:color w:val="5A7D3A"/>
          <w:sz w:val="18"/>
        </w:rPr>
        <w:t>https://pubmed.ncbi.nlm.nih.gov/42853299/</w:t>
      </w:r>
    </w:p>
    <w:p>
      <w:pPr>
        <w:pStyle w:val="Heading2"/>
      </w:pPr>
      <w:r>
        <w:t>Schwangerschaftskomplikationen erhöhen Risiko für Herz-, Nieren- und Stoffwechselerkrankungen deutlich</w:t>
      </w:r>
    </w:p>
    <w:p>
      <w:r>
        <w:rPr>
          <w:i/>
          <w:color w:val="666666"/>
          <w:sz w:val="18"/>
        </w:rPr>
        <w:t>Wambua S et al.  ·  BMJ Med  ·  06.10.2026  ·  PMID 42851766</w:t>
      </w:r>
    </w:p>
    <w:p>
      <w:r>
        <w:t>Kohortenstudie mit 1,4 Millionen Frauen in England untersuchte, ob Schwangerschaftskomplikationen das spätere Risiko für Herz-Kreislauf-, Stoffwechsel- und Nierenerkrankungen erhöhen.</w:t>
      </w:r>
    </w:p>
    <w:p>
      <w:r>
        <w:rPr>
          <w:b/>
        </w:rPr>
        <w:t xml:space="preserve">Ergebnis: </w:t>
      </w:r>
      <w:r>
        <w:t>Gestationshypertonie und Präeklampsie verdreifachten das Hypertonierisiko und verdoppelten das Nierenerkrankungsrisiko. Gestationsdiabetes erhöhte das Typ-2-Diabetes-Risiko um das Siebenfache. Postnatale Depression erhöhte alle vier Endpunkte um 35–56 % (z. B. Hypertonie HR 1,36; KI 1,33–1,40). Diese Erkenntnisse ermöglichen Früherkennung von Frauen mit hohem Risiko.</w:t>
      </w:r>
    </w:p>
    <w:p>
      <w:r>
        <w:rPr>
          <w:b/>
          <w:sz w:val="19"/>
        </w:rPr>
        <w:t xml:space="preserve">Übertragbarkeit: </w:t>
      </w:r>
      <w:r>
        <w:rPr>
          <w:sz w:val="19"/>
        </w:rPr>
        <w:t>UK-Daten, vergleichbare GKV-Dokumentation, prädiktive Stratifizierung möglich</w:t>
      </w:r>
    </w:p>
    <w:p>
      <w:r>
        <w:rPr>
          <w:color w:val="5A7D3A"/>
          <w:sz w:val="18"/>
        </w:rPr>
        <w:t>https://pubmed.ncbi.nlm.nih.gov/42851766/</w:t>
      </w:r>
    </w:p>
    <w:p>
      <w:pPr>
        <w:pStyle w:val="Heading2"/>
      </w:pPr>
      <w:r>
        <w:t>Schwedisches Nierenchronikerregister: Echtzeit-Überwachung der Nierenersatztherapie auf nationaler Ebene</w:t>
      </w:r>
    </w:p>
    <w:p>
      <w:r>
        <w:rPr>
          <w:i/>
          <w:color w:val="666666"/>
          <w:sz w:val="18"/>
        </w:rPr>
        <w:t>Rydell H et al.  ·  Lakartidningen  ·  08.10.2026  ·  PMID 42847836</w:t>
      </w:r>
    </w:p>
    <w:p>
      <w:r>
        <w:t>Beschreibung des schwedischen Nierenregisters, das über 90.000 Patienten vom Diagnosebereich bis zur Transplantation verfolgt und als Versorgungsmonitor fungiert.</w:t>
      </w:r>
    </w:p>
    <w:p>
      <w:r>
        <w:rPr>
          <w:b/>
        </w:rPr>
        <w:t xml:space="preserve">Ergebnis: </w:t>
      </w:r>
      <w:r>
        <w:t>Das Register erfasst alle 9 Nephrologieabteilungen Schwedens mit hoher Datenqualität. Es ermöglicht Echtzeitüberwachung fortlaufender therapeutischer Entwicklungen – etwa rasch evolvierende Anti-CKD-Therapien und spezifische Diagnose-Therapien – und identifiziert Versorgungslücken systematisch.</w:t>
      </w:r>
    </w:p>
    <w:p>
      <w:r>
        <w:rPr>
          <w:b/>
          <w:sz w:val="19"/>
        </w:rPr>
        <w:t xml:space="preserve">Übertragbarkeit: </w:t>
      </w:r>
      <w:r>
        <w:rPr>
          <w:sz w:val="19"/>
        </w:rPr>
        <w:t>Skandinavien, hochstrukturiertes nationales Register, Modell für Versorgungsmonitoring</w:t>
      </w:r>
    </w:p>
    <w:p>
      <w:r>
        <w:rPr>
          <w:color w:val="5A7D3A"/>
          <w:sz w:val="18"/>
        </w:rPr>
        <w:t>https://pubmed.ncbi.nlm.nih.gov/42847836/</w:t>
      </w:r>
    </w:p>
    <w:p>
      <w:pPr>
        <w:pStyle w:val="Heading2"/>
      </w:pPr>
      <w:r>
        <w:t>ME/CFS zeigt latente physiologische Dysregulation über Atemwegs-, kardiovaskuläre und Thermoregulationsstörungen</w:t>
      </w:r>
    </w:p>
    <w:p>
      <w:r>
        <w:rPr>
          <w:i/>
          <w:color w:val="666666"/>
          <w:sz w:val="18"/>
        </w:rPr>
        <w:t>Habermann-Horstmeier L et al.  ·  J Transl Med  ·  28.09.2026  ·  PMID 42806383</w:t>
      </w:r>
    </w:p>
    <w:p>
      <w:r>
        <w:t>Querschnittsanalyse von 736 ME/CFS-Patienten untersuchte, wie Muskelprobleme mit anderen Symptomdomänen verknüpft sind und ob ein gemeinsamer pathophysiologischer Faktor dahintersteckt.</w:t>
      </w:r>
    </w:p>
    <w:p>
      <w:r>
        <w:rPr>
          <w:b/>
        </w:rPr>
        <w:t xml:space="preserve">Ergebnis: </w:t>
      </w:r>
      <w:r>
        <w:t>Faktorenanalyse identifizierte einen latenten physiologischen Dysregulationsfaktor, dem Atemwegs-, Herz-Kreislauf-, Thermoregulations-, visuelle und grippeähnliche Symptome zuzurechnen sind (RMSEA 0,046, CFI 0,971). Muskelprobleme waren unabhängig mit Atembeschwerden (OR 2,49), Grippeähnlichkeit (OR 1,97) und Temperaturstörungen (OR 1,97) assoziiert. Befund unterstützt multiorganbeteiligung statt Einzelsymptomfokus.</w:t>
      </w:r>
    </w:p>
    <w:p>
      <w:r>
        <w:rPr>
          <w:b/>
          <w:sz w:val="19"/>
        </w:rPr>
        <w:t xml:space="preserve">Übertragbarkeit: </w:t>
      </w:r>
      <w:r>
        <w:rPr>
          <w:sz w:val="19"/>
        </w:rPr>
        <w:t>Deutschland, Patientenregister, zeigt Mehrfacherkrankung als Kernmerkmal</w:t>
      </w:r>
    </w:p>
    <w:p>
      <w:r>
        <w:rPr>
          <w:color w:val="5A7D3A"/>
          <w:sz w:val="18"/>
        </w:rPr>
        <w:t>https://pubmed.ncbi.nlm.nih.gov/42806383/</w:t>
      </w:r>
    </w:p>
    <w:p>
      <w:pPr>
        <w:pStyle w:val="Heading2"/>
      </w:pPr>
      <w:r>
        <w:t>SGLT2-Inhibitoren reduzierten kardiovaskuläre Ereignisse und Nierenersatztherapie um 20–33 %</w:t>
      </w:r>
    </w:p>
    <w:p>
      <w:r>
        <w:rPr>
          <w:i/>
          <w:color w:val="666666"/>
          <w:sz w:val="18"/>
        </w:rPr>
        <w:t>Österman J et al.  ·  Clin J Am Soc Nephrol  ·  01.10.2026  ·  PMID 42560763</w:t>
      </w:r>
    </w:p>
    <w:p>
      <w:r>
        <w:t>Schwedische Kohortenstudie mit 32.856 Nierenkranken in nephrologischer Betreuung untersuchte Wirkung von SGLT2-Inhibitoren auf kardiovaskuläre und renale Outcomes in der Praxis.</w:t>
      </w:r>
    </w:p>
    <w:p>
      <w:r>
        <w:rPr>
          <w:b/>
        </w:rPr>
        <w:t xml:space="preserve">Ergebnis: </w:t>
      </w:r>
      <w:r>
        <w:t>SGLT2-Inhibitor-Anwender hatten niedrigeres Risiko für Major Adverse Cardiovascular Events (OR 0,80; KI 0,71–0,91) und Nierenersatztherapie (OR 0,67; KI 0,52–0,85). Kein Unterschied bei Gesamtsterblichkeit. Effekte konsistent über Subgruppen. Randomisierte Studienergebnisse bestätigen sich in der Regelversorgung.</w:t>
      </w:r>
    </w:p>
    <w:p>
      <w:r>
        <w:rPr>
          <w:b/>
          <w:sz w:val="19"/>
        </w:rPr>
        <w:t xml:space="preserve">Übertragbarkeit: </w:t>
      </w:r>
      <w:r>
        <w:rPr>
          <w:sz w:val="19"/>
        </w:rPr>
        <w:t>Skandinavien, vergleichbares System, Routinedaten nephrologischer Zentren</w:t>
      </w:r>
    </w:p>
    <w:p>
      <w:r>
        <w:rPr>
          <w:color w:val="5A7D3A"/>
          <w:sz w:val="18"/>
        </w:rPr>
        <w:t>https://pubmed.ncbi.nlm.nih.gov/42560763/</w:t>
      </w:r>
    </w:p>
    <w:p>
      <w:pPr>
        <w:pStyle w:val="Heading1"/>
      </w:pPr>
      <w:r>
        <w:t>Aufgenommen am 09.10.2026</w:t>
      </w:r>
    </w:p>
    <w:p>
      <w:pPr>
        <w:pStyle w:val="Heading2"/>
      </w:pPr>
      <w:r>
        <w:t>Intersektionale Diskriminierung erhöht Stress und Alkoholkonsum bei Minderheiten</w:t>
      </w:r>
    </w:p>
    <w:p>
      <w:r>
        <w:rPr>
          <w:i/>
          <w:color w:val="666666"/>
          <w:sz w:val="18"/>
        </w:rPr>
        <w:t>Smith MS et al.  ·  Ann Behav Med  ·  07.01.2026  ·  PMID 42847391</w:t>
      </w:r>
    </w:p>
    <w:p>
      <w:r>
        <w:t>Zwei Querschnittsstudien mit insgesamt 1.181 sexuellen Minderheitenmännern of Color zum Zusammenhang zwischen intersektionaler Diskriminierung (Rassismus und Heterosexismus gleichzeitig) und kardiometabolischen Risikofaktoren.</w:t>
      </w:r>
    </w:p>
    <w:p>
      <w:r>
        <w:rPr>
          <w:b/>
        </w:rPr>
        <w:t xml:space="preserve">Ergebnis: </w:t>
      </w:r>
      <w:r>
        <w:t>Intersektionale Diskriminierung war unabhängig mit wahrgenommenem Stress und Alkoholkonsum assoziiert (beide p &lt;0,05), ebenso mit erhöhtem BMI. Dies zeigt, dass überlappende Diskriminierungserfahrungen Gesundheitsverhalten ungünstiger beeinflussen als einzelne Diskriminierungsformen.</w:t>
      </w:r>
    </w:p>
    <w:p>
      <w:r>
        <w:rPr>
          <w:b/>
          <w:sz w:val="19"/>
        </w:rPr>
        <w:t xml:space="preserve">Übertragbarkeit: </w:t>
      </w:r>
      <w:r>
        <w:rPr>
          <w:sz w:val="19"/>
        </w:rPr>
        <w:t>USA-Studie, Mechanismus aber auf alle Mehrfachdiskriminierungs-Settings übertragbar, Deutschland mit migrantischen Communities.</w:t>
      </w:r>
    </w:p>
    <w:p>
      <w:r>
        <w:rPr>
          <w:color w:val="5A7D3A"/>
          <w:sz w:val="18"/>
        </w:rPr>
        <w:t>https://pubmed.ncbi.nlm.nih.gov/42847391/</w:t>
      </w:r>
    </w:p>
    <w:p>
      <w:pPr>
        <w:pStyle w:val="Heading2"/>
      </w:pPr>
      <w:r>
        <w:t>Yoga verbesserte Nierenfunktion bei CKD-Stadien 3–4 um 6,94 mL/min/1,73m² innerhalb 12 Wochen</w:t>
      </w:r>
    </w:p>
    <w:p>
      <w:r>
        <w:rPr>
          <w:i/>
          <w:color w:val="666666"/>
          <w:sz w:val="18"/>
        </w:rPr>
        <w:t>Nair RG et al.  ·  Ann Behav Med  ·  07.01.2026  ·  PMID 42847350</w:t>
      </w:r>
    </w:p>
    <w:p>
      <w:r>
        <w:t>Randomisierte kontrollierte Studie mit 81 CKD-Patienten in Stadien 3 und 4 (diabetische oder hypertensive Ätiologie), die 12 Wochen lang Yoga-Praktiken (5 Stunden pro Woche) zusätzlich zur Standardbehandlung erhielten.</w:t>
      </w:r>
    </w:p>
    <w:p>
      <w:r>
        <w:rPr>
          <w:b/>
        </w:rPr>
        <w:t xml:space="preserve">Ergebnis: </w:t>
      </w:r>
      <w:r>
        <w:t>Yoga-Gruppe zeigte signifikante Verbesserungen: Serum-Kreatinin -0,42 (p=0,013), geschätzte glomeruläre Filtrationsrate +6,94 mL/min/1,73m² (p=0,030), Urin-Albumin-Kreatinin-Ratio -464,2 mg/g (p=0,029) und TGF-β1 -218,2 pg/mL (p=0,021). Mediationsanalyse zeigt reduziertes TGF-β1 als Wirkpfad.</w:t>
      </w:r>
    </w:p>
    <w:p>
      <w:r>
        <w:rPr>
          <w:b/>
          <w:sz w:val="19"/>
        </w:rPr>
        <w:t xml:space="preserve">Übertragbarkeit: </w:t>
      </w:r>
      <w:r>
        <w:rPr>
          <w:sz w:val="19"/>
        </w:rPr>
        <w:t>Indien, aber Intervention universell einsetzbar, Kosteneffektivität, geringe Implementierungsbarrieren.</w:t>
      </w:r>
    </w:p>
    <w:p>
      <w:r>
        <w:rPr>
          <w:color w:val="5A7D3A"/>
          <w:sz w:val="18"/>
        </w:rPr>
        <w:t>https://pubmed.ncbi.nlm.nih.gov/42847350/</w:t>
      </w:r>
    </w:p>
    <w:p>
      <w:pPr>
        <w:pStyle w:val="Heading2"/>
      </w:pPr>
      <w:r>
        <w:t>Community-basierte Co-Design-Studie zu nachhaltiger Gesundheit bei Jugendlichen in Kanada und Jamaika</w:t>
      </w:r>
    </w:p>
    <w:p>
      <w:r>
        <w:rPr>
          <w:i/>
          <w:color w:val="666666"/>
          <w:sz w:val="18"/>
        </w:rPr>
        <w:t>Stennett R et al.  ·  BMJ Open  ·  07.10.2026  ·  PMID 42843868</w:t>
      </w:r>
    </w:p>
    <w:p>
      <w:r>
        <w:t>Protokoll einer Multimethod-Community-Based-Participatory-Research-Studie zur Entwicklung einer Intervention für Jugendliche (15–25 Jahre) zu nachhaltigem Lebensstil und Prävention nichtübertragbarer Erkrankungen durch Umwelt- und Gesundheitsperspektiven in zwei Phasen (kontextuelle Kartierung, Co-Design).</w:t>
      </w:r>
    </w:p>
    <w:p>
      <w:r>
        <w:rPr>
          <w:b/>
        </w:rPr>
        <w:t xml:space="preserve">Ergebnis: </w:t>
      </w:r>
      <w:r>
        <w:t>Dies ist ein Studienprotokoll, das die Machbarkeit, Umsetzungstreue und kontextuelle Passung einer SHAL-Intervention (Sustainability Healthy Active Living) in equity-deserving Populationen untersuchen wird. Erkenntnisse werden zur Finalisierung der Intervention und zu Best-Practice-Wissenstransfer in Konferenzen und Workshops führen. Fokus auf Jugendliche als Change Agents in präventiven, umweltbezogenen Systemen.</w:t>
      </w:r>
    </w:p>
    <w:p>
      <w:r>
        <w:rPr>
          <w:b/>
          <w:sz w:val="19"/>
        </w:rPr>
        <w:t xml:space="preserve">Übertragbarkeit: </w:t>
      </w:r>
      <w:r>
        <w:rPr>
          <w:sz w:val="19"/>
        </w:rPr>
        <w:t>Kanada mit vergleichbarem Versicherungssystem, präventives Gesundheitssystem mit Fokus auf Lebensstil und Mehrfacherkrankungen.</w:t>
      </w:r>
    </w:p>
    <w:p>
      <w:r>
        <w:rPr>
          <w:color w:val="5A7D3A"/>
          <w:sz w:val="18"/>
        </w:rPr>
        <w:t>https://pubmed.ncbi.nlm.nih.gov/42843868/</w:t>
      </w:r>
    </w:p>
    <w:p>
      <w:pPr>
        <w:pStyle w:val="Heading2"/>
      </w:pPr>
      <w:r>
        <w:t>COPD-Symptommonitoring in Pulmonalrehabilitation sagte schwere Exazerbationen nicht zuverlässig voraus</w:t>
      </w:r>
    </w:p>
    <w:p>
      <w:r>
        <w:rPr>
          <w:i/>
          <w:color w:val="666666"/>
          <w:sz w:val="18"/>
        </w:rPr>
        <w:t>Machefert M et al.  ·  Pulmonology  ·  07.10.2026  ·  PMID 42841793</w:t>
      </w:r>
    </w:p>
    <w:p>
      <w:r>
        <w:t>Prospektive Multicenterstudie mit 128 stabilen COPD-Patienten in Erhaltungs-Pulmonalrehabilitationen in Frankreich über ein Jahr mit 4.200 dokumentierten Sitzungen zur Vorhersage schwerer Exazerbationen durch klinische und Belastungsparameter.</w:t>
      </w:r>
    </w:p>
    <w:p>
      <w:r>
        <w:rPr>
          <w:b/>
        </w:rPr>
        <w:t xml:space="preserve">Ergebnis: </w:t>
      </w:r>
      <w:r>
        <w:t>Von 128 Patienten erlebten 19 (14,8%) schwere Exazerbationen. Routinemäßig dokumentierte klinische Marker (COPD Assessment Test, modifizierte Borg-Skala, Belastungsleistung) zeigten begrenzte Vorhersagekraft (AUC 0,45–0,58, alle p&gt;0,1); schwache zeitliche Assoziationen zwischen Symptomen und Leistung. Dies unterstreicht Komplexität der Exazerbationen und Bedarf für digitales Multiparameter-Monitoring.</w:t>
      </w:r>
    </w:p>
    <w:p>
      <w:r>
        <w:rPr>
          <w:b/>
          <w:sz w:val="19"/>
        </w:rPr>
        <w:t xml:space="preserve">Übertragbarkeit: </w:t>
      </w:r>
      <w:r>
        <w:rPr>
          <w:sz w:val="19"/>
        </w:rPr>
        <w:t>Frankreich, vergleichbare ambulante Strukturen, Finanzierung und Reha-Programme ähnlich Deutschland.</w:t>
      </w:r>
    </w:p>
    <w:p>
      <w:r>
        <w:rPr>
          <w:color w:val="5A7D3A"/>
          <w:sz w:val="18"/>
        </w:rPr>
        <w:t>https://pubmed.ncbi.nlm.nih.gov/42841793/</w:t>
      </w:r>
    </w:p>
    <w:p>
      <w:pPr>
        <w:pStyle w:val="Heading2"/>
      </w:pPr>
      <w:r>
        <w:t>Adipositas erhöhte chirurgische Komplikationen nach Nierentransplantation, nicht aber Langzeitüberleben</w:t>
      </w:r>
    </w:p>
    <w:p>
      <w:r>
        <w:rPr>
          <w:i/>
          <w:color w:val="666666"/>
          <w:sz w:val="18"/>
        </w:rPr>
        <w:t>Melera E et al.  ·  Clin Transplant  ·  Okt. 2026  ·  PMID 42839226</w:t>
      </w:r>
    </w:p>
    <w:p>
      <w:r>
        <w:t>Schweizer Einzelzentrum-Retrospektivstudie mit 953 aufeinanderfolgenden Nierenpatienten (150 adipös, BMI ≥30; 803 nicht adipös) von 1999 bis 2023 zur Auswirkung von Empfängeradipositas auf kurz- und langfristige Transplantationsergebnisse.</w:t>
      </w:r>
    </w:p>
    <w:p>
      <w:r>
        <w:rPr>
          <w:b/>
        </w:rPr>
        <w:t xml:space="preserve">Ergebnis: </w:t>
      </w:r>
      <w:r>
        <w:t>Adipöse Empfänger hatten höhere Raten von Operationsstellen-Infektionen (11 % vs. 3 %, p&lt;0,001), Gesamtinfektionen (29 % vs. 5 %, p&lt;0,001), Lymphozylen (18 % vs. 10 %, p=0,007), inkisionalen Hernien (10 % vs. 5 %, p=0,032) und verspäteter Transplantatalfunction (21 % vs. 14 %, p=0,024). Längerer Aufenthalt: 19 vs. 17 Tage (p=0,038). Patienten- und Transplantat-Überleben nach 7,3 Jahren gleich (Hazard Ratio 1,09 bzw. 0,92, p&gt;0,05). Adipositas sollte kein Kontraindikationskriterium sein.</w:t>
      </w:r>
    </w:p>
    <w:p>
      <w:r>
        <w:rPr>
          <w:b/>
          <w:sz w:val="19"/>
        </w:rPr>
        <w:t xml:space="preserve">Übertragbarkeit: </w:t>
      </w:r>
      <w:r>
        <w:rPr>
          <w:sz w:val="19"/>
        </w:rPr>
        <w:t>Schweiz, vergleichbares Sozialsystem und Transplantationsstruktur wie Deutschland und DACH-Region.</w:t>
      </w:r>
    </w:p>
    <w:p>
      <w:r>
        <w:rPr>
          <w:color w:val="5A7D3A"/>
          <w:sz w:val="18"/>
        </w:rPr>
        <w:t>https://pubmed.ncbi.nlm.nih.gov/42839226/</w:t>
      </w:r>
    </w:p>
    <w:p>
      <w:pPr>
        <w:pStyle w:val="Heading2"/>
      </w:pPr>
      <w:r>
        <w:t>Typ-2-Diabetes: Nierenerkrankungsrate sank von 55,3 auf 43,7 pro 1000 Personenjahre</w:t>
      </w:r>
    </w:p>
    <w:p>
      <w:r>
        <w:rPr>
          <w:i/>
          <w:color w:val="666666"/>
          <w:sz w:val="18"/>
        </w:rPr>
        <w:t>Lee CJ et al.  ·  Diabetes Obes Metab  ·  09.08.2026  ·  PMID 42571988</w:t>
      </w:r>
    </w:p>
    <w:p>
      <w:r>
        <w:t>Dänische Registeranalyse zur Prävalenz, Inzidenz und Mortalität der chronischen Nierenerkrankung bei 1,3 Millionen Personen mit Typ-1 und Typ-2-Diabetes zwischen 2016 und 2024.</w:t>
      </w:r>
    </w:p>
    <w:p>
      <w:r>
        <w:rPr>
          <w:b/>
        </w:rPr>
        <w:t xml:space="preserve">Ergebnis: </w:t>
      </w:r>
      <w:r>
        <w:t>Die Prävalenz der Nierenerkrankung stieg bei Typ-2-Diabetes von 24,8 % auf 37,3 %, die Inzidenz sank aber von 55,3 auf 43,7 pro 1000 Personenjahre (Hochaltrigkeit ≥70 Jahre: von 93,6 auf 74,3), die Mortalität blieb bei Patienten mit Nierenerkrankung erhöht. Das zeigt Prävention wirkt, Früherkennung aber lückenhaft.</w:t>
      </w:r>
    </w:p>
    <w:p>
      <w:r>
        <w:rPr>
          <w:b/>
          <w:sz w:val="19"/>
        </w:rPr>
        <w:t xml:space="preserve">Übertragbarkeit: </w:t>
      </w:r>
      <w:r>
        <w:rPr>
          <w:sz w:val="19"/>
        </w:rPr>
        <w:t>Dänisches Register mit deutschen Strukturen vergleichbar, DMP-Daten könnten ähnliche Trends zeigen.</w:t>
      </w:r>
    </w:p>
    <w:p>
      <w:r>
        <w:rPr>
          <w:color w:val="5A7D3A"/>
          <w:sz w:val="18"/>
        </w:rPr>
        <w:t>https://pubmed.ncbi.nlm.nih.gov/42571988/</w:t>
      </w:r>
    </w:p>
    <w:p>
      <w:pPr>
        <w:pStyle w:val="Heading1"/>
      </w:pPr>
      <w:r>
        <w:t>Aufgenommen am 08.10.2026</w:t>
      </w:r>
    </w:p>
    <w:p>
      <w:pPr>
        <w:pStyle w:val="Heading2"/>
      </w:pPr>
      <w:r>
        <w:t>Präoperative Versorgungspfade für Patienten mit Mehrfacherkrankungen: kaum spezialisierte Programme vorhanden</w:t>
      </w:r>
    </w:p>
    <w:p>
      <w:r>
        <w:rPr>
          <w:i/>
          <w:color w:val="666666"/>
          <w:sz w:val="18"/>
        </w:rPr>
        <w:t>Mikula-Noble NM et al.  ·  BMJ Open  ·  07.10.2026  ·  PMID 42843878</w:t>
      </w:r>
    </w:p>
    <w:p>
      <w:r>
        <w:t>Systematische Übersicht über präoperative Interventionen für Patienten mit Mehrfacherkrankungen vor großen Operationen – Suche nach spezifischen Programmen für diese Hochrisikogruppe.</w:t>
      </w:r>
    </w:p>
    <w:p>
      <w:r>
        <w:rPr>
          <w:b/>
        </w:rPr>
        <w:t xml:space="preserve">Ergebnis: </w:t>
      </w:r>
      <w:r>
        <w:t>Von 138 Studien mit Mehrfacherkrankungskohorten wurden 34 eingeschlossen: nur 6 (18 %) diskutierten Interventionen für gemischte Kohorten, nur 3 (9 %) berichteten über allgemeine chirurgische Interventionen bei Mehrfacherkrankten. Es existieren praktisch keine auf Mehrfacherkrankung zugeschnittenen präoperativen Programme.</w:t>
      </w:r>
    </w:p>
    <w:p>
      <w:r>
        <w:rPr>
          <w:b/>
          <w:sz w:val="19"/>
        </w:rPr>
        <w:t xml:space="preserve">Übertragbarkeit: </w:t>
      </w:r>
      <w:r>
        <w:rPr>
          <w:sz w:val="19"/>
        </w:rPr>
        <w:t>Großbritannien – vergleichbare perioperative Strukturen und Dokumentation, Problem der fehlenden Spezialisierung übertragbar.</w:t>
      </w:r>
    </w:p>
    <w:p>
      <w:r>
        <w:rPr>
          <w:color w:val="5A7D3A"/>
          <w:sz w:val="18"/>
        </w:rPr>
        <w:t>https://pubmed.ncbi.nlm.nih.gov/42843878/</w:t>
      </w:r>
    </w:p>
    <w:p>
      <w:pPr>
        <w:pStyle w:val="Heading2"/>
      </w:pPr>
      <w:r>
        <w:t>Insulinresistenz sagte Hepatokarzinom bei viruskontrollierter Hepatitis B voraus</w:t>
      </w:r>
    </w:p>
    <w:p>
      <w:r>
        <w:rPr>
          <w:i/>
          <w:color w:val="666666"/>
          <w:sz w:val="18"/>
        </w:rPr>
        <w:t>Sinn DH et al.  ·  J Korean Med Sci  ·  05.10.2026  ·  PMID 42843350</w:t>
      </w:r>
    </w:p>
    <w:p>
      <w:r>
        <w:t>Prospektive Multizenterstudie an 334 HBV-Zirrhose-Patienten unter antiviraler Therapie zur Prognosevalenz der Insulinresistenz (HOMA2-IR) für HCC-Entwicklung.</w:t>
      </w:r>
    </w:p>
    <w:p>
      <w:r>
        <w:rPr>
          <w:b/>
        </w:rPr>
        <w:t xml:space="preserve">Ergebnis: </w:t>
      </w:r>
      <w:r>
        <w:t>Bei Median-Nachbeobachtung von 7,45 Jahren entwickelten 62 Patienten (18,6 %) HCC. Jede HOMA2-IR-Einheitssteigerung korrelierte mit erhöhtem HCC-Risiko (HR 1,53; 95 % KI 1,16–2,04). Patienten mit HOMA2-IR ≥ 2,3 hatten 5-Jahres-HCC-Inzidenz von 30,6 % versus 12,3 % bei HOMA2-IR &lt; 2,3 (adjustierte HR 2,62; 95 % KI 1,40–4,91).</w:t>
      </w:r>
    </w:p>
    <w:p>
      <w:r>
        <w:rPr>
          <w:b/>
          <w:sz w:val="19"/>
        </w:rPr>
        <w:t xml:space="preserve">Übertragbarkeit: </w:t>
      </w:r>
      <w:r>
        <w:rPr>
          <w:sz w:val="19"/>
        </w:rPr>
        <w:t>Südkorea – Multizenterstudie; Biomarker unabhängig vom Gesundheitssystem; aber HCC-Screening-Algorithmen regional unterschiedlich.</w:t>
      </w:r>
    </w:p>
    <w:p>
      <w:r>
        <w:rPr>
          <w:color w:val="5A7D3A"/>
          <w:sz w:val="18"/>
        </w:rPr>
        <w:t>https://pubmed.ncbi.nlm.nih.gov/42843350/</w:t>
      </w:r>
    </w:p>
    <w:p>
      <w:pPr>
        <w:pStyle w:val="Heading2"/>
      </w:pPr>
      <w:r>
        <w:t>Integrierte Atemwegsversorgung in Irland: Hausärzte berichten Chancen und Lücken</w:t>
      </w:r>
    </w:p>
    <w:p>
      <w:r>
        <w:rPr>
          <w:i/>
          <w:color w:val="666666"/>
          <w:sz w:val="18"/>
        </w:rPr>
        <w:t>O'Brien H et al.  ·  Prim Health Care Res Dev  ·  07.10.2026  ·  PMID 42839305</w:t>
      </w:r>
    </w:p>
    <w:p>
      <w:r>
        <w:t>Qualitative Befragung von 112 Hausärzten zur Umsetzung eines neuen Disease-Management-Programms für COPD und Asthma mit lokalen Fachteams in Irland.</w:t>
      </w:r>
    </w:p>
    <w:p>
      <w:r>
        <w:rPr>
          <w:b/>
        </w:rPr>
        <w:t xml:space="preserve">Ergebnis: </w:t>
      </w:r>
      <w:r>
        <w:t>87 % bewerteten integrierte Care-Hubs als gut bis ausgezeichnet und 84 % als überlegen gegenüber Krankenhausambulanzen, doch 52 % berichteten unzureichende Diagnostik, 45 % verzögerte Rückmeldungen und 50 % mangelnde Spezialunterstützung. Selbstberichtete Sicherheit in Leitlinienwissen moderat (7/10 für beide Erkrankungen), sehr niedrig bei Lungenfunktionstests (3/10).</w:t>
      </w:r>
    </w:p>
    <w:p>
      <w:r>
        <w:rPr>
          <w:b/>
          <w:sz w:val="19"/>
        </w:rPr>
        <w:t xml:space="preserve">Übertragbarkeit: </w:t>
      </w:r>
      <w:r>
        <w:rPr>
          <w:sz w:val="19"/>
        </w:rPr>
        <w:t>Irland – comparable Primarversorgung, ähnliche NHS-Finanzierung, jedoch spezifische Koordinationsstruktur.</w:t>
      </w:r>
    </w:p>
    <w:p>
      <w:r>
        <w:rPr>
          <w:color w:val="5A7D3A"/>
          <w:sz w:val="18"/>
        </w:rPr>
        <w:t>https://pubmed.ncbi.nlm.nih.gov/42839305/</w:t>
      </w:r>
    </w:p>
    <w:p>
      <w:pPr>
        <w:pStyle w:val="Heading2"/>
      </w:pPr>
      <w:r>
        <w:t>Dupilumab reduzierte Exazerbationen bei COPD mit Typ-2-Entzündung um 70 Prozent</w:t>
      </w:r>
    </w:p>
    <w:p>
      <w:r>
        <w:rPr>
          <w:i/>
          <w:color w:val="666666"/>
          <w:sz w:val="18"/>
        </w:rPr>
        <w:t>Abdo M et al.  ·  Respir Res  ·  06.10.2026  ·  PMID 42839285</w:t>
      </w:r>
    </w:p>
    <w:p>
      <w:r>
        <w:t>Multizentrische Analyse deutscher Kliniken zur Wirksamkeit von Dupilumab bei COPD-Patienten mit Typ-2-Entzündung unter Routinebedingungen.</w:t>
      </w:r>
    </w:p>
    <w:p>
      <w:r>
        <w:rPr>
          <w:b/>
        </w:rPr>
        <w:t xml:space="preserve">Ergebnis: </w:t>
      </w:r>
      <w:r>
        <w:t>Bei 99 Patienten sank die annualisierte Rate moderater bis schwerer Exazerbationen von 3,52 auf 1,04 pro Jahr (70 % Reduktion), der CAT-Score verbesserte sich um 4,5 Punkte, konsistent über Subgruppen hinweg. 8 Patienten zeigten keine Reduktion unter Behandlung.</w:t>
      </w:r>
    </w:p>
    <w:p>
      <w:r>
        <w:rPr>
          <w:b/>
          <w:sz w:val="19"/>
        </w:rPr>
        <w:t xml:space="preserve">Übertragbarkeit: </w:t>
      </w:r>
      <w:r>
        <w:rPr>
          <w:sz w:val="19"/>
        </w:rPr>
        <w:t>Deutsche Klinikdaten, vergleichbare Dokumentationspflichten und Versorgungsstruktur.</w:t>
      </w:r>
    </w:p>
    <w:p>
      <w:r>
        <w:rPr>
          <w:color w:val="5A7D3A"/>
          <w:sz w:val="18"/>
        </w:rPr>
        <w:t>https://pubmed.ncbi.nlm.nih.gov/42839285/</w:t>
      </w:r>
    </w:p>
    <w:p>
      <w:pPr>
        <w:pStyle w:val="Heading2"/>
      </w:pPr>
      <w:r>
        <w:t>Anhaltende Symptombelastung bei Lupus erythematodes: ein klinischer Phänotyp ähnlich ME/CFS identifiziert</w:t>
      </w:r>
    </w:p>
    <w:p>
      <w:r>
        <w:rPr>
          <w:i/>
          <w:color w:val="666666"/>
          <w:sz w:val="18"/>
        </w:rPr>
        <w:t>Habermann-Horstmeier L  ·  J Transl Med  ·  25.09.2026  ·  PMID 42806386</w:t>
      </w:r>
    </w:p>
    <w:p>
      <w:r>
        <w:t>Hypothesengenerierendes Rahmenwerk zur Charakterisierung einer Untergruppe von Patienten mit langjährigem systemischem Lupus erythematodes, die trotz niedriger Krankheitsaktivität persistierende Müdigkeit, Funktionsbeeinträchtigung und kognititive Symptome aufweisen.</w:t>
      </w:r>
    </w:p>
    <w:p>
      <w:r>
        <w:rPr>
          <w:b/>
        </w:rPr>
        <w:t xml:space="preserve">Ergebnis: </w:t>
      </w:r>
      <w:r>
        <w:t>Vorgeschlagene SLE-ME/CFS-Forschungsphänotyp kombiniert persistierende funktionslimitierende Symptome trotz Remission oder niedriger Aktivität mit Müdigkeit seit mindestens 6 Monaten, postexertioneller Symptomverschlechterung, unerquicklichem Schlaf und kognitiven Symptomen. Evidenz unterstützt Beteiligung residualer Immunaktivierung, oxidativen Stresses, Mitochondrienstörungen und Endotheldysfunktion.</w:t>
      </w:r>
    </w:p>
    <w:p>
      <w:r>
        <w:rPr>
          <w:b/>
          <w:sz w:val="19"/>
        </w:rPr>
        <w:t xml:space="preserve">Übertragbarkeit: </w:t>
      </w:r>
      <w:r>
        <w:rPr>
          <w:sz w:val="19"/>
        </w:rPr>
        <w:t>Deutschland – Literaturanalyse, Konzeptentwicklung; Validierung in Kohortenstudien notwendig, aber Phänotypisierung für Versorgung relevant.</w:t>
      </w:r>
    </w:p>
    <w:p>
      <w:r>
        <w:rPr>
          <w:color w:val="5A7D3A"/>
          <w:sz w:val="18"/>
        </w:rPr>
        <w:t>https://pubmed.ncbi.nlm.nih.gov/42806386/</w:t>
      </w:r>
    </w:p>
    <w:p>
      <w:pPr>
        <w:pStyle w:val="Heading2"/>
      </w:pPr>
      <w:r>
        <w:t>Kollagen-Abbau-Biomarker im Urin erfasst Fibrose über Organgrenzen hinweg</w:t>
      </w:r>
    </w:p>
    <w:p>
      <w:r>
        <w:rPr>
          <w:i/>
          <w:color w:val="666666"/>
          <w:sz w:val="18"/>
        </w:rPr>
        <w:t>Mina IK et al.  ·  Mol Med  ·  23.09.2026  ·  PMID 42778889</w:t>
      </w:r>
    </w:p>
    <w:p>
      <w:r>
        <w:t>Multikohorten-Proteomik-Studie zur Identifikation eines gemeinsamen Signatures von Kollagen-Typ-I-Abbau-Peptiden im Urin, das Leberfibrose, chronische Nierenerkrankung und Herzinsuffizienz charakterisiert.</w:t>
      </w:r>
    </w:p>
    <w:p>
      <w:r>
        <w:rPr>
          <w:b/>
        </w:rPr>
        <w:t xml:space="preserve">Ergebnis: </w:t>
      </w:r>
      <w:r>
        <w:t>50 Kollagen-Typ-I-Abbau-Produkte definierten eine gemeinsame Fibrose-Signatur; Support-Vector-Machine-Modell erreichte AUC 0,935 (95 % KI 0,917–0,953) in externer Validierung über gepoolte Erkrankungsgruppen, erhalten für Leber (AUC 0,917), Niere (0,951) und Herz (0,950). Modellwerte korrelierten mit Fibrosestadium in Leber und interstitieller Fibrose in Niere.</w:t>
      </w:r>
    </w:p>
    <w:p>
      <w:r>
        <w:rPr>
          <w:b/>
          <w:sz w:val="19"/>
        </w:rPr>
        <w:t xml:space="preserve">Übertragbarkeit: </w:t>
      </w:r>
      <w:r>
        <w:rPr>
          <w:sz w:val="19"/>
        </w:rPr>
        <w:t>Multinationale europäische und britische Kohorten, Urindiagnostik universell verfügbar; Fibrose-Screening unabhängig vom Organ übertragbar.</w:t>
      </w:r>
    </w:p>
    <w:p>
      <w:r>
        <w:rPr>
          <w:color w:val="5A7D3A"/>
          <w:sz w:val="18"/>
        </w:rPr>
        <w:t>https://pubmed.ncbi.nlm.nih.gov/42778889/</w:t>
      </w:r>
    </w:p>
    <w:p>
      <w:pPr>
        <w:pStyle w:val="Heading1"/>
      </w:pPr>
      <w:r>
        <w:t>Aufgenommen am 07.10.2026</w:t>
      </w:r>
    </w:p>
    <w:p>
      <w:pPr>
        <w:pStyle w:val="Heading2"/>
      </w:pPr>
      <w:r>
        <w:t>Chronische Nierenkrankheit in der Tertiärversorgung: Screening deckt Unterbehandlung auf</w:t>
      </w:r>
    </w:p>
    <w:p>
      <w:r>
        <w:rPr>
          <w:i/>
          <w:color w:val="666666"/>
          <w:sz w:val="18"/>
        </w:rPr>
        <w:t>Zahradka I et al.  ·  BMJ Open  ·  06.10.2026  ·  PMID 42838586</w:t>
      </w:r>
    </w:p>
    <w:p>
      <w:r>
        <w:t>Querschnittstudie an 2.903 Patienten in Tertiärkliniken Mitteleuropas zur Prävalenz chronischer Nierenkrankheit (CKD) und Nutzung renoprotek­tiver Therapien.</w:t>
      </w:r>
    </w:p>
    <w:p>
      <w:r>
        <w:rPr>
          <w:b/>
        </w:rPr>
        <w:t xml:space="preserve">Ergebnis: </w:t>
      </w:r>
      <w:r>
        <w:t>CKD-Prävalenz 32,5 %; eine neue Diagnose pro 5,2 Gescreente. Renoprotek­tive Therapie stark untergenutzt: SGLT2-Inhibitoren 42 %, GLP-1-Rezeptoragonisten 41,7 %, nichtsteroidale Mineralokortikoidrezeptorantagonisten 6,7 % der Berechtigten. Modellierte Gewinnchancen dialysefreier Zeit durch Therapieeinleitung: 11,13 Monate pro Patient im Durchschnitt.</w:t>
      </w:r>
    </w:p>
    <w:p>
      <w:r>
        <w:rPr>
          <w:b/>
          <w:sz w:val="19"/>
        </w:rPr>
        <w:t xml:space="preserve">Übertragbarkeit: </w:t>
      </w:r>
      <w:r>
        <w:rPr>
          <w:sz w:val="19"/>
        </w:rPr>
        <w:t>Tertiärzentrumsdaten; Übertragbarkeit auf spezialisierte Versorgung in Deutschland eingeschränkt</w:t>
      </w:r>
    </w:p>
    <w:p>
      <w:r>
        <w:rPr>
          <w:color w:val="5A7D3A"/>
          <w:sz w:val="18"/>
        </w:rPr>
        <w:t>https://pubmed.ncbi.nlm.nih.gov/42838586/</w:t>
      </w:r>
    </w:p>
    <w:p>
      <w:pPr>
        <w:pStyle w:val="Heading2"/>
      </w:pPr>
      <w:r>
        <w:t>Begrenzte antivirale Therapie der chronischen Hepatitis B: Mehr HBsAg-Verlust, aber häufige Rückfälle</w:t>
      </w:r>
    </w:p>
    <w:p>
      <w:r>
        <w:rPr>
          <w:i/>
          <w:color w:val="666666"/>
          <w:sz w:val="18"/>
        </w:rPr>
        <w:t>Gomez DP et al.  ·  J Viral Hepat  ·  Nov. 2026  ·  PMID 42834661</w:t>
      </w:r>
    </w:p>
    <w:p>
      <w:r>
        <w:t>Meta-Analyse von 4 randomisierten Studien (n=357) zu endlicher versus unbegrenzter Nukleosid(t)id-Therapie bei HBeAg-negativer chronischer Hepatitis B ohne Zirrhose.</w:t>
      </w:r>
    </w:p>
    <w:p>
      <w:r>
        <w:rPr>
          <w:b/>
        </w:rPr>
        <w:t xml:space="preserve">Ergebnis: </w:t>
      </w:r>
      <w:r>
        <w:t>Therapiebeendigung erhöhte HBsAg-Verlust (RR 5,02; KI 0,47–53,47, niedrige Evidenzsicherheit), aber markant virales Rezidiv (RR 23,09) und Therapierückfall (RR 21,94). Keine hepatische Dekompensation oder schwere unerwünschte Ereignisse. Strategie für selektierte, gut überwachte Patienten in Expertenzentren.</w:t>
      </w:r>
    </w:p>
    <w:p>
      <w:r>
        <w:rPr>
          <w:b/>
          <w:sz w:val="19"/>
        </w:rPr>
        <w:t xml:space="preserve">Übertragbarkeit: </w:t>
      </w:r>
      <w:r>
        <w:rPr>
          <w:sz w:val="19"/>
        </w:rPr>
        <w:t>Internationale RCT-Daten; Übertragbarkeit auf deutsches Versicherungssystem hoch</w:t>
      </w:r>
    </w:p>
    <w:p>
      <w:r>
        <w:rPr>
          <w:color w:val="5A7D3A"/>
          <w:sz w:val="18"/>
        </w:rPr>
        <w:t>https://pubmed.ncbi.nlm.nih.gov/42834661/</w:t>
      </w:r>
    </w:p>
    <w:p>
      <w:pPr>
        <w:pStyle w:val="Heading2"/>
      </w:pPr>
      <w:r>
        <w:t>Direktwirkende Antivirale bei Hepatitis C und Leberkrebs: Hohe Heilungsraten, erhaltene Leberfunktion</w:t>
      </w:r>
    </w:p>
    <w:p>
      <w:r>
        <w:rPr>
          <w:i/>
          <w:color w:val="666666"/>
          <w:sz w:val="18"/>
        </w:rPr>
        <w:t>Sato S et al.  ·  J Viral Hepat  ·  Nov. 2026  ·  PMID 42834589</w:t>
      </w:r>
    </w:p>
    <w:p>
      <w:r>
        <w:t>Retrospektive Kohortenstudie (n=690) zu Wirksamkeit und Leberfunktion nach direktwirkender antiviraler Therapie bei Hepatitis-C-Patienten mit und ohne Leberkrebs (HCC)-Vorgeschichte.</w:t>
      </w:r>
    </w:p>
    <w:p>
      <w:r>
        <w:rPr>
          <w:b/>
        </w:rPr>
        <w:t xml:space="preserve">Ergebnis: </w:t>
      </w:r>
      <w:r>
        <w:t>Gesamte SVR12-Rate 96,1 % über alle Gruppen, unabhängig von HCC-Vorgeschichte. ALBI-Score (Leberfunktion) verbesserte sich bei kurativer HCC-Behandlung (−2,35 zu −2,58, p&lt;0,001), blieb unter nicht-kurativer Behandlung stabil. Bei HCC-Rezidiv ALBI-Score verbessert (−2,31 zu −2,57, p&lt;0,001); &gt;90 % blieben Child-Pugh A.</w:t>
      </w:r>
    </w:p>
    <w:p>
      <w:r>
        <w:rPr>
          <w:b/>
          <w:sz w:val="19"/>
        </w:rPr>
        <w:t xml:space="preserve">Übertragbarkeit: </w:t>
      </w:r>
      <w:r>
        <w:rPr>
          <w:sz w:val="19"/>
        </w:rPr>
        <w:t>Japanisches Zentrum; Leberfunktionsergebnisse international vergleichbar</w:t>
      </w:r>
    </w:p>
    <w:p>
      <w:r>
        <w:rPr>
          <w:color w:val="5A7D3A"/>
          <w:sz w:val="18"/>
        </w:rPr>
        <w:t>https://pubmed.ncbi.nlm.nih.gov/42834589/</w:t>
      </w:r>
    </w:p>
    <w:p>
      <w:pPr>
        <w:pStyle w:val="Heading2"/>
      </w:pPr>
      <w:r>
        <w:t>Lebensqualität bei chronischer Nierenkrankheit: Bildungsstand und Einkommen entscheidend</w:t>
      </w:r>
    </w:p>
    <w:p>
      <w:r>
        <w:rPr>
          <w:i/>
          <w:color w:val="666666"/>
          <w:sz w:val="18"/>
        </w:rPr>
        <w:t>Akter F et al.  ·  BMJ Open  ·  05.10.2026  ·  PMID 42833721</w:t>
      </w:r>
    </w:p>
    <w:p>
      <w:r>
        <w:t>Querschnittstudie (n=315) in Bangladesch zur Identifikation von Profilen der gesundheitsbezogenen Lebensqualität bei CKD mittels latenter Profilanalyse und deren Prädiktoren.</w:t>
      </w:r>
    </w:p>
    <w:p>
      <w:r>
        <w:rPr>
          <w:b/>
        </w:rPr>
        <w:t xml:space="preserve">Ergebnis: </w:t>
      </w:r>
      <w:r>
        <w:t>Drei Qualitäts-Profile: niedrig (20,95 %), mittel (34,29 %), hoch (44,76 %). Höheres Einkommen und Bildung senken Risiko niedriger Lebensqualität; verheiratet und weniger Komorbiditäten erhöhen Wahrscheinlichkeit hoher Lebensqualität. Signifikante Prädiktoren: Einkommen, Bildung, Familienstand, Komorbiditätenanzahl (alle p&lt;0,05).</w:t>
      </w:r>
    </w:p>
    <w:p>
      <w:r>
        <w:rPr>
          <w:b/>
          <w:sz w:val="19"/>
        </w:rPr>
        <w:t xml:space="preserve">Übertragbarkeit: </w:t>
      </w:r>
      <w:r>
        <w:rPr>
          <w:sz w:val="19"/>
        </w:rPr>
        <w:t>Low-Resource-Setting; Patient-reported Outcomes-Methodik international anwendbar</w:t>
      </w:r>
    </w:p>
    <w:p>
      <w:r>
        <w:rPr>
          <w:color w:val="5A7D3A"/>
          <w:sz w:val="18"/>
        </w:rPr>
        <w:t>https://pubmed.ncbi.nlm.nih.gov/42833721/</w:t>
      </w:r>
    </w:p>
    <w:p>
      <w:pPr>
        <w:pStyle w:val="Heading2"/>
      </w:pPr>
      <w:r>
        <w:t>Verlängerte Fastenpausen beschleunigen Multimorbidität bei älteren Erwachsenen</w:t>
      </w:r>
    </w:p>
    <w:p>
      <w:r>
        <w:rPr>
          <w:i/>
          <w:color w:val="666666"/>
          <w:sz w:val="18"/>
        </w:rPr>
        <w:t>Kalmbach L et al.  ·  J Intern Med  ·  20.08.2026  ·  PMID 42621849</w:t>
      </w:r>
    </w:p>
    <w:p>
      <w:r>
        <w:t>Längskohorte (n=2.981, ≥60 Jahre) mit 15-jähriger Nachverfolgung zum Zusammenhang zwischen habitueller Fastendauer (längste Essenspause in 24h) und Akkumulation chronischer Erkrankungen.</w:t>
      </w:r>
    </w:p>
    <w:p>
      <w:r>
        <w:rPr>
          <w:b/>
        </w:rPr>
        <w:t xml:space="preserve">Ergebnis: </w:t>
      </w:r>
      <w:r>
        <w:t>Gegenüber kürzesten Fastenpausen (6–11,5 h) zeigten längste Pausen (14–24 h) steilere jährliche Zunahme Gesamtkrankheiten (β=0,119; KI 0,070–0,167), kardiovaskuläre (0,022; KI 0,006–0,038) und neuropsychiatrische Erkrankungen (0,019; KI 0,005–0,033). Effekt nur bei ≥78 Jahren signifikant (β=0,099; KI 0,031–0,168), nicht bei &lt;78 Jahren.</w:t>
      </w:r>
    </w:p>
    <w:p>
      <w:r>
        <w:rPr>
          <w:b/>
          <w:sz w:val="19"/>
        </w:rPr>
        <w:t xml:space="preserve">Übertragbarkeit: </w:t>
      </w:r>
      <w:r>
        <w:rPr>
          <w:sz w:val="19"/>
        </w:rPr>
        <w:t>Schwedische Bevölkerungskohorte; Altersgruppen übertragbar auf deutsche Versorgung</w:t>
      </w:r>
    </w:p>
    <w:p>
      <w:r>
        <w:rPr>
          <w:color w:val="5A7D3A"/>
          <w:sz w:val="18"/>
        </w:rPr>
        <w:t>https://pubmed.ncbi.nlm.nih.gov/42621849/</w:t>
      </w:r>
    </w:p>
    <w:p>
      <w:pPr>
        <w:pStyle w:val="Heading1"/>
      </w:pPr>
      <w:r>
        <w:t>Aufgenommen am 06.10.2026</w:t>
      </w:r>
    </w:p>
    <w:p>
      <w:pPr>
        <w:pStyle w:val="Heading2"/>
      </w:pPr>
      <w:r>
        <w:t>Hausarztpraxen für Flüchtlinge mit Hepatitis B besser geeignet als Spezialkliniken</w:t>
      </w:r>
    </w:p>
    <w:p>
      <w:r>
        <w:rPr>
          <w:i/>
          <w:color w:val="666666"/>
          <w:sz w:val="18"/>
        </w:rPr>
        <w:t>Fakhouri A et al.  ·  Aust J Prim Health  ·  20.10.2026  ·  PMID 42833621</w:t>
      </w:r>
    </w:p>
    <w:p>
      <w:r>
        <w:t>Qualitative australische Studie (15 semi-strukturierte Interviews): Erkundung, wie Hausarztpraxen für Flüchtlinge chronische Hepatitis-B-Versorgung gestalten und wo Verbesserungen nötig sind.</w:t>
      </w:r>
    </w:p>
    <w:p>
      <w:r>
        <w:rPr>
          <w:b/>
        </w:rPr>
        <w:t xml:space="preserve">Ergebnis: </w:t>
      </w:r>
      <w:r>
        <w:t>Hausarztpraxen bieten Vorteile: Comunity-Integration, Rapport, Dolmetscher-Services. Barrieren sind Gesundheitskompetenz und Kosten. Empfehlung: Finanzierung und Schulung von Hausarztpraxen zur HBV-Versorgung würden bessere Ergebnisse für vulnerable Bevölkerung bringen.</w:t>
      </w:r>
    </w:p>
    <w:p>
      <w:r>
        <w:rPr>
          <w:b/>
          <w:sz w:val="19"/>
        </w:rPr>
        <w:t xml:space="preserve">Übertragbarkeit: </w:t>
      </w:r>
      <w:r>
        <w:rPr>
          <w:sz w:val="19"/>
        </w:rPr>
        <w:t>Australien - hohes Einkommen, andere Struktur, aber Ungleichheitsfrage universell</w:t>
      </w:r>
    </w:p>
    <w:p>
      <w:r>
        <w:rPr>
          <w:color w:val="5A7D3A"/>
          <w:sz w:val="18"/>
        </w:rPr>
        <w:t>https://pubmed.ncbi.nlm.nih.gov/42833621/</w:t>
      </w:r>
    </w:p>
    <w:p>
      <w:pPr>
        <w:pStyle w:val="Heading2"/>
      </w:pPr>
      <w:r>
        <w:t>Ein Viertel der COPD-Patienten hat Exazerbationen trotz Doppel- oder Tripeltherapie</w:t>
      </w:r>
    </w:p>
    <w:p>
      <w:r>
        <w:rPr>
          <w:i/>
          <w:color w:val="666666"/>
          <w:sz w:val="18"/>
        </w:rPr>
        <w:t>Radovanovic D et al.  ·  Int J Chron Obstruct Pulmon Dis  ·  30.09.2026  ·  PMID 42831088</w:t>
      </w:r>
    </w:p>
    <w:p>
      <w:r>
        <w:t>Italienische GULP-Kohorte (1.111 COPD-Patienten): Exploratorische Analyse zur Häufigkeit anhaltender Symptome unter optimaler Erhaltungstherapie und Identifikation von Kandidaten für Biologika.</w:t>
      </w:r>
    </w:p>
    <w:p>
      <w:r>
        <w:rPr>
          <w:b/>
        </w:rPr>
        <w:t xml:space="preserve">Ergebnis: </w:t>
      </w:r>
      <w:r>
        <w:t>Von 1.111 Patienten hatten 286 (25,7%) ≥2 moderate oder ≥1 schwere Exazerbation/Jahr trotz Doppel- oder Tripeltherapie. Davon zeigten 51–75% hohe Symptombelastung (Dyspnoe, Husten, Sputum), nur 7,2% eosinophile COPD. Dupilumab in Italien für eosinophile exazerbierende COPD zugelassen.</w:t>
      </w:r>
    </w:p>
    <w:p>
      <w:r>
        <w:rPr>
          <w:b/>
          <w:sz w:val="19"/>
        </w:rPr>
        <w:t xml:space="preserve">Übertragbarkeit: </w:t>
      </w:r>
      <w:r>
        <w:rPr>
          <w:sz w:val="19"/>
        </w:rPr>
        <w:t>Italien, europäisches Sozialversicherungssystem, vergleichbare DMP-Struktur</w:t>
      </w:r>
    </w:p>
    <w:p>
      <w:r>
        <w:rPr>
          <w:color w:val="5A7D3A"/>
          <w:sz w:val="18"/>
        </w:rPr>
        <w:t>https://pubmed.ncbi.nlm.nih.gov/42831088/</w:t>
      </w:r>
    </w:p>
    <w:p>
      <w:pPr>
        <w:pStyle w:val="Heading2"/>
      </w:pPr>
      <w:r>
        <w:t>Schwere Fettleber assoziiert mit Fibrose bei chronischer Hepatitis B in Afrika</w:t>
      </w:r>
    </w:p>
    <w:p>
      <w:r>
        <w:rPr>
          <w:i/>
          <w:color w:val="666666"/>
          <w:sz w:val="18"/>
        </w:rPr>
        <w:t>Chabala FW et al.  ·  J Viral Hepat  ·  Nov. 2026  ·  PMID 42830592</w:t>
      </w:r>
    </w:p>
    <w:p>
      <w:r>
        <w:t>Multiländer-Studie (HEPSANET) mit 1.601 CHB-Patienten in sechs afrikanischen Ländern: Transiente Elastographie zeigte, dass schwere Steatose unabhängig mit erhöhtem Fibrose-Risiko verbunden war.</w:t>
      </w:r>
    </w:p>
    <w:p>
      <w:r>
        <w:rPr>
          <w:b/>
        </w:rPr>
        <w:t xml:space="preserve">Ergebnis: </w:t>
      </w:r>
      <w:r>
        <w:t>Schwere Steatose (CAP ≥280 dB/m) war mit 8,4% erhöhter Fibrose-Wahrscheinlichkeit assoziiert (95%-KI 1,9-14,9%). Milde und moderate Steatose zeigten diese Assoziation nicht. Prävalenz von Fettleber: 26,3%, davon 13,7% schwer.</w:t>
      </w:r>
    </w:p>
    <w:p>
      <w:r>
        <w:rPr>
          <w:b/>
          <w:sz w:val="19"/>
        </w:rPr>
        <w:t xml:space="preserve">Übertragbarkeit: </w:t>
      </w:r>
      <w:r>
        <w:rPr>
          <w:sz w:val="19"/>
        </w:rPr>
        <w:t>Afrika, andere Soziostruktur - Screening-Implikation übertragbar</w:t>
      </w:r>
    </w:p>
    <w:p>
      <w:r>
        <w:rPr>
          <w:color w:val="5A7D3A"/>
          <w:sz w:val="18"/>
        </w:rPr>
        <w:t>https://pubmed.ncbi.nlm.nih.gov/42830592/</w:t>
      </w:r>
    </w:p>
    <w:p>
      <w:pPr>
        <w:pStyle w:val="Heading2"/>
      </w:pPr>
      <w:r>
        <w:t>Bewegung reduzierte Mortalität und Leberversagen bei chronischer Hepatitis B um 11 Prozent</w:t>
      </w:r>
    </w:p>
    <w:p>
      <w:r>
        <w:rPr>
          <w:i/>
          <w:color w:val="666666"/>
          <w:sz w:val="18"/>
        </w:rPr>
        <w:t>Song BG et al.  ·  J Viral Hepat  ·  Nov. 2026  ·  PMID 42830566</w:t>
      </w:r>
    </w:p>
    <w:p>
      <w:r>
        <w:t>Südkoreanische Kohortenstudie mit 318.131 CHB-Patienten: Wer körperliche Aktivität aufnahm, hatte niedrigere Risiken für Tod und Komplikationen als körperlich Inaktive.</w:t>
      </w:r>
    </w:p>
    <w:p>
      <w:r>
        <w:rPr>
          <w:b/>
        </w:rPr>
        <w:t xml:space="preserve">Ergebnis: </w:t>
      </w:r>
      <w:r>
        <w:t>Hazard Ratio für Mortalität 0,89 (95%-KI 0,84-0,94) bei Aufnahme von Ausdaueraktivität; für Leberversagen subdistribution HR 0,94 (95%-KI 0,92-0,97) über 7,9 Jahre Nachfolge. Der Effekt war stärker in älteren, weiblichen und nicht-rauchenden Patienten.</w:t>
      </w:r>
    </w:p>
    <w:p>
      <w:r>
        <w:rPr>
          <w:b/>
          <w:sz w:val="19"/>
        </w:rPr>
        <w:t xml:space="preserve">Übertragbarkeit: </w:t>
      </w:r>
      <w:r>
        <w:rPr>
          <w:sz w:val="19"/>
        </w:rPr>
        <w:t>Südkorea - vergleichbares Gesundheitssystem, Versicherungsdaten hochwertig</w:t>
      </w:r>
    </w:p>
    <w:p>
      <w:r>
        <w:rPr>
          <w:color w:val="5A7D3A"/>
          <w:sz w:val="18"/>
        </w:rPr>
        <w:t>https://pubmed.ncbi.nlm.nih.gov/42830566/</w:t>
      </w:r>
    </w:p>
    <w:p>
      <w:pPr>
        <w:pStyle w:val="Heading2"/>
      </w:pPr>
      <w:r>
        <w:t>Chronische Erkrankungen bei Kindern: Register unterschätzen Prävalenz um mindestens 10 Prozent</w:t>
      </w:r>
    </w:p>
    <w:p>
      <w:r>
        <w:rPr>
          <w:i/>
          <w:color w:val="666666"/>
          <w:sz w:val="18"/>
        </w:rPr>
        <w:t>Andersen A et al.  ·  Eur J Pediatr  ·  03.10.2026  ·  PMID 42828548</w:t>
      </w:r>
    </w:p>
    <w:p>
      <w:r>
        <w:t>Dänische Studie: Verglich nationale Register mit Selbstberichten auf Prävalenz chronischer Erkrankungen bei Kindern und Jugendlichen; Registerbasierte Methode erfasst nur einen Teil.</w:t>
      </w:r>
    </w:p>
    <w:p>
      <w:r>
        <w:rPr>
          <w:b/>
        </w:rPr>
        <w:t xml:space="preserve">Ergebnis: </w:t>
      </w:r>
      <w:r>
        <w:t>Register zeigten Prävalenz 9,3–22,0% je nach Alter und Geschlecht; Selbstberichte 28,4–34,2%. 14,6–15,3% der Jugendlichen mit selbstberichteter chronischer Erkrankung waren im Alltag beeinträchtigt – im Register nicht sichtbar.</w:t>
      </w:r>
    </w:p>
    <w:p>
      <w:r>
        <w:rPr>
          <w:b/>
          <w:sz w:val="19"/>
        </w:rPr>
        <w:t xml:space="preserve">Übertragbarkeit: </w:t>
      </w:r>
      <w:r>
        <w:rPr>
          <w:sz w:val="19"/>
        </w:rPr>
        <w:t>Dänemark - skandinavisches System, enge Datenbankqualität wie in Deutschland, Methodenfrage universal</w:t>
      </w:r>
    </w:p>
    <w:p>
      <w:r>
        <w:rPr>
          <w:color w:val="5A7D3A"/>
          <w:sz w:val="18"/>
        </w:rPr>
        <w:t>https://pubmed.ncbi.nlm.nih.gov/42828548/</w:t>
      </w:r>
    </w:p>
    <w:p>
      <w:pPr>
        <w:pStyle w:val="Heading2"/>
      </w:pPr>
      <w:r>
        <w:t>Biologika spielen zentrale Rolle in schwerem Asthma, COPD-Klassifikation vereinfacht</w:t>
      </w:r>
    </w:p>
    <w:p>
      <w:r>
        <w:rPr>
          <w:i/>
          <w:color w:val="666666"/>
          <w:sz w:val="18"/>
        </w:rPr>
        <w:t>Salah Manoh JL et al.  ·  Rev Med Suisse  ·  23.09.2026  ·  PMID 42779315</w:t>
      </w:r>
    </w:p>
    <w:p>
      <w:r>
        <w:t>Schweizer Reviewartikel (nicht empirisch): Aktuelle GOLD- und globale Guidelines zur COPD und Asthma – Vereinfachung der COPD-Stratifizierung, erweiterte Rolle von Biologika, geänderte Exazerbationsdefinition.</w:t>
      </w:r>
    </w:p>
    <w:p>
      <w:r>
        <w:rPr>
          <w:b/>
        </w:rPr>
        <w:t xml:space="preserve">Ergebnis: </w:t>
      </w:r>
      <w:r>
        <w:t>COPD wird nun in nur 3 Gruppen eingeteilt (A, B, E); eine einzelne moderate Exazerbation reicht für Hochrisiko-Kategorie E. Asthma: Biologika zentral in schwerer Form, Salbutamol-Monotherapie nicht mehr empfohlen.</w:t>
      </w:r>
    </w:p>
    <w:p>
      <w:r>
        <w:rPr>
          <w:b/>
          <w:sz w:val="19"/>
        </w:rPr>
        <w:t xml:space="preserve">Übertragbarkeit: </w:t>
      </w:r>
      <w:r>
        <w:rPr>
          <w:sz w:val="19"/>
        </w:rPr>
        <w:t>Schweiz, vergleichbares Versicherungssystem, Leitlinien gelten auch in Deutschland</w:t>
      </w:r>
    </w:p>
    <w:p>
      <w:r>
        <w:rPr>
          <w:color w:val="5A7D3A"/>
          <w:sz w:val="18"/>
        </w:rPr>
        <w:t>https://pubmed.ncbi.nlm.nih.gov/42779315/</w:t>
      </w:r>
    </w:p>
    <w:p>
      <w:pPr>
        <w:pStyle w:val="Heading1"/>
      </w:pPr>
      <w:r>
        <w:t>Aufgenommen am 05.10.2026</w:t>
      </w:r>
    </w:p>
    <w:p>
      <w:pPr>
        <w:pStyle w:val="Heading2"/>
      </w:pPr>
      <w:r>
        <w:t>Glucose Disposal Rate assoziiert mit chronischer Nierenkrankheit bei älteren Diabetikern</w:t>
      </w:r>
    </w:p>
    <w:p>
      <w:r>
        <w:rPr>
          <w:i/>
          <w:color w:val="666666"/>
          <w:sz w:val="18"/>
        </w:rPr>
        <w:t>Chen X et al.  ·  Clin Interv Aging  ·  28.09.2026  ·  PMID 42829537</w:t>
      </w:r>
    </w:p>
    <w:p>
      <w:r>
        <w:t>Querschnittsstudie mit 713 älteren (≥60 J.) Typ-2-Diabetes-Patienten aus Zhejiang, China; CKD nach eGFR oder UACR definiert.</w:t>
      </w:r>
    </w:p>
    <w:p>
      <w:r>
        <w:rPr>
          <w:b/>
        </w:rPr>
        <w:t xml:space="preserve">Ergebnis: </w:t>
      </w:r>
      <w:r>
        <w:t>Pro 1-Unit eGDR-Anstieg: OR 0,78 (95%-KI 0,70–0,86) für CKD. Höchstes vs. niedrigstes Tertil: OR 0,31 (95%-KI 0,20–0,48). Linear inverse Beziehung (RCS p&gt;0,05). eGDR inversiv mit UACR (ρ=−0,277, p&lt;0,001), nicht mit eGFR. AUC 0,65 – Diskriminationsfähigkeit bescheiden; prospektive Studien nötig.</w:t>
      </w:r>
    </w:p>
    <w:p>
      <w:r>
        <w:rPr>
          <w:b/>
          <w:sz w:val="19"/>
        </w:rPr>
        <w:t xml:space="preserve">Übertragbarkeit: </w:t>
      </w:r>
      <w:r>
        <w:rPr>
          <w:sz w:val="19"/>
        </w:rPr>
        <w:t>China – Mechanismus für deutsches DMP-System bedingt übertragbar</w:t>
      </w:r>
    </w:p>
    <w:p>
      <w:r>
        <w:rPr>
          <w:color w:val="5A7D3A"/>
          <w:sz w:val="18"/>
        </w:rPr>
        <w:t>https://pubmed.ncbi.nlm.nih.gov/42829537/</w:t>
      </w:r>
    </w:p>
    <w:p>
      <w:pPr>
        <w:pStyle w:val="Heading2"/>
      </w:pPr>
      <w:r>
        <w:t>COPD erhöht Sturz- und Osteoporoserisiko deutlich</w:t>
      </w:r>
    </w:p>
    <w:p>
      <w:r>
        <w:rPr>
          <w:i/>
          <w:color w:val="666666"/>
          <w:sz w:val="18"/>
        </w:rPr>
        <w:t>Liu P et al.  ·  Int J Chron Obstruct Pulmon Dis  ·  28.09.2026  ·  PMID 42827947</w:t>
      </w:r>
    </w:p>
    <w:p>
      <w:r>
        <w:t>Kohortenstudie mit 474.669 UK-Biobank-Teilnehmern untersuchte die Assoziation von COPD mit Stürzen und Osteoporose über 12 Jahre.</w:t>
      </w:r>
    </w:p>
    <w:p>
      <w:r>
        <w:rPr>
          <w:b/>
        </w:rPr>
        <w:t xml:space="preserve">Ergebnis: </w:t>
      </w:r>
      <w:r>
        <w:t>COPD war assoziiert mit höherem Sturzrisiko (HR 1,51; 95%-KI 1,45–1,58) und Osteoporoserisiko (HR 2,37; 95%-KI 2,22–2,53). Rauchen modifizierte die Sturzassoziation (aktuelle Raucher HR 1,77 vs. Niemals-Raucher HR 1,37). Die Befunde zeigen bedeutsame Mehrfacherkrankungen bei COPD.</w:t>
      </w:r>
    </w:p>
    <w:p>
      <w:r>
        <w:rPr>
          <w:b/>
          <w:sz w:val="19"/>
        </w:rPr>
        <w:t xml:space="preserve">Übertragbarkeit: </w:t>
      </w:r>
      <w:r>
        <w:rPr>
          <w:sz w:val="19"/>
        </w:rPr>
        <w:t>UK-Biobank mit vergleichbar strukturiertem Gesundheitssystem</w:t>
      </w:r>
    </w:p>
    <w:p>
      <w:r>
        <w:rPr>
          <w:color w:val="5A7D3A"/>
          <w:sz w:val="18"/>
        </w:rPr>
        <w:t>https://pubmed.ncbi.nlm.nih.gov/42827947/</w:t>
      </w:r>
    </w:p>
    <w:p>
      <w:pPr>
        <w:pStyle w:val="Heading2"/>
      </w:pPr>
      <w:r>
        <w:t>SGLT2-Inhibitoren bei Diabetes mit chronischer Nierenkrankheit: Meta-Analyse</w:t>
      </w:r>
    </w:p>
    <w:p>
      <w:r>
        <w:rPr>
          <w:i/>
          <w:color w:val="666666"/>
          <w:sz w:val="18"/>
        </w:rPr>
        <w:t>Shi X et al.  ·  Medicine (Baltimore)  ·  02.10.2026  ·  PMID 42826278</w:t>
      </w:r>
    </w:p>
    <w:p>
      <w:r>
        <w:t>Systematische Übersicht und Meta-Analyse von 17 RCTs mit 29.192 Patienten mit Diabetes und CKD zur Wirksamkeit von SGLT2-Inhibitoren.</w:t>
      </w:r>
    </w:p>
    <w:p>
      <w:r>
        <w:rPr>
          <w:b/>
        </w:rPr>
        <w:t xml:space="preserve">Ergebnis: </w:t>
      </w:r>
      <w:r>
        <w:t>SGLT2-Inhibitoren reduzierten HbA1c (−0,40 %), Körpergewicht (−1,36 kg) und Blutdruck (−2,98 mmHg systolisch); eGFR und Albuminurie neutral kurzfristig (p&gt;0,05). Volumendepletion-Ereignisse erhöht (RR 1,36; 95%-KI 1,16–1,59). Kardiorenal-protektive Effekte langfristig dokumentiert, Monitoring essentiell.</w:t>
      </w:r>
    </w:p>
    <w:p>
      <w:r>
        <w:rPr>
          <w:b/>
          <w:sz w:val="19"/>
        </w:rPr>
        <w:t xml:space="preserve">Übertragbarkeit: </w:t>
      </w:r>
      <w:r>
        <w:rPr>
          <w:sz w:val="19"/>
        </w:rPr>
        <w:t>Europäische und deutsche Registerstudien zur SGLT2-Anwendung vorhanden</w:t>
      </w:r>
    </w:p>
    <w:p>
      <w:r>
        <w:rPr>
          <w:color w:val="5A7D3A"/>
          <w:sz w:val="18"/>
        </w:rPr>
        <w:t>https://pubmed.ncbi.nlm.nih.gov/42826278/</w:t>
      </w:r>
    </w:p>
    <w:p>
      <w:pPr>
        <w:pStyle w:val="Heading2"/>
      </w:pPr>
      <w:r>
        <w:t>SIRI-Index prognostiziert Mortalität bei COPD-Exazerbation</w:t>
      </w:r>
    </w:p>
    <w:p>
      <w:r>
        <w:rPr>
          <w:i/>
          <w:color w:val="666666"/>
          <w:sz w:val="18"/>
        </w:rPr>
        <w:t>Bai Y  ·  Medicine (Baltimore)  ·  02.10.2026  ·  PMID 42826271</w:t>
      </w:r>
    </w:p>
    <w:p>
      <w:r>
        <w:t>Retrospektive Kohortenanalyse aus MIMIC-III-Datenbank: 426 AECOPD-Patienten; 30-Tage-Mortalität 26,6 %.</w:t>
      </w:r>
    </w:p>
    <w:p>
      <w:r>
        <w:rPr>
          <w:b/>
        </w:rPr>
        <w:t xml:space="preserve">Ergebnis: </w:t>
      </w:r>
      <w:r>
        <w:t>SIRI (Systemische Inflammations-Response-Index) war unabhängiger Risikofaktor für 30-Tage-Mortalität (HR 1,743; 95%-KI 1,169–2,598; p=0,006). Optimaler Schwellwert 10,56 × 10⁹/L. AUC 0,612 besser als WBC/Neutrophile (0,584/0,557), ähnlich SOFA (0,619). SIRI könnte Triage und Prognose in der Akutversorgung lenken.</w:t>
      </w:r>
    </w:p>
    <w:p>
      <w:r>
        <w:rPr>
          <w:b/>
          <w:sz w:val="19"/>
        </w:rPr>
        <w:t xml:space="preserve">Übertragbarkeit: </w:t>
      </w:r>
      <w:r>
        <w:rPr>
          <w:sz w:val="19"/>
        </w:rPr>
        <w:t>Intensivmedizinische Datenbanken in Deutschland ähnlich verfügbar</w:t>
      </w:r>
    </w:p>
    <w:p>
      <w:r>
        <w:rPr>
          <w:color w:val="5A7D3A"/>
          <w:sz w:val="18"/>
        </w:rPr>
        <w:t>https://pubmed.ncbi.nlm.nih.gov/42826271/</w:t>
      </w:r>
    </w:p>
    <w:p>
      <w:pPr>
        <w:pStyle w:val="Heading2"/>
      </w:pPr>
      <w:r>
        <w:t>Nebulisiertes Furosemid plus Bronchodilatatoren senkt Symptome und Entzündung bei COPD-Exazerbation</w:t>
      </w:r>
    </w:p>
    <w:p>
      <w:r>
        <w:rPr>
          <w:i/>
          <w:color w:val="666666"/>
          <w:sz w:val="18"/>
        </w:rPr>
        <w:t>Behi M et al.  ·  Iran J Allergy Asthma Immunol  ·  12.08.2026  ·  PMID 42825900</w:t>
      </w:r>
    </w:p>
    <w:p>
      <w:r>
        <w:t>Randomisierte kontrollierte Studie mit 92 hospitalisierten COPD-Exazerbationspatienten verglich Salbutamol-Ipratropium allein versus mit Furosemid (20 mg).</w:t>
      </w:r>
    </w:p>
    <w:p>
      <w:r>
        <w:rPr>
          <w:b/>
        </w:rPr>
        <w:t xml:space="preserve">Ergebnis: </w:t>
      </w:r>
      <w:r>
        <w:t>Interventionsgruppe zeigte signifikante Verbesserungen: mMRC- und CAT-Scores abgesunken, FEV₁/FVC-Ratio erhöht, IL-6 und IL-8 abgesunken (p&lt;0,05), höhere PaO₂ und niedrigere PaCO₂. Keine Nebenwirkungen berichtet. Adjuvante Therapie verbesserte Lungenfunktion und reduzierte Systementzündung.</w:t>
      </w:r>
    </w:p>
    <w:p>
      <w:r>
        <w:rPr>
          <w:b/>
          <w:sz w:val="19"/>
        </w:rPr>
        <w:t xml:space="preserve">Übertragbarkeit: </w:t>
      </w:r>
      <w:r>
        <w:rPr>
          <w:sz w:val="19"/>
        </w:rPr>
        <w:t>Iran – Machbarkeit für strukturierte Inhalationstherapieprogramme prüfen</w:t>
      </w:r>
    </w:p>
    <w:p>
      <w:r>
        <w:rPr>
          <w:color w:val="5A7D3A"/>
          <w:sz w:val="18"/>
        </w:rPr>
        <w:t>https://pubmed.ncbi.nlm.nih.gov/42825900/</w:t>
      </w:r>
    </w:p>
    <w:p>
      <w:pPr>
        <w:pStyle w:val="Heading2"/>
      </w:pPr>
      <w:r>
        <w:t>Unreife Neutrophilen und erhöhte Myeloperoxidase bei CKD mit kardiovaskulären Komorbiditäten</w:t>
      </w:r>
    </w:p>
    <w:p>
      <w:r>
        <w:rPr>
          <w:i/>
          <w:color w:val="666666"/>
          <w:sz w:val="18"/>
        </w:rPr>
        <w:t>Vondenhoff S et al.  ·  Acta Physiol (Oxf)  ·  Sept. 2026  ·  PMID 42613304</w:t>
      </w:r>
    </w:p>
    <w:p>
      <w:r>
        <w:t>Vergleichende Flow-Cytometrie-Studie an zwei unabhängigen Kohorten männlicher CKD-Patienten (moderat bis fortgeschritten) versus gesunde Kontrollen.</w:t>
      </w:r>
    </w:p>
    <w:p>
      <w:r>
        <w:rPr>
          <w:b/>
        </w:rPr>
        <w:t xml:space="preserve">Ergebnis: </w:t>
      </w:r>
      <w:r>
        <w:t>CKD-Patienten zeigten reduzierte CD10-Expression auf Neutrophilen und erhöhte Plasma-Myeloperoxidase unabhängig von Entzündungsgrad oder NT-proBNP (p&lt;0,001). Unreife Neutrophilen-Phänotyp war kardiorenal-übergreifend konsistent, könnte zum erhöhten kardiovaskulären Risiko beitragen.</w:t>
      </w:r>
    </w:p>
    <w:p>
      <w:r>
        <w:rPr>
          <w:b/>
          <w:sz w:val="19"/>
        </w:rPr>
        <w:t xml:space="preserve">Übertragbarkeit: </w:t>
      </w:r>
      <w:r>
        <w:rPr>
          <w:sz w:val="19"/>
        </w:rPr>
        <w:t>Deutsche Krankenhaus-Daten zur Neutrophilen-Phenotypisierung verfügbar</w:t>
      </w:r>
    </w:p>
    <w:p>
      <w:r>
        <w:rPr>
          <w:color w:val="5A7D3A"/>
          <w:sz w:val="18"/>
        </w:rPr>
        <w:t>https://pubmed.ncbi.nlm.nih.gov/42613304/</w:t>
      </w:r>
    </w:p>
    <w:p>
      <w:pPr>
        <w:pStyle w:val="Heading1"/>
      </w:pPr>
      <w:r>
        <w:t>Aufgenommen am 04.10.2026</w:t>
      </w:r>
    </w:p>
    <w:p>
      <w:pPr>
        <w:pStyle w:val="Heading2"/>
      </w:pPr>
      <w:r>
        <w:t>Integriertes NCD-Screening in HIV- und COVID-Kliniken verbessert Früherkennung um 74 %</w:t>
      </w:r>
    </w:p>
    <w:p>
      <w:r>
        <w:rPr>
          <w:i/>
          <w:color w:val="666666"/>
          <w:sz w:val="18"/>
        </w:rPr>
        <w:t>Jithoo N et al.  ·  Front Public Health  ·  17.09.2026  ·  PMID 42824930</w:t>
      </w:r>
    </w:p>
    <w:p>
      <w:r>
        <w:t>Südafrika: Pilotprojekt zur Integration von Screening auf chronische Erkrankungen (Nierenerkrankung, Übergewicht, Dyslipidämie) in bestehende HIV- und COVID-19-Impfkliniken bei 461 Teilnehmern; Prävalenz neuer Diagnosen und Versorgungsgaps untersucht.</w:t>
      </w:r>
    </w:p>
    <w:p>
      <w:r>
        <w:rPr>
          <w:b/>
        </w:rPr>
        <w:t xml:space="preserve">Ergebnis: </w:t>
      </w:r>
      <w:r>
        <w:t>73,9 % der Teilnehmer erhielten neue NCD-Diagnosen: Nierenerkrankung (31,7 %), Adipositas (28,9 %), Dyslipidämie (25,8 %). Modifizierbare kardiovaskuläre Risikofaktoren waren weit verbreitet: Adipositas (63,9 %), Alkoholkonsum (50 %). Integriertes Screening erwies sich als machbar und bot Gelegenheit für frühe Intervention.</w:t>
      </w:r>
    </w:p>
    <w:p>
      <w:r>
        <w:rPr>
          <w:b/>
          <w:sz w:val="19"/>
        </w:rPr>
        <w:t xml:space="preserve">Übertragbarkeit: </w:t>
      </w:r>
      <w:r>
        <w:rPr>
          <w:sz w:val="19"/>
        </w:rPr>
        <w:t>Ressourcenbegrenzte Länder, ähnliche Gesundheitssystem-Herausforderungen wie LMIC</w:t>
      </w:r>
    </w:p>
    <w:p>
      <w:r>
        <w:rPr>
          <w:color w:val="5A7D3A"/>
          <w:sz w:val="18"/>
        </w:rPr>
        <w:t>https://pubmed.ncbi.nlm.nih.gov/42824930/</w:t>
      </w:r>
    </w:p>
    <w:p>
      <w:pPr>
        <w:pStyle w:val="Heading2"/>
      </w:pPr>
      <w:r>
        <w:t>Untergewicht vorhersagt Nierenerkrankung bei Typ-2-Diabetes besser als Adipositas</w:t>
      </w:r>
    </w:p>
    <w:p>
      <w:r>
        <w:rPr>
          <w:i/>
          <w:color w:val="666666"/>
          <w:sz w:val="18"/>
        </w:rPr>
        <w:t>Chung SM et al.  ·  Front Endocrinol (Lausanne)  ·  17.09.2026  ·  PMID 42823990</w:t>
      </w:r>
    </w:p>
    <w:p>
      <w:r>
        <w:t>Südkorea: Nationale Kohortenstudie (1.824.317 Erwachsene ≥40 Jahre mit Typ-2-Diabetes): Assoziation zwischen BMI, Taillenumfang und Inzidenz von Nierenerkrankung (definiert nach altersgerechten eGFR-Schwellwerten) über 4 Jahre Follow-up, stratifiziert nach Alter und Geschlecht.</w:t>
      </w:r>
    </w:p>
    <w:p>
      <w:r>
        <w:rPr>
          <w:b/>
        </w:rPr>
        <w:t xml:space="preserve">Ergebnis: </w:t>
      </w:r>
      <w:r>
        <w:t>CKD-Inzidenz: 2,8 % (Untergewicht), 2,3 % (keine Adipositas), 2,9 % (Übergewicht). Untergewicht mit höherem CKD-Risiko als Übergewicht assoziiert (OR 1,41 [95%-KI 1,29–1,54] vs. OR 1,03 [1,01–1,05]). Alters-/Geschlechts-stratifiziert: Untergewicht durchgängig erhöhtes Risiko, bes. mittelalte Männer; Übergewicht nur bei Frauen mit erhöhtem Risiko. Befund erklärt bisherige Inkonsistenzen in Adipositas-CKD-Assoziationen.</w:t>
      </w:r>
    </w:p>
    <w:p>
      <w:r>
        <w:rPr>
          <w:b/>
          <w:sz w:val="19"/>
        </w:rPr>
        <w:t xml:space="preserve">Übertragbarkeit: </w:t>
      </w:r>
      <w:r>
        <w:rPr>
          <w:sz w:val="19"/>
        </w:rPr>
        <w:t>Südkorea, großes Register; Adipositas-Paradoxon relevant für stratifizierte Prävention, aber regionales Modell unklar</w:t>
      </w:r>
    </w:p>
    <w:p>
      <w:r>
        <w:rPr>
          <w:color w:val="5A7D3A"/>
          <w:sz w:val="18"/>
        </w:rPr>
        <w:t>https://pubmed.ncbi.nlm.nih.gov/42823990/</w:t>
      </w:r>
    </w:p>
    <w:p>
      <w:pPr>
        <w:pStyle w:val="Heading2"/>
      </w:pPr>
      <w:r>
        <w:t>Klinische Phänotypisierung identifiziert Hochrisiko-COPD-Patienten mit raschem FEV1-Verlust</w:t>
      </w:r>
    </w:p>
    <w:p>
      <w:r>
        <w:rPr>
          <w:i/>
          <w:color w:val="666666"/>
          <w:sz w:val="18"/>
        </w:rPr>
        <w:t>Yang Z et al.  ·  Ann Med  ·  01.10.2026  ·  PMID 42817919</w:t>
      </w:r>
    </w:p>
    <w:p>
      <w:r>
        <w:t>Chinesische Kohortenstudie (38.863 COPD-Patienten, 1.215 mit Verlaufsparametern): Latent-Class-Analyse zur Identifikation klinischer Phänotypen; Machine Learning-Modell zur Vorhersage raschen Lungenfunktionsabbaus (FEV1-Abfall ≥40 mL/Jahr oder &gt;1,5% predicted).</w:t>
      </w:r>
    </w:p>
    <w:p>
      <w:r>
        <w:rPr>
          <w:b/>
        </w:rPr>
        <w:t xml:space="preserve">Ergebnis: </w:t>
      </w:r>
      <w:r>
        <w:t>Drei Phänotypen identifiziert: Phänotyp 1 (25,8 %, GOLD Stadium 2, nicht-rauchende Frauen), Phänotyp 2 (44,8 %, GOLD Stadium 1, rauchende Männer), Phänotyp 3 (29,4 %, GOLD Stadium 3, intensive Raucher). Phänotyp 2 zeigte höchste Verfall-Rate (55,8 %). Das CatBoost-Modell erreichte AUC 0,712; bei Schwellenwert 0,365: Sensitivität 95,5 %, negativer Vorhersagewert 86,4 %. Sechs einfache Prädiktoren: Region, Brennstofftyp, Einkommensstufe, Pfeifen, Hüftumfang, Basis-FEV1.</w:t>
      </w:r>
    </w:p>
    <w:p>
      <w:r>
        <w:rPr>
          <w:b/>
          <w:sz w:val="19"/>
        </w:rPr>
        <w:t xml:space="preserve">Übertragbarkeit: </w:t>
      </w:r>
      <w:r>
        <w:rPr>
          <w:sz w:val="19"/>
        </w:rPr>
        <w:t>China, großes Register; Phänotypisierung für Zielgruppendefinition relevant, Übertragbarkeit auf deutsche Phänotypen unklar</w:t>
      </w:r>
    </w:p>
    <w:p>
      <w:r>
        <w:rPr>
          <w:color w:val="5A7D3A"/>
          <w:sz w:val="18"/>
        </w:rPr>
        <w:t>https://pubmed.ncbi.nlm.nih.gov/42817919/</w:t>
      </w:r>
    </w:p>
    <w:p>
      <w:pPr>
        <w:pStyle w:val="Heading2"/>
      </w:pPr>
      <w:r>
        <w:t>Leitliniengerechte Antibiotika senken 30-Tage-Komplikationen bei COPD-Exazerbationen</w:t>
      </w:r>
    </w:p>
    <w:p>
      <w:r>
        <w:rPr>
          <w:i/>
          <w:color w:val="666666"/>
          <w:sz w:val="18"/>
        </w:rPr>
        <w:t>Perales-Muñoz R et al.  ·  Rev Esp Quimioter  ·  21.09.2026  ·  PMID 42768888</w:t>
      </w:r>
    </w:p>
    <w:p>
      <w:r>
        <w:t>Spanische Notaufnahme-Registerstudie an 4.136 COPD-Exazerbations-Episoden: Antibiotika-Auswahl nach nationalen Empfehlungen vs. Fehlauswahl und deren Assoziation mit Mortalität, Rehospitalisierung, Rezidiiv und Notfall-Revisiten.</w:t>
      </w:r>
    </w:p>
    <w:p>
      <w:r>
        <w:rPr>
          <w:b/>
        </w:rPr>
        <w:t xml:space="preserve">Ergebnis: </w:t>
      </w:r>
      <w:r>
        <w:t>Von 1.736 Patienten mit Entlassung aus der Notaufnahme erhielten 987 (56,9 %) Antibiotika; 158 (16,0 %) bekamen inadäquate Therapie. Inadäquate Behandlung korrelierte mit höherer 30-Tage-Morbidität (20,9 % vs. 13,3 %, p=0,019). In der multivariablen Analyse war leitliniengerechte Therapie der einzige modifizierbare Faktor mit signifikant reduziertem Ereignisrisiko (adjustierte RR 0,59; 95%-KI 0,41–0,85; p=0,004). Zugleich waren vorherige Exazerbationen (RR 1,80) und mittelschwere Exazerbationen (RR 1,52) mit höherem Risiko assoziiert.</w:t>
      </w:r>
    </w:p>
    <w:p>
      <w:r>
        <w:rPr>
          <w:b/>
          <w:sz w:val="19"/>
        </w:rPr>
        <w:t xml:space="preserve">Übertragbarkeit: </w:t>
      </w:r>
      <w:r>
        <w:rPr>
          <w:sz w:val="19"/>
        </w:rPr>
        <w:t>Spanische Notaufnahmedaten, vergleichbare Behandlungsprotokolle europäischer Systeme</w:t>
      </w:r>
    </w:p>
    <w:p>
      <w:r>
        <w:rPr>
          <w:color w:val="5A7D3A"/>
          <w:sz w:val="18"/>
        </w:rPr>
        <w:t>https://pubmed.ncbi.nlm.nih.gov/42768888/</w:t>
      </w:r>
    </w:p>
    <w:p>
      <w:pPr>
        <w:pStyle w:val="Heading2"/>
      </w:pPr>
      <w:r>
        <w:t>Dynamisches Risiko-Scoring vorhersagt CLL-Progression nach Limited-Duration-Therapie besser</w:t>
      </w:r>
    </w:p>
    <w:p>
      <w:r>
        <w:rPr>
          <w:i/>
          <w:color w:val="666666"/>
          <w:sz w:val="18"/>
        </w:rPr>
        <w:t>Al-Sawaf O et al.  ·  J Clin Oncol  ·  27.08.2026  ·  PMID 42659576</w:t>
      </w:r>
    </w:p>
    <w:p>
      <w:r>
        <w:t>Deutsche multizentrische Kohortenstudie zu chronisch-lymphatischer Leukämie: Entwicklung und Validierung eines verfeinerten kontinuierlichen Risikoindex (CIRI2-CLL) mit messbaren Resterkrankungen (MRD) zur Vorhersage von progressionsfreiem Überleben nach zeitlich begrenzter Targetted Therapy.</w:t>
      </w:r>
    </w:p>
    <w:p>
      <w:r>
        <w:rPr>
          <w:b/>
        </w:rPr>
        <w:t xml:space="preserve">Ergebnis: </w:t>
      </w:r>
      <w:r>
        <w:t>CIRI2-CLL zeigte gute Kalibrierung (ca. 5 % Unterschied zwischen beobachteter und vorhergesagter Progressionswahrscheinlichkeit). Überlegene Performance vs. einzelne Indizes (C-Statistiken 0,82–0,98 an allen Zeitpunkten), FEV-Vorhersage um 14–37 % verbessert. Risk-Stratifikation in drei Gruppen: 3-Jahres-PFS von 100,0 % (niedrig), 70,2 % (mittel), 10,8 % (hoch). Performance für Gesamtüberleben bestätigt.</w:t>
      </w:r>
    </w:p>
    <w:p>
      <w:r>
        <w:rPr>
          <w:b/>
          <w:sz w:val="19"/>
        </w:rPr>
        <w:t xml:space="preserve">Übertragbarkeit: </w:t>
      </w:r>
      <w:r>
        <w:rPr>
          <w:sz w:val="19"/>
        </w:rPr>
        <w:t>Deutschland/DACH, multizentrisch; CLL-spezifisch, aber Methode der MRD-Integration für andere Chroniker relevant</w:t>
      </w:r>
    </w:p>
    <w:p>
      <w:r>
        <w:rPr>
          <w:color w:val="5A7D3A"/>
          <w:sz w:val="18"/>
        </w:rPr>
        <w:t>https://pubmed.ncbi.nlm.nih.gov/42659576/</w:t>
      </w:r>
    </w:p>
    <w:p>
      <w:pPr>
        <w:pStyle w:val="Heading2"/>
      </w:pPr>
      <w:r>
        <w:t>HBsAg-Schnelltest-Positivierungszeit schätzt Viruslast und erleichtert POC-Diagnostik</w:t>
      </w:r>
    </w:p>
    <w:p>
      <w:r>
        <w:rPr>
          <w:i/>
          <w:color w:val="666666"/>
          <w:sz w:val="18"/>
        </w:rPr>
        <w:t>Asmamaw A et al.  ·  Aliment Pharmacol Ther  ·  06.08.2026  ·  PMID 42558028</w:t>
      </w:r>
    </w:p>
    <w:p>
      <w:r>
        <w:t>Multizentrische Proof-of-Concept-Studie (Spanien, Äthiopien): Prüfung, ob die Positivierungszeit eines Schnelltests für Hepatitis-B-Oberflächenantigen (HBsAg) ein Surrogat für quantitatives HBsAg und HBV-DNA-Aktivität ist; Paarvergleiche Kapillar- vs. Venöses Blut mit qHBsAg und PCR.</w:t>
      </w:r>
    </w:p>
    <w:p>
      <w:r>
        <w:rPr>
          <w:b/>
        </w:rPr>
        <w:t xml:space="preserve">Ergebnis: </w:t>
      </w:r>
      <w:r>
        <w:t>513 HBsAg-positive Personen analysiert. Positivierungszeit korrelierte invers mit qHBsAg (Spanien r=−0,749, Äthiopien r=−0,374; p&lt;0,001 beide). Keine Assoziation mit HBV-DNA. Diskriminationsfähigkeit für HBsAg &lt;1000 IU/mL: Spanien AUROC 0,86, Äthiopien AUROC 0,65; für &lt;100 IU/mL: AUROC 0,96 und 0,77. Gesunde und mit ausgeheilter Infektion: durchweg negativ.</w:t>
      </w:r>
    </w:p>
    <w:p>
      <w:r>
        <w:rPr>
          <w:b/>
          <w:sz w:val="19"/>
        </w:rPr>
        <w:t xml:space="preserve">Übertragbarkeit: </w:t>
      </w:r>
      <w:r>
        <w:rPr>
          <w:sz w:val="19"/>
        </w:rPr>
        <w:t>Spanien/Äthiopien; POC-Test für ressourcenlimitierte Länder, Relevanz für deutsche POC-Diagnostik begrenzt</w:t>
      </w:r>
    </w:p>
    <w:p>
      <w:r>
        <w:rPr>
          <w:color w:val="5A7D3A"/>
          <w:sz w:val="18"/>
        </w:rPr>
        <w:t>https://pubmed.ncbi.nlm.nih.gov/42558028/</w:t>
      </w:r>
    </w:p>
    <w:p>
      <w:pPr>
        <w:pStyle w:val="Heading1"/>
      </w:pPr>
      <w:r>
        <w:t>Aufgenommen am 03.10.2026</w:t>
      </w:r>
    </w:p>
    <w:p>
      <w:pPr>
        <w:pStyle w:val="Heading2"/>
      </w:pPr>
      <w:r>
        <w:t>Depression senkte das Risiko für Mehrfacherkrankung: Remission assoziiert mit niedrigerem Kardiometabolen-Risiko</w:t>
      </w:r>
    </w:p>
    <w:p>
      <w:r>
        <w:rPr>
          <w:i/>
          <w:color w:val="666666"/>
          <w:sz w:val="18"/>
        </w:rPr>
        <w:t>Yao M et al.  ·  J Glob Health  ·  02.10.2026  ·  PMID 42825401</w:t>
      </w:r>
    </w:p>
    <w:p>
      <w:r>
        <w:t>Prospektive Kohortenstudie mit 51.416 Teilnehmern aus China, USA und Europa untersuchte, ob langfristige depressive Belastung (gemessen durch Verlauf und kumulative Scores) mit neuaufgetretener Mehrfacherkrankung (Herz-Kreislauf und Diabetes) assoziiert ist.</w:t>
      </w:r>
    </w:p>
    <w:p>
      <w:r>
        <w:rPr>
          <w:b/>
        </w:rPr>
        <w:t xml:space="preserve">Ergebnis: </w:t>
      </w:r>
      <w:r>
        <w:t>Depressionsfortschritt erhöhte CMM-Risiko: China HR 1,47 (95%-CI 1,00–2,17), USA HR 1,33 (1,01–1,74), Europa HR 1,46 (1,26–1,69). Depressionsremission reduzierte Risiko: China HR 0,56 (0,36–0,87), Europa HR 0,76 (0,63–0,92). Frauen stärker betroffen in USA und Europa.</w:t>
      </w:r>
    </w:p>
    <w:p>
      <w:r>
        <w:rPr>
          <w:b/>
          <w:sz w:val="19"/>
        </w:rPr>
        <w:t xml:space="preserve">Übertragbarkeit: </w:t>
      </w:r>
      <w:r>
        <w:rPr>
          <w:sz w:val="19"/>
        </w:rPr>
        <w:t>Internationale Kohorte mit vergleichbarem Design; deutsches System ohne direkte Abbildung, aber Mehrfacherkrankungen-Prävention zentral für DMPs</w:t>
      </w:r>
    </w:p>
    <w:p>
      <w:r>
        <w:rPr>
          <w:color w:val="5A7D3A"/>
          <w:sz w:val="18"/>
        </w:rPr>
        <w:t>https://pubmed.ncbi.nlm.nih.gov/42825401/</w:t>
      </w:r>
    </w:p>
    <w:p>
      <w:pPr>
        <w:pStyle w:val="Heading2"/>
      </w:pPr>
      <w:r>
        <w:t>Peer-Support-Programme für chronische Nierenerkrankung: Systemische Unterstützung und Engagement zentral</w:t>
      </w:r>
    </w:p>
    <w:p>
      <w:r>
        <w:rPr>
          <w:i/>
          <w:color w:val="666666"/>
          <w:sz w:val="18"/>
        </w:rPr>
        <w:t>Faravan A et al.  ·  J Ren Care  ·  Dez. 2026  ·  PMID 42820648</w:t>
      </w:r>
    </w:p>
    <w:p>
      <w:r>
        <w:t>Qualitative Metasynthese von 15 Studien zu Facilitators von Peer-Support-Programmen für Patienten mit chronischer Nierenerkrankung.</w:t>
      </w:r>
    </w:p>
    <w:p>
      <w:r>
        <w:rPr>
          <w:b/>
        </w:rPr>
        <w:t xml:space="preserve">Ergebnis: </w:t>
      </w:r>
      <w:r>
        <w:t>Drei Hauptfacilitators identifiziert: (1) supportive Organisationskultur im Gesundheitssystem, (2) tiefe peer-Verbindungen und gutes rapport, (3) engagierte und motivierte Peer-Supporter und -Empfänger. Erfolgreiche Programme erfordern Interaktion zwischen organisationaler Unterstützung, sinnvoller Peer-Beziehung und aktiver Partizipation.</w:t>
      </w:r>
    </w:p>
    <w:p>
      <w:r>
        <w:rPr>
          <w:b/>
          <w:sz w:val="19"/>
        </w:rPr>
        <w:t xml:space="preserve">Übertragbarkeit: </w:t>
      </w:r>
      <w:r>
        <w:rPr>
          <w:sz w:val="19"/>
        </w:rPr>
        <w:t>Überwiegend europäische und englischsprachige Studien; Peer-Support-Ansätze in Deutschland (Selbsthilfe, DMP-Strukturen) unmittelbar anwendbar</w:t>
      </w:r>
    </w:p>
    <w:p>
      <w:r>
        <w:rPr>
          <w:color w:val="5A7D3A"/>
          <w:sz w:val="18"/>
        </w:rPr>
        <w:t>https://pubmed.ncbi.nlm.nih.gov/42820648/</w:t>
      </w:r>
    </w:p>
    <w:p>
      <w:pPr>
        <w:pStyle w:val="Heading2"/>
      </w:pPr>
      <w:r>
        <w:t>GLP-1-Rezeptor-Agonisten schützen die Niere bei chronischer Nierenerkrankung und Diabetes</w:t>
      </w:r>
    </w:p>
    <w:p>
      <w:r>
        <w:rPr>
          <w:i/>
          <w:color w:val="666666"/>
          <w:sz w:val="18"/>
        </w:rPr>
        <w:t>Boeckhaus J et al.  ·  Clin Sci (Lond)  ·  14.10.2026  ·  PMID 42820470</w:t>
      </w:r>
    </w:p>
    <w:p>
      <w:r>
        <w:t>Übersichtsarbeit zur Evidenz für Nephroprotektivität von GLP-1 Agonisten bei Patienten mit Typ-2-Diabetes und chronischer Nierenerkrankung jenseits von Glukosekontrolle.</w:t>
      </w:r>
    </w:p>
    <w:p>
      <w:r>
        <w:rPr>
          <w:b/>
        </w:rPr>
        <w:t xml:space="preserve">Ergebnis: </w:t>
      </w:r>
      <w:r>
        <w:t>GLP-1-RA reduzieren eGFR-Abfall, albuminurie und kardiovaskuläre Ereignisse durch anti-inflammatorische und anti-fibrotische Mechanismen. Effekte teilweise unabhängig von Gewichtsreduktion. Sicherheitsprofil vergleichbar mit Standard; potenzielle neue Indikation auch ohne Diabetes bei CKD.</w:t>
      </w:r>
    </w:p>
    <w:p>
      <w:r>
        <w:rPr>
          <w:b/>
          <w:sz w:val="19"/>
        </w:rPr>
        <w:t xml:space="preserve">Übertragbarkeit: </w:t>
      </w:r>
      <w:r>
        <w:rPr>
          <w:sz w:val="19"/>
        </w:rPr>
        <w:t>Wirkmechanismus-Review ohne Versorgungsdaten; Evidenz aus RCTs übertragbar auf deutsches System</w:t>
      </w:r>
    </w:p>
    <w:p>
      <w:r>
        <w:rPr>
          <w:color w:val="5A7D3A"/>
          <w:sz w:val="18"/>
        </w:rPr>
        <w:t>https://pubmed.ncbi.nlm.nih.gov/42820470/</w:t>
      </w:r>
    </w:p>
    <w:p>
      <w:pPr>
        <w:pStyle w:val="Heading2"/>
      </w:pPr>
      <w:r>
        <w:t>Actualisiertes WHO-Modul für Mundgesundheit in Überwachungssystemen für nicht übertragbare Erkrankungen</w:t>
      </w:r>
    </w:p>
    <w:p>
      <w:r>
        <w:rPr>
          <w:i/>
          <w:color w:val="666666"/>
          <w:sz w:val="18"/>
        </w:rPr>
        <w:t>Rendell N et al.  ·  Bull World Health Organ  ·  01.10.2026  ·  PMID 42820175</w:t>
      </w:r>
    </w:p>
    <w:p>
      <w:r>
        <w:t>WHO präsentiert überarbeitetes Modul für STEPS-Surveillance (Überwachung von Risikofaktoren) mit klinischer Untersuchungskomponente für Mundgesundheit, die von geschultem Nicht-Zahnarzt-Personal durchführbar ist.</w:t>
      </w:r>
    </w:p>
    <w:p>
      <w:r>
        <w:rPr>
          <w:b/>
        </w:rPr>
        <w:t xml:space="preserve">Ergebnis: </w:t>
      </w:r>
      <w:r>
        <w:t>Neues Modul integriert aktualisierte Selbstangaben und klinische Bewertung statt nur Wahrnehmungsangaben. Praktisch und skalierbar für Länder ohne zahnärztliche Kapazität, unterstützt Integration von Mundgesundheit in Strategien zur universellen Gesundheitsversorgung.</w:t>
      </w:r>
    </w:p>
    <w:p>
      <w:r>
        <w:rPr>
          <w:b/>
          <w:sz w:val="19"/>
        </w:rPr>
        <w:t xml:space="preserve">Übertragbarkeit: </w:t>
      </w:r>
      <w:r>
        <w:rPr>
          <w:sz w:val="19"/>
        </w:rPr>
        <w:t>WHO-Standard für alle Länder; direkt auf deutsches RKI-Surveillance-System übertragbar</w:t>
      </w:r>
    </w:p>
    <w:p>
      <w:r>
        <w:rPr>
          <w:color w:val="5A7D3A"/>
          <w:sz w:val="18"/>
        </w:rPr>
        <w:t>https://pubmed.ncbi.nlm.nih.gov/42820175/</w:t>
      </w:r>
    </w:p>
    <w:p>
      <w:pPr>
        <w:pStyle w:val="Heading2"/>
      </w:pPr>
      <w:r>
        <w:t>Krankenhausinfektionen bei Kindern mit Sepsis zeigten höhere Sterblichkeit als ambulant erworbene Infektionen</w:t>
      </w:r>
    </w:p>
    <w:p>
      <w:r>
        <w:rPr>
          <w:i/>
          <w:color w:val="666666"/>
          <w:sz w:val="18"/>
        </w:rPr>
        <w:t>Ravichandran N et al.  ·  Eur J Pediatr  ·  19.09.2026  ·  PMID 42763313</w:t>
      </w:r>
    </w:p>
    <w:p>
      <w:r>
        <w:t>Retrospektive nationale Kohortenstudie zur Epidemiologie pädiatrischer Sepsis in Irland 2020–2025 mit Analyse von Krankheitsverlauf, Multimorbidität und Outcomes.</w:t>
      </w:r>
    </w:p>
    <w:p>
      <w:r>
        <w:rPr>
          <w:b/>
        </w:rPr>
        <w:t xml:space="preserve">Ergebnis: </w:t>
      </w:r>
      <w:r>
        <w:t>4.442 Sepsis-Aufnahmen: 30,7% nosokomial, 69,3% ambulant. Nosokomiale Sepsis: 84,0% Intensivaufnahmen vs. 32,3%, Sterblichkeit 7,6% vs. 1,8% (p&lt;0,001). Komorbidität assoziiert mit kritischem Verlauf (aOR neonatal 2,66; nicht-neonatal 4,88), aber schwere Verläufe auch ohne dokumentierte Komorbiditäten.</w:t>
      </w:r>
    </w:p>
    <w:p>
      <w:r>
        <w:rPr>
          <w:b/>
          <w:sz w:val="19"/>
        </w:rPr>
        <w:t xml:space="preserve">Übertragbarkeit: </w:t>
      </w:r>
      <w:r>
        <w:rPr>
          <w:sz w:val="19"/>
        </w:rPr>
        <w:t>Europäische Klinikdaten; vergleichbar mit deutschem Krankenhausmanagementsystem für Infektionsprävention</w:t>
      </w:r>
    </w:p>
    <w:p>
      <w:r>
        <w:rPr>
          <w:color w:val="5A7D3A"/>
          <w:sz w:val="18"/>
        </w:rPr>
        <w:t>https://pubmed.ncbi.nlm.nih.gov/42763313/</w:t>
      </w:r>
    </w:p>
    <w:p>
      <w:pPr>
        <w:pStyle w:val="Heading2"/>
      </w:pPr>
      <w:r>
        <w:t>Sterblichkeitsüberwachung mit multiplen Todesursachen zur Verfolgung chronischer Erkrankungen in der COVID-19-Ära</w:t>
      </w:r>
    </w:p>
    <w:p>
      <w:r>
        <w:rPr>
          <w:i/>
          <w:color w:val="666666"/>
          <w:sz w:val="18"/>
        </w:rPr>
        <w:t>Jones J  ·  Ann Epidemiol  ·  15.09.2026  ·  PMID 42744417</w:t>
      </w:r>
    </w:p>
    <w:p>
      <w:r>
        <w:t>Educational Module zu Mortalitäts-Surveillance-Methoden, das sich auf einen bereits publizierten Artikel zur Nutzung von Mehrfach-Todesursachen-Daten konzentriert (Referenz: Durán et al., Ann Epidemiol 2026;113:23-29).</w:t>
      </w:r>
    </w:p>
    <w:p>
      <w:r>
        <w:rPr>
          <w:b/>
        </w:rPr>
        <w:t xml:space="preserve">Ergebnis: </w:t>
      </w:r>
      <w:r>
        <w:t>Modul demonstriert Nutzen von Mehrfach-Todesursachen-Kodierung zur Erfassung von Trends chronischer Erkrankungen; Fallbeispiel Schweiz COVID-19-Pandemie zeigt, wie Überwachungsmethoden Versorgungsmuster offenbaren.</w:t>
      </w:r>
    </w:p>
    <w:p>
      <w:r>
        <w:rPr>
          <w:b/>
          <w:sz w:val="19"/>
        </w:rPr>
        <w:t xml:space="preserve">Übertragbarkeit: </w:t>
      </w:r>
      <w:r>
        <w:rPr>
          <w:sz w:val="19"/>
        </w:rPr>
        <w:t>Schweiz mit ähnlichem System wie Deutschland; Mortalitäts-Surveillance-Design direkt auf deutsches Todesbescheinigungssystem übertragbar</w:t>
      </w:r>
    </w:p>
    <w:p>
      <w:r>
        <w:rPr>
          <w:color w:val="5A7D3A"/>
          <w:sz w:val="18"/>
        </w:rPr>
        <w:t>https://pubmed.ncbi.nlm.nih.gov/42744417/</w:t>
      </w:r>
    </w:p>
    <w:p>
      <w:pPr>
        <w:pStyle w:val="Heading2"/>
      </w:pPr>
      <w:r>
        <w:t>COPD ist zu heterogen für Single-Trial-Zulassungen: Mehrfach-Studien-Evidenz erforderlich</w:t>
      </w:r>
    </w:p>
    <w:p>
      <w:r>
        <w:rPr>
          <w:i/>
          <w:color w:val="666666"/>
          <w:sz w:val="18"/>
        </w:rPr>
        <w:t>Cazzola M et al.  ·  Lung  ·  31.07.2026  ·  PMID 42536190</w:t>
      </w:r>
    </w:p>
    <w:p>
      <w:r>
        <w:t>Expertenpapier zur FDA-Proposal, einzelne RCTs als Standard für COPD-Medikamentenzulassung zu akzeptieren; erörtert Heterogenität, Effektgrößen und Generalisierbarkeit.</w:t>
      </w:r>
    </w:p>
    <w:p>
      <w:r>
        <w:rPr>
          <w:b/>
        </w:rPr>
        <w:t xml:space="preserve">Ergebnis: </w:t>
      </w:r>
      <w:r>
        <w:t>COPD zeigt variable Trajektorien, modest treatment effects, limitierte validierte Biomarker. Single RCTs risikieren Type-I-Fehler und begrenzte Übertragbarkeit durch restriktive Einschlusskriterien. Empfehlung: mindestens zwei unabhängige Studien bei CKD oder äquivalente Post-Marketing-Validierung erforderlich.</w:t>
      </w:r>
    </w:p>
    <w:p>
      <w:r>
        <w:rPr>
          <w:b/>
          <w:sz w:val="19"/>
        </w:rPr>
        <w:t xml:space="preserve">Übertragbarkeit: </w:t>
      </w:r>
      <w:r>
        <w:rPr>
          <w:sz w:val="19"/>
        </w:rPr>
        <w:t>COPD-Versorgung international vergleichbar; Argument für robuste Evidenzstandards in allen Gesundheitssystemen relevant</w:t>
      </w:r>
    </w:p>
    <w:p>
      <w:r>
        <w:rPr>
          <w:color w:val="5A7D3A"/>
          <w:sz w:val="18"/>
        </w:rPr>
        <w:t>https://pubmed.ncbi.nlm.nih.gov/42536190/</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NCD und chronische Krankheiten</dc:title>
  <dc:subject/>
  <dc:creator>Monitor Versorgungsforschung</dc:creator>
  <cp:keywords/>
  <dc:description>generated by python-docx</dc:description>
  <cp:lastModifiedBy/>
  <cp:revision>1</cp:revision>
  <dcterms:created xsi:type="dcterms:W3CDTF">2026-10-31T06:00:00Z</dcterms:created>
  <dcterms:modified xsi:type="dcterms:W3CDTF">2026-10-31T06:00:00Z</dcterms:modified>
  <cp:category/>
</cp:coreProperties>
</file>