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26.09.2026  |  6 Studien  |  ncd.m-vf.de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Multimorbidity erhöht Depressionrisiko: systematische Übersicht von Kohortenstudien</w:t>
      </w:r>
    </w:p>
    <w:p>
      <w:r>
        <w:rPr>
          <w:i/>
          <w:color w:val="666666"/>
          <w:sz w:val="18"/>
        </w:rPr>
        <w:t>Wu J et al.  ·  J Glob Health  ·  25.09.2026  ·  PMID 42788325</w:t>
      </w:r>
    </w:p>
    <w:p>
      <w:r>
        <w:t>Systematische Überprüfung von 17 Kohortenstudien zu Assoziationen zwischen Mehrfacherkrankung und inzidenter Depression oder depressiven Symptomen.</w:t>
      </w:r>
    </w:p>
    <w:p>
      <w:r>
        <w:rPr>
          <w:b/>
        </w:rPr>
        <w:t xml:space="preserve">Ergebnis: </w:t>
      </w:r>
      <w:r>
        <w:t>Mehrfacherkrankung war konsistent mit erhöhtem Depressionrisiko assoziiert; das Risiko stieg mit der Zahl chronischer Erkrankungen. Kardiovaskulär-metabolische und respiratorische Muster zeigten die konsistentesten Assoziationen mit Depression. Diese Assoziation war über Geschlechter und Länder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Kohortenstudien, Ergebnisse unabhängig von Versorgungsstrukturen übertragbar.</w:t>
      </w:r>
    </w:p>
    <w:p>
      <w:r>
        <w:rPr>
          <w:color w:val="5A7D3A"/>
          <w:sz w:val="18"/>
        </w:rPr>
        <w:t>https://pubmed.ncbi.nlm.nih.gov/42788325/</w:t>
      </w:r>
    </w:p>
    <w:p>
      <w:pPr>
        <w:pStyle w:val="Heading2"/>
      </w:pPr>
      <w:r>
        <w:t>Versicherungslücken erhöhten Kostenhindernisse bei Mehrfacherkrankten um bis zu 3,44-fach</w:t>
      </w:r>
    </w:p>
    <w:p>
      <w:r>
        <w:rPr>
          <w:i/>
          <w:color w:val="666666"/>
          <w:sz w:val="18"/>
        </w:rPr>
        <w:t>Cao Y et al.  ·  Front Public Health  ·  10.09.2026  ·  PMID 42787109</w:t>
      </w:r>
    </w:p>
    <w:p>
      <w:r>
        <w:t>Querschnittstudie mit US-Versichertendaten (MEPS) zur Assoziation zwischen Dauer von Versicherungslücken und nachfolgenden kostenbezogenen Barrieren für medizinische Versorgung bei Erwachsenen mit Mehrfacherkrankung.</w:t>
      </w:r>
    </w:p>
    <w:p>
      <w:r>
        <w:rPr>
          <w:b/>
        </w:rPr>
        <w:t xml:space="preserve">Ergebnis: </w:t>
      </w:r>
      <w:r>
        <w:t>Verglichen mit keiner Lücke hatten Patienten mit 24 Monaten Versicherungslücke eine aOR von 3,44 (95%-KI 1,84–6,44) für Kostenhindernisse; bereinigte Wahrscheinlichkeiten waren 17,4 % (keine Lücke) bis 39,8 % (24 Monate). Kontinuierlich Versicherte hatten höhere Gesamtausgaben ($26.134 vs. $4.884).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mit anderer Finanzierung; übertragbar nur für Erkenntnisse über Versicherungslücken als Risikofaktor.</w:t>
      </w:r>
    </w:p>
    <w:p>
      <w:r>
        <w:rPr>
          <w:color w:val="5A7D3A"/>
          <w:sz w:val="18"/>
        </w:rPr>
        <w:t>https://pubmed.ncbi.nlm.nih.gov/42787109/</w:t>
      </w:r>
    </w:p>
    <w:p>
      <w:pPr>
        <w:pStyle w:val="Heading2"/>
      </w:pPr>
      <w:r>
        <w:t>Schlafhygiene-Profile bei chronischen Erkrankungen: drei Phenotypen mit unterschiedlichen Risikofaktoren</w:t>
      </w:r>
    </w:p>
    <w:p>
      <w:r>
        <w:rPr>
          <w:i/>
          <w:color w:val="666666"/>
          <w:sz w:val="18"/>
        </w:rPr>
        <w:t>Seong H et al.  ·  Appl Nurs Res  ·  12.09.2026  ·  PMID 42785828</w:t>
      </w:r>
    </w:p>
    <w:p>
      <w:r>
        <w:t>Latent-Class-Analyse von 488 koreanischen Patienten mit chronischen Erkrankungen und Schlafstörungen (PSQI &gt;5) zur Identifikation von Schlafhygiene-Profilen.</w:t>
      </w:r>
    </w:p>
    <w:p>
      <w:r>
        <w:rPr>
          <w:b/>
        </w:rPr>
        <w:t xml:space="preserve">Ergebnis: </w:t>
      </w:r>
      <w:r>
        <w:t>Drei Profile identifiziert: 'Optimale Schlafhygiene' (66,2 %), 'Verhaltensbezogene gestörte Schlaf' (27,7 %) und 'Hochrisiko-dysregulierter Schlaf' (6,1 %). Verhaltensgestörte Gruppe assoziiert mit Rauchen (OR 16,53), Alkohol (OR 3,78) und männlichem Geschlecht (OR 3,53). Hochrisiko-Gruppe mit psychosozialer Belastung (OR 5,38)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Erkenntnisse zur Identifikation heterogener Schlafhygiene-Phänotypen vergleichbar, Interventionen müssen lokal validiert werden.</w:t>
      </w:r>
    </w:p>
    <w:p>
      <w:r>
        <w:rPr>
          <w:color w:val="5A7D3A"/>
          <w:sz w:val="18"/>
        </w:rPr>
        <w:t>https://pubmed.ncbi.nlm.nih.gov/42785828/</w:t>
      </w:r>
    </w:p>
    <w:p>
      <w:pPr>
        <w:pStyle w:val="Heading2"/>
      </w:pPr>
      <w:r>
        <w:t>Ramadan-Fasten bei Hämodialyse-Patienten mit Diabetes: keine Hypoglykämie unter standardisiertem Protokoll</w:t>
      </w:r>
    </w:p>
    <w:p>
      <w:r>
        <w:rPr>
          <w:i/>
          <w:color w:val="666666"/>
          <w:sz w:val="18"/>
        </w:rPr>
        <w:t>Saman A et al.  ·  Med Sci (Basel)  ·  27.08.2026  ·  PMID 42783395</w:t>
      </w:r>
    </w:p>
    <w:p>
      <w:r>
        <w:t>Prospektive Multizenterstudie mit 153 Patienten mit terminalem Nierenversagen und Diabetes an vier Zentren in Thailand zu Sicherheit von Ramadan-Fasten unter Hämodialyse.</w:t>
      </w:r>
    </w:p>
    <w:p>
      <w:r>
        <w:rPr>
          <w:b/>
        </w:rPr>
        <w:t xml:space="preserve">Ergebnis: </w:t>
      </w:r>
      <w:r>
        <w:t>Keine intradialytischen Hypoglykämien in Vollfast- oder Nicht-Fasten-Gruppen (0 Episoden); eine Episode (0,2 %) in Teilfasten-Gruppe. Hämodialyse-Komplikationen, Blutdruck, Kt/V-Wert und interdialytische Gewichtszunahme vergleichbar über alle Gruppen. Serum-Kalium und Parathormon stiegen ohne klinische 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aber standardisiertes Medikamentenmanagement und Monitoring-Protokoll auf deutsche Dialysezentren übertragbar.</w:t>
      </w:r>
    </w:p>
    <w:p>
      <w:r>
        <w:rPr>
          <w:color w:val="5A7D3A"/>
          <w:sz w:val="18"/>
        </w:rPr>
        <w:t>https://pubmed.ncbi.nlm.nih.gov/42783395/</w:t>
      </w:r>
    </w:p>
    <w:p>
      <w:pPr>
        <w:pStyle w:val="Heading2"/>
      </w:pPr>
      <w:r>
        <w:t>Post-Bronchodilator-COPD mit erhöhtem Mortalitätsrisiko: Lateinamerikanische Populationsstudie</w:t>
      </w:r>
    </w:p>
    <w:p>
      <w:r>
        <w:rPr>
          <w:i/>
          <w:color w:val="666666"/>
          <w:sz w:val="18"/>
        </w:rPr>
        <w:t>Pérez-Padilla R et al.  ·  Respir Res Clin Pract  ·  22.05.2026  ·  PMID 42781375</w:t>
      </w:r>
    </w:p>
    <w:p>
      <w:r>
        <w:t>PLATINO-Kohortenstudie mit 2.942 Teilnehmern über 5–9 Jahre zur Prognostizierung von Mortalität, Exazerbationen und FEV1-Verlauf durch prä- und post-Bronchodilator-Atemwegsobstruktion.</w:t>
      </w:r>
    </w:p>
    <w:p>
      <w:r>
        <w:rPr>
          <w:b/>
        </w:rPr>
        <w:t xml:space="preserve">Ergebnis: </w:t>
      </w:r>
      <w:r>
        <w:t>Persistente Atemwegsobstruktion (post-BD) assoziiert mit Mortalität (HR 2,99; 95%-KI 2,1–4,3) vs. Kontrollen; reversible Obstruktion (HR 1,9; 95%-KI 1,1–3,1) hatte 4,1-fach höheres Risiko für COPD-Entwicklung (OR 4,1; 95%-KI 2,0–8,5). FEV1-Rückgang in persistenter Gruppe –13,4 mL/Jahr.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aber Spirometrie-Standards international vergleichbar; Risikostratifizierung übertragbar auf Deutschland.</w:t>
      </w:r>
    </w:p>
    <w:p>
      <w:r>
        <w:rPr>
          <w:color w:val="5A7D3A"/>
          <w:sz w:val="18"/>
        </w:rPr>
        <w:t>https://pubmed.ncbi.nlm.nih.gov/42781375/</w:t>
      </w:r>
    </w:p>
    <w:p>
      <w:pPr>
        <w:pStyle w:val="Heading2"/>
      </w:pPr>
      <w:r>
        <w:t>Cordyceps sinensis schützte vor CKD-Progression nach virusinduziertem Akutnierenversagen</w:t>
      </w:r>
    </w:p>
    <w:p>
      <w:r>
        <w:rPr>
          <w:i/>
          <w:color w:val="666666"/>
          <w:sz w:val="18"/>
        </w:rPr>
        <w:t>Min M et al.  ·  Ren Fail  ·  23.09.2026  ·  PMID 42779256</w:t>
      </w:r>
    </w:p>
    <w:p>
      <w:r>
        <w:t>Retrospektive Kohortenstudie mit 99 Patienten mit Hämorrhagischem Fieber und Nierensyndrom (HFRS-AKI) an einem chinesischen Zentrum zum Effekt von Cordyceps-sinensis-Präparaten auf Nierenerholung.</w:t>
      </w:r>
    </w:p>
    <w:p>
      <w:r>
        <w:rPr>
          <w:b/>
        </w:rPr>
        <w:t xml:space="preserve">Ergebnis: </w:t>
      </w:r>
      <w:r>
        <w:t>27,3 % der HFRS-AKI-Patienten entwickelten CKD. Cordyceps-sinensis-Behandlung war unabhängiger Schutzfaktor gegen unvollständige Nierenerholung (OR 0,323; 95%-KI 0,114–0,916; p=0,034). Inverse-Probability-Weighting bestätigte Assoziation (β –1,184; p=0,026). Überlebenszeitanalyse zeigte verbesserte Nierenergebnisse (Log-Rank p=0,004).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virales-induziertes Akutnierenversagen; Erkenntnisse zu Adjuvantien-Therapie-Effekten prinzipiell übertragbar, aber Präparat-Verfügbarkeit lokal unterschiedlich.</w:t>
      </w:r>
    </w:p>
    <w:p>
      <w:r>
        <w:rPr>
          <w:color w:val="5A7D3A"/>
          <w:sz w:val="18"/>
        </w:rPr>
        <w:t>https://pubmed.ncbi.nlm.nih.gov/42779256/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