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Nicht uebertragbare Krankheiten</w:t>
      </w:r>
    </w:p>
    <w:p>
      <w:r>
        <w:rPr>
          <w:i/>
          <w:color w:val="666666"/>
          <w:sz w:val="18"/>
        </w:rPr>
        <w:t>Stand: 26.09.2026  |  209 Studien  |  ncd.m-vf.de</w:t>
      </w:r>
    </w:p>
    <w:p>
      <w:pPr>
        <w:pStyle w:val="Heading1"/>
      </w:pPr>
      <w:r>
        <w:t>Aufgenommen am 26.09.2026</w:t>
      </w:r>
    </w:p>
    <w:p>
      <w:pPr>
        <w:pStyle w:val="Heading2"/>
      </w:pPr>
      <w:r>
        <w:t>Multimorbidity erhöht Depressionrisiko: systematische Übersicht von Kohortenstudien</w:t>
      </w:r>
    </w:p>
    <w:p>
      <w:r>
        <w:rPr>
          <w:i/>
          <w:color w:val="666666"/>
          <w:sz w:val="18"/>
        </w:rPr>
        <w:t>Wu J et al.  ·  J Glob Health  ·  25.09.2026  ·  PMID 42788325</w:t>
      </w:r>
    </w:p>
    <w:p>
      <w:r>
        <w:t>Systematische Überprüfung von 17 Kohortenstudien zu Assoziationen zwischen Mehrfacherkrankung und inzidenter Depression oder depressiven Symptomen.</w:t>
      </w:r>
    </w:p>
    <w:p>
      <w:r>
        <w:rPr>
          <w:b/>
        </w:rPr>
        <w:t xml:space="preserve">Ergebnis: </w:t>
      </w:r>
      <w:r>
        <w:t>Mehrfacherkrankung war konsistent mit erhöhtem Depressionrisiko assoziiert; das Risiko stieg mit der Zahl chronischer Erkrankungen. Kardiovaskulär-metabolische und respiratorische Muster zeigten die konsistentesten Assoziationen mit Depression. Diese Assoziation war über Geschlechter und Länder stabil.</w:t>
      </w:r>
    </w:p>
    <w:p>
      <w:r>
        <w:rPr>
          <w:b/>
          <w:sz w:val="19"/>
        </w:rPr>
        <w:t xml:space="preserve">Übertragbarkeit: </w:t>
      </w:r>
      <w:r>
        <w:rPr>
          <w:sz w:val="19"/>
        </w:rPr>
        <w:t>Europäische und internationale Kohortenstudien, Ergebnisse unabhängig von Versorgungsstrukturen übertragbar.</w:t>
      </w:r>
    </w:p>
    <w:p>
      <w:r>
        <w:rPr>
          <w:color w:val="5A7D3A"/>
          <w:sz w:val="18"/>
        </w:rPr>
        <w:t>https://pubmed.ncbi.nlm.nih.gov/42788325/</w:t>
      </w:r>
    </w:p>
    <w:p>
      <w:pPr>
        <w:pStyle w:val="Heading2"/>
      </w:pPr>
      <w:r>
        <w:t>Versicherungslücken erhöhten Kostenhindernisse bei Mehrfacherkrankten um bis zu 3,44-fach</w:t>
      </w:r>
    </w:p>
    <w:p>
      <w:r>
        <w:rPr>
          <w:i/>
          <w:color w:val="666666"/>
          <w:sz w:val="18"/>
        </w:rPr>
        <w:t>Cao Y et al.  ·  Front Public Health  ·  10.09.2026  ·  PMID 42787109</w:t>
      </w:r>
    </w:p>
    <w:p>
      <w:r>
        <w:t>Querschnittstudie mit US-Versichertendaten (MEPS) zur Assoziation zwischen Dauer von Versicherungslücken und nachfolgenden kostenbezogenen Barrieren für medizinische Versorgung bei Erwachsenen mit Mehrfacherkrankung.</w:t>
      </w:r>
    </w:p>
    <w:p>
      <w:r>
        <w:rPr>
          <w:b/>
        </w:rPr>
        <w:t xml:space="preserve">Ergebnis: </w:t>
      </w:r>
      <w:r>
        <w:t>Verglichen mit keiner Lücke hatten Patienten mit 24 Monaten Versicherungslücke eine aOR von 3,44 (95%-KI 1,84–6,44) für Kostenhindernisse; bereinigte Wahrscheinlichkeiten waren 17,4 % (keine Lücke) bis 39,8 % (24 Monate). Kontinuierlich Versicherte hatten höhere Gesamtausgaben ($26.134 vs. $4.884).</w:t>
      </w:r>
    </w:p>
    <w:p>
      <w:r>
        <w:rPr>
          <w:b/>
          <w:sz w:val="19"/>
        </w:rPr>
        <w:t xml:space="preserve">Übertragbarkeit: </w:t>
      </w:r>
      <w:r>
        <w:rPr>
          <w:sz w:val="19"/>
        </w:rPr>
        <w:t>USA-Daten mit anderer Finanzierung; übertragbar nur für Erkenntnisse über Versicherungslücken als Risikofaktor.</w:t>
      </w:r>
    </w:p>
    <w:p>
      <w:r>
        <w:rPr>
          <w:color w:val="5A7D3A"/>
          <w:sz w:val="18"/>
        </w:rPr>
        <w:t>https://pubmed.ncbi.nlm.nih.gov/42787109/</w:t>
      </w:r>
    </w:p>
    <w:p>
      <w:pPr>
        <w:pStyle w:val="Heading2"/>
      </w:pPr>
      <w:r>
        <w:t>Schlafhygiene-Profile bei chronischen Erkrankungen: drei Phenotypen mit unterschiedlichen Risikofaktoren</w:t>
      </w:r>
    </w:p>
    <w:p>
      <w:r>
        <w:rPr>
          <w:i/>
          <w:color w:val="666666"/>
          <w:sz w:val="18"/>
        </w:rPr>
        <w:t>Seong H et al.  ·  Appl Nurs Res  ·  12.09.2026  ·  PMID 42785828</w:t>
      </w:r>
    </w:p>
    <w:p>
      <w:r>
        <w:t>Latent-Class-Analyse von 488 koreanischen Patienten mit chronischen Erkrankungen und Schlafstörungen (PSQI &gt;5) zur Identifikation von Schlafhygiene-Profilen.</w:t>
      </w:r>
    </w:p>
    <w:p>
      <w:r>
        <w:rPr>
          <w:b/>
        </w:rPr>
        <w:t xml:space="preserve">Ergebnis: </w:t>
      </w:r>
      <w:r>
        <w:t>Drei Profile identifiziert: 'Optimale Schlafhygiene' (66,2 %), 'Verhaltensbezogene gestörte Schlaf' (27,7 %) und 'Hochrisiko-dysregulierter Schlaf' (6,1 %). Verhaltensgestörte Gruppe assoziiert mit Rauchen (OR 16,53), Alkohol (OR 3,78) und männlichem Geschlecht (OR 3,53). Hochrisiko-Gruppe mit psychosozialer Belastung (OR 5,38) assoziiert.</w:t>
      </w:r>
    </w:p>
    <w:p>
      <w:r>
        <w:rPr>
          <w:b/>
          <w:sz w:val="19"/>
        </w:rPr>
        <w:t xml:space="preserve">Übertragbarkeit: </w:t>
      </w:r>
      <w:r>
        <w:rPr>
          <w:sz w:val="19"/>
        </w:rPr>
        <w:t>Südkorea; Erkenntnisse zur Identifikation heterogener Schlafhygiene-Phänotypen vergleichbar, Interventionen müssen lokal validiert werden.</w:t>
      </w:r>
    </w:p>
    <w:p>
      <w:r>
        <w:rPr>
          <w:color w:val="5A7D3A"/>
          <w:sz w:val="18"/>
        </w:rPr>
        <w:t>https://pubmed.ncbi.nlm.nih.gov/42785828/</w:t>
      </w:r>
    </w:p>
    <w:p>
      <w:pPr>
        <w:pStyle w:val="Heading2"/>
      </w:pPr>
      <w:r>
        <w:t>Ramadan-Fasten bei Hämodialyse-Patienten mit Diabetes: keine Hypoglykämie unter standardisiertem Protokoll</w:t>
      </w:r>
    </w:p>
    <w:p>
      <w:r>
        <w:rPr>
          <w:i/>
          <w:color w:val="666666"/>
          <w:sz w:val="18"/>
        </w:rPr>
        <w:t>Saman A et al.  ·  Med Sci (Basel)  ·  27.08.2026  ·  PMID 42783395</w:t>
      </w:r>
    </w:p>
    <w:p>
      <w:r>
        <w:t>Prospektive Multizenterstudie mit 153 Patienten mit terminalem Nierenversagen und Diabetes an vier Zentren in Thailand zu Sicherheit von Ramadan-Fasten unter Hämodialyse.</w:t>
      </w:r>
    </w:p>
    <w:p>
      <w:r>
        <w:rPr>
          <w:b/>
        </w:rPr>
        <w:t xml:space="preserve">Ergebnis: </w:t>
      </w:r>
      <w:r>
        <w:t>Keine intradialytischen Hypoglykämien in Vollfast- oder Nicht-Fasten-Gruppen (0 Episoden); eine Episode (0,2 %) in Teilfasten-Gruppe. Hämodialyse-Komplikationen, Blutdruck, Kt/V-Wert und interdialytische Gewichtszunahme vergleichbar über alle Gruppen. Serum-Kalium und Parathormon stiegen ohne klinische Ereignisse.</w:t>
      </w:r>
    </w:p>
    <w:p>
      <w:r>
        <w:rPr>
          <w:b/>
          <w:sz w:val="19"/>
        </w:rPr>
        <w:t xml:space="preserve">Übertragbarkeit: </w:t>
      </w:r>
      <w:r>
        <w:rPr>
          <w:sz w:val="19"/>
        </w:rPr>
        <w:t>Thailand, aber standardisiertes Medikamentenmanagement und Monitoring-Protokoll auf deutsche Dialysezentren übertragbar.</w:t>
      </w:r>
    </w:p>
    <w:p>
      <w:r>
        <w:rPr>
          <w:color w:val="5A7D3A"/>
          <w:sz w:val="18"/>
        </w:rPr>
        <w:t>https://pubmed.ncbi.nlm.nih.gov/42783395/</w:t>
      </w:r>
    </w:p>
    <w:p>
      <w:pPr>
        <w:pStyle w:val="Heading2"/>
      </w:pPr>
      <w:r>
        <w:t>Post-Bronchodilator-COPD mit erhöhtem Mortalitätsrisiko: Lateinamerikanische Populationsstudie</w:t>
      </w:r>
    </w:p>
    <w:p>
      <w:r>
        <w:rPr>
          <w:i/>
          <w:color w:val="666666"/>
          <w:sz w:val="18"/>
        </w:rPr>
        <w:t>Pérez-Padilla R et al.  ·  Respir Res Clin Pract  ·  22.05.2026  ·  PMID 42781375</w:t>
      </w:r>
    </w:p>
    <w:p>
      <w:r>
        <w:t>PLATINO-Kohortenstudie mit 2.942 Teilnehmern über 5–9 Jahre zur Prognostizierung von Mortalität, Exazerbationen und FEV1-Verlauf durch prä- und post-Bronchodilator-Atemwegsobstruktion.</w:t>
      </w:r>
    </w:p>
    <w:p>
      <w:r>
        <w:rPr>
          <w:b/>
        </w:rPr>
        <w:t xml:space="preserve">Ergebnis: </w:t>
      </w:r>
      <w:r>
        <w:t>Persistente Atemwegsobstruktion (post-BD) assoziiert mit Mortalität (HR 2,99; 95%-KI 2,1–4,3) vs. Kontrollen; reversible Obstruktion (HR 1,9; 95%-KI 1,1–3,1) hatte 4,1-fach höheres Risiko für COPD-Entwicklung (OR 4,1; 95%-KI 2,0–8,5). FEV1-Rückgang in persistenter Gruppe –13,4 mL/Jahr.</w:t>
      </w:r>
    </w:p>
    <w:p>
      <w:r>
        <w:rPr>
          <w:b/>
          <w:sz w:val="19"/>
        </w:rPr>
        <w:t xml:space="preserve">Übertragbarkeit: </w:t>
      </w:r>
      <w:r>
        <w:rPr>
          <w:sz w:val="19"/>
        </w:rPr>
        <w:t>Lateinamerika, aber Spirometrie-Standards international vergleichbar; Risikostratifizierung übertragbar auf Deutschland.</w:t>
      </w:r>
    </w:p>
    <w:p>
      <w:r>
        <w:rPr>
          <w:color w:val="5A7D3A"/>
          <w:sz w:val="18"/>
        </w:rPr>
        <w:t>https://pubmed.ncbi.nlm.nih.gov/42781375/</w:t>
      </w:r>
    </w:p>
    <w:p>
      <w:pPr>
        <w:pStyle w:val="Heading2"/>
      </w:pPr>
      <w:r>
        <w:t>Cordyceps sinensis schützte vor CKD-Progression nach virusinduziertem Akutnierenversagen</w:t>
      </w:r>
    </w:p>
    <w:p>
      <w:r>
        <w:rPr>
          <w:i/>
          <w:color w:val="666666"/>
          <w:sz w:val="18"/>
        </w:rPr>
        <w:t>Min M et al.  ·  Ren Fail  ·  23.09.2026  ·  PMID 42779256</w:t>
      </w:r>
    </w:p>
    <w:p>
      <w:r>
        <w:t>Retrospektive Kohortenstudie mit 99 Patienten mit Hämorrhagischem Fieber und Nierensyndrom (HFRS-AKI) an einem chinesischen Zentrum zum Effekt von Cordyceps-sinensis-Präparaten auf Nierenerholung.</w:t>
      </w:r>
    </w:p>
    <w:p>
      <w:r>
        <w:rPr>
          <w:b/>
        </w:rPr>
        <w:t xml:space="preserve">Ergebnis: </w:t>
      </w:r>
      <w:r>
        <w:t>27,3 % der HFRS-AKI-Patienten entwickelten CKD. Cordyceps-sinensis-Behandlung war unabhängiger Schutzfaktor gegen unvollständige Nierenerholung (OR 0,323; 95%-KI 0,114–0,916; p=0,034). Inverse-Probability-Weighting bestätigte Assoziation (β –1,184; p=0,026). Überlebenszeitanalyse zeigte verbesserte Nierenergebnisse (Log-Rank p=0,004).</w:t>
      </w:r>
    </w:p>
    <w:p>
      <w:r>
        <w:rPr>
          <w:b/>
          <w:sz w:val="19"/>
        </w:rPr>
        <w:t xml:space="preserve">Übertragbarkeit: </w:t>
      </w:r>
      <w:r>
        <w:rPr>
          <w:sz w:val="19"/>
        </w:rPr>
        <w:t>China, virales-induziertes Akutnierenversagen; Erkenntnisse zu Adjuvantien-Therapie-Effekten prinzipiell übertragbar, aber Präparat-Verfügbarkeit lokal unterschiedlich.</w:t>
      </w:r>
    </w:p>
    <w:p>
      <w:r>
        <w:rPr>
          <w:color w:val="5A7D3A"/>
          <w:sz w:val="18"/>
        </w:rPr>
        <w:t>https://pubmed.ncbi.nlm.nih.gov/42779256/</w:t>
      </w:r>
    </w:p>
    <w:p>
      <w:pPr>
        <w:pStyle w:val="Heading1"/>
      </w:pPr>
      <w:r>
        <w:t>Aufgenommen am 25.09.2026</w:t>
      </w:r>
    </w:p>
    <w:p>
      <w:pPr>
        <w:pStyle w:val="Heading2"/>
      </w:pPr>
      <w:r>
        <w:t>Neutrophile und Lymphozyten vorhersagen Adipositas-assoziierte CKD bei Älteren</w:t>
      </w:r>
    </w:p>
    <w:p>
      <w:r>
        <w:rPr>
          <w:i/>
          <w:color w:val="666666"/>
          <w:sz w:val="18"/>
        </w:rPr>
        <w:t>Zhu B et al.  ·  Ren Fail  ·  24.09.2026  ·  PMID 42785974</w:t>
      </w:r>
    </w:p>
    <w:p>
      <w:r>
        <w:t>Querschnittsanalyse von 15.000+ älteren Erwachsenen (65–85 J.) in Shanghai: Erhöhte Neutrophile und Lymphozyten sowie niedrigeres Verhältnis Thrombozyt-zu-Lymphozyt wurden unabhängig mit CKD bei Adipösen assoziiert.</w:t>
      </w:r>
    </w:p>
    <w:p>
      <w:r>
        <w:rPr>
          <w:b/>
        </w:rPr>
        <w:t xml:space="preserve">Ergebnis: </w:t>
      </w:r>
      <w:r>
        <w:t>Bei adipösen Teilnehmern: erhöhte Neutrophile aOR 1,42 (95% CI 1,07–1,90) für höchstes vs. niedriges Tertil, erhöhte Lymphozyten aOR 1,53 (95% CI 1,16–2,01); Thrombozyten-Lymphozyten-Verhältnis aOR 0,70 (95% CI 0,53–0,92) – diese Routineblutuntersuchungen könnten frühe Risikoschichtung adipositas-assoziierter CKD ermöglichen.</w:t>
      </w:r>
    </w:p>
    <w:p>
      <w:r>
        <w:rPr>
          <w:b/>
          <w:sz w:val="19"/>
        </w:rPr>
        <w:t xml:space="preserve">Übertragbarkeit: </w:t>
      </w:r>
      <w:r>
        <w:rPr>
          <w:sz w:val="19"/>
        </w:rPr>
        <w:t>China, vergleichbar mit Sozialversicherungssystemen; Blutungsparameter sind Routinemarkierungen</w:t>
      </w:r>
    </w:p>
    <w:p>
      <w:r>
        <w:rPr>
          <w:color w:val="5A7D3A"/>
          <w:sz w:val="18"/>
        </w:rPr>
        <w:t>https://pubmed.ncbi.nlm.nih.gov/42785974/</w:t>
      </w:r>
    </w:p>
    <w:p>
      <w:pPr>
        <w:pStyle w:val="Heading2"/>
      </w:pPr>
      <w:r>
        <w:t>Patient-Provider-Partnerschaft erhöht Advance-Care-Planning-Bereitschaft bei CKD-Patienten</w:t>
      </w:r>
    </w:p>
    <w:p>
      <w:r>
        <w:rPr>
          <w:i/>
          <w:color w:val="666666"/>
          <w:sz w:val="18"/>
        </w:rPr>
        <w:t>Hsu JR et al.  ·  Appl Nurs Res  ·  27.08.2026  ·  PMID 42785824</w:t>
      </w:r>
    </w:p>
    <w:p>
      <w:r>
        <w:t>Querschnittsstudie an 218 nichtdialysepflichtigen CKD-Patienten: Patient-Provider-Partnerschaft war stärkster unabhängiger Prädiktor der Bereitschaft zu Advance Care Planning (ACP), nicht aber Krankheitsstadium oder Nierenfunktion.</w:t>
      </w:r>
    </w:p>
    <w:p>
      <w:r>
        <w:rPr>
          <w:b/>
        </w:rPr>
        <w:t xml:space="preserve">Ergebnis: </w:t>
      </w:r>
      <w:r>
        <w:t>Patient-Provider-Partnerschaft erklärte 12,7 % der Varianz in ACP-Bereitschaft (vs. 6,1 % bei Demografie allein); höheres Alter und stärkere Partnerschaft waren assoziiert mit erhöhter Bereitschaft. ACP-Bereitschaft insgesamt niedrig bis moderat, besonders beim initialen Gespräch mit Fachkräften.</w:t>
      </w:r>
    </w:p>
    <w:p>
      <w:r>
        <w:rPr>
          <w:b/>
          <w:sz w:val="19"/>
        </w:rPr>
        <w:t xml:space="preserve">Übertragbarkeit: </w:t>
      </w:r>
      <w:r>
        <w:rPr>
          <w:sz w:val="19"/>
        </w:rPr>
        <w:t>Taiwan, ambulante Nephrologie; Übertragbarkeit auf Deutschland hängt von Arzt-Patient-Kommunikation ab</w:t>
      </w:r>
    </w:p>
    <w:p>
      <w:r>
        <w:rPr>
          <w:color w:val="5A7D3A"/>
          <w:sz w:val="18"/>
        </w:rPr>
        <w:t>https://pubmed.ncbi.nlm.nih.gov/42785824/</w:t>
      </w:r>
    </w:p>
    <w:p>
      <w:pPr>
        <w:pStyle w:val="Heading2"/>
      </w:pPr>
      <w:r>
        <w:t>Antihypertensive Medikation zeigt minimale Assoziation mit Lebensqualität bei CKD-Jugendlichen</w:t>
      </w:r>
    </w:p>
    <w:p>
      <w:r>
        <w:rPr>
          <w:i/>
          <w:color w:val="666666"/>
          <w:sz w:val="18"/>
        </w:rPr>
        <w:t>Botdorf M et al.  ·  Qual Life Res  ·  24.09.2026  ·  PMID 42782549</w:t>
      </w:r>
    </w:p>
    <w:p>
      <w:r>
        <w:t>Querschnittsanalyse von 395 Jugendlichen (8–21 J.) mit CKD und Hypertonie an 15 US-Zentren: Über 95 % berichten positive Versorgungserfahrungen; antihypertensive Medikamentenlast zeigte nur schwache Assoziation mit Lebensqualität, während körperliche Symptombelastung hoch ist.</w:t>
      </w:r>
    </w:p>
    <w:p>
      <w:r>
        <w:rPr>
          <w:b/>
        </w:rPr>
        <w:t xml:space="preserve">Ergebnis: </w:t>
      </w:r>
      <w:r>
        <w:t>Mehrere Medikamente (23 % der Kohorte) assoziiert mit leicht niedrigerem globalen Gesundheitswert (B –2,6; 95% CI –4,9 bis –0,3); keine Assoziationen mit anderen Lebensqualitätsdimensionen. Jugendliche berichten gesamthaft niedrigere QoL als allgemeine Bevölkerung, besonders in globalem Gesundheitswert und Müdigkeit.</w:t>
      </w:r>
    </w:p>
    <w:p>
      <w:r>
        <w:rPr>
          <w:b/>
          <w:sz w:val="19"/>
        </w:rPr>
        <w:t xml:space="preserve">Übertragbarkeit: </w:t>
      </w:r>
      <w:r>
        <w:rPr>
          <w:sz w:val="19"/>
        </w:rPr>
        <w:t>USA, spezialisierte Pädiatrie; Lebensqualitätsmessung übertragbar, Medikamentenlasten können variieren</w:t>
      </w:r>
    </w:p>
    <w:p>
      <w:r>
        <w:rPr>
          <w:color w:val="5A7D3A"/>
          <w:sz w:val="18"/>
        </w:rPr>
        <w:t>https://pubmed.ncbi.nlm.nih.gov/42782549/</w:t>
      </w:r>
    </w:p>
    <w:p>
      <w:pPr>
        <w:pStyle w:val="Heading2"/>
      </w:pPr>
      <w:r>
        <w:t>Mehrdimensionales Risiko-Screening identifiziert High-Risk-Gruppe mit 41 % aller Adverse Events bei älteren Patienten mit Mehrfacherkrankung</w:t>
      </w:r>
    </w:p>
    <w:p>
      <w:r>
        <w:rPr>
          <w:i/>
          <w:color w:val="666666"/>
          <w:sz w:val="18"/>
        </w:rPr>
        <w:t>Zhou MM et al.  ·  Front Public Health  ·  09.09.2026  ·  PMID 42780304</w:t>
      </w:r>
    </w:p>
    <w:p>
      <w:r>
        <w:t>Retrospektive Entwicklung und interne Validierung eines nomographischen Vorhersagemodells für 12-Monatsereignisse (ungeplante Hospitalisierung, ≥2 Notfallbesuche, funktionaler Niedergang, Mortalität) bei 690 älteren Erwachsenen (≥60 J.) mit Mehrfacherkrankung in China; 7 Prädiktoren identifiziert.</w:t>
      </w:r>
    </w:p>
    <w:p>
      <w:r>
        <w:rPr>
          <w:b/>
        </w:rPr>
        <w:t xml:space="preserve">Ergebnis: </w:t>
      </w:r>
      <w:r>
        <w:t>Modell zeigte gute Diskriminierung (AUC 0,847 Derivation, 0,831 bootstrap-validiert, 0,819 temporal); 41,2 % niedrig-, 42,0 % intermediär-, 16,8 % hochrisiko. Die hochrisiko-Gruppe (16,8 %) machte 41,1 % aller Ereignisse aus. Szenaroanalyse: modellgesteuerte Stratifizierung könnte Adverse Events um 25,3 % reduzieren.</w:t>
      </w:r>
    </w:p>
    <w:p>
      <w:r>
        <w:rPr>
          <w:b/>
          <w:sz w:val="19"/>
        </w:rPr>
        <w:t xml:space="preserve">Übertragbarkeit: </w:t>
      </w:r>
      <w:r>
        <w:rPr>
          <w:sz w:val="19"/>
        </w:rPr>
        <w:t>China, tertiäre Klinik; externe Validierung in primärer/sekundärer Versorgung erforderlich; Risiko-Alert und Monitoring-Stratifizierung übertragbar</w:t>
      </w:r>
    </w:p>
    <w:p>
      <w:r>
        <w:rPr>
          <w:color w:val="5A7D3A"/>
          <w:sz w:val="18"/>
        </w:rPr>
        <w:t>https://pubmed.ncbi.nlm.nih.gov/42780304/</w:t>
      </w:r>
    </w:p>
    <w:p>
      <w:pPr>
        <w:pStyle w:val="Heading2"/>
      </w:pPr>
      <w:r>
        <w:t>Triglycerid-Glucose-Waist-to-Height-Ratio vorhersagt neu auftretende Mehrfacherkrankung</w:t>
      </w:r>
    </w:p>
    <w:p>
      <w:r>
        <w:rPr>
          <w:i/>
          <w:color w:val="666666"/>
          <w:sz w:val="18"/>
        </w:rPr>
        <w:t>Shao Z et al.  ·  Cardiovasc Diabetol  ·  24.08.2026  ·  PMID 42778926</w:t>
      </w:r>
    </w:p>
    <w:p>
      <w:r>
        <w:t>Prospektive Kohortenanalyse von 4 nationalen Studien (CHARLS, ELSA, HRS, NHANES): TyG-WHtR (kombiniert Insulinresistenz und zentrale Adipositas) zeigte nichtlineare Dosis-Wirkungs-Assoziationen mit neuer Mehrfacherkrankung; Inflexionspunkte bei 5,92–6,69 je Kohorte.</w:t>
      </w:r>
    </w:p>
    <w:p>
      <w:r>
        <w:rPr>
          <w:b/>
        </w:rPr>
        <w:t xml:space="preserve">Ergebnis: </w:t>
      </w:r>
      <w:r>
        <w:t>Höchste vs. niedrigste TyG-WHtR-Quartile assoziiert mit incident multimorbidity: HR 1,87 (95% CI 1,59–2,21) in CHARLS, 1,67 (1,30–2,15) in ELSA, 1,57 (1,08–2,29) in HRS; TyG-WHtR hatte größte AUC in beiden Querschnittsstichproben und zwei Längsschnittkohorten.</w:t>
      </w:r>
    </w:p>
    <w:p>
      <w:r>
        <w:rPr>
          <w:b/>
          <w:sz w:val="19"/>
        </w:rPr>
        <w:t xml:space="preserve">Übertragbarkeit: </w:t>
      </w:r>
      <w:r>
        <w:rPr>
          <w:sz w:val="19"/>
        </w:rPr>
        <w:t>China, England, USA; Mehrfacherkrankung ist Regelfall; provisorischer Risiko-Alert ca. 5–7 benötigt externe Validierung</w:t>
      </w:r>
    </w:p>
    <w:p>
      <w:r>
        <w:rPr>
          <w:color w:val="5A7D3A"/>
          <w:sz w:val="18"/>
        </w:rPr>
        <w:t>https://pubmed.ncbi.nlm.nih.gov/42778926/</w:t>
      </w:r>
    </w:p>
    <w:p>
      <w:pPr>
        <w:pStyle w:val="Heading2"/>
      </w:pPr>
      <w:r>
        <w:t>Rauchen und chronische Erkrankungen: Versorgungsungleichheit bei vulnerablen Populationen</w:t>
      </w:r>
    </w:p>
    <w:p>
      <w:r>
        <w:rPr>
          <w:i/>
          <w:color w:val="666666"/>
          <w:sz w:val="18"/>
        </w:rPr>
        <w:t>Higgins ST  ·  Prev Med  ·  25.10.2025  ·  PMID 42777124</w:t>
      </w:r>
    </w:p>
    <w:p>
      <w:r>
        <w:t>Editorischer Überblick zu 13 Fachabhandlungen einer US-Konferenz 2024 über Schnittstellen zwischen Tabakgebrauch, anderen Süchten, chronischen Krankheiten und Gesundheitsungleichheiten; Rauchen bleibt führende vermeidbare Todesursache in den USA (ca. 450.000 Tote/Jahr).</w:t>
      </w:r>
    </w:p>
    <w:p>
      <w:r>
        <w:rPr>
          <w:b/>
        </w:rPr>
        <w:t xml:space="preserve">Ergebnis: </w:t>
      </w:r>
      <w:r>
        <w:t>Die Sonderausgabe zeigt überproportionale Auswirkungen von Rauchen in vulnerablen Populationen, Verflechtungen mit weiteren Abhängigkeiten, Mehrfacherkrankungen und Gesundheitsungleichheiten; dokumentiert klinische und regulatorische Interventionen zur Reduktion und Prävention assoziierter Gesundheitsschäden.</w:t>
      </w:r>
    </w:p>
    <w:p>
      <w:r>
        <w:rPr>
          <w:b/>
          <w:sz w:val="19"/>
        </w:rPr>
        <w:t xml:space="preserve">Übertragbarkeit: </w:t>
      </w:r>
      <w:r>
        <w:rPr>
          <w:sz w:val="19"/>
        </w:rPr>
        <w:t>USA; regulatorische und klinische Strategien sind teilweise übertragbar, strukturelle Unterschiede erheblich</w:t>
      </w:r>
    </w:p>
    <w:p>
      <w:r>
        <w:rPr>
          <w:color w:val="5A7D3A"/>
          <w:sz w:val="18"/>
        </w:rPr>
        <w:t>https://pubmed.ncbi.nlm.nih.gov/42777124/</w:t>
      </w:r>
    </w:p>
    <w:p>
      <w:pPr>
        <w:pStyle w:val="Heading2"/>
      </w:pPr>
      <w:r>
        <w:t>Physiotherapie in der Territorialversorgung verbessert Kontinuität chronischer Erkrankungen</w:t>
      </w:r>
    </w:p>
    <w:p>
      <w:r>
        <w:rPr>
          <w:i/>
          <w:color w:val="666666"/>
          <w:sz w:val="18"/>
        </w:rPr>
        <w:t>Piacenza A et al.  ·  Ig Sanita Pubbl  ·  Juli 2026  ·  PMID 42776156</w:t>
      </w:r>
    </w:p>
    <w:p>
      <w:r>
        <w:t>Narrative Analyse zur Neugestaltung italienischer Rehabilitationspfade: Das Ministerialekret 77/2022 verlangt mehr direkte Verantwortung von Physiotherapeuten für Kontinuität, während bisherige Vorschriften fragmentierte Übergänge erzwingen; Pilotprojekte zeigen Machbarkeit und positive Effekte auf funktionelle Erholung und Ressourcennutzung.</w:t>
      </w:r>
    </w:p>
    <w:p>
      <w:r>
        <w:rPr>
          <w:b/>
        </w:rPr>
        <w:t xml:space="preserve">Ergebnis: </w:t>
      </w:r>
      <w:r>
        <w:t>Internationale Modelle und italienische Pilotprojekte belegen, dass physiotherapeutengeleitete Bewertung und Monitoring sowie einheitliche, zeitlich aktualisierte Rehabilitationsprojekte die Patientenzufriedenheit erhöhen und die Ressourcenallokation verbessern – die fragmentierte Regelpraxis führt zu verzögertem Therapiestart und unzureichender Physiotherapie-Integration.</w:t>
      </w:r>
    </w:p>
    <w:p>
      <w:r>
        <w:rPr>
          <w:b/>
          <w:sz w:val="19"/>
        </w:rPr>
        <w:t xml:space="preserve">Übertragbarkeit: </w:t>
      </w:r>
      <w:r>
        <w:rPr>
          <w:sz w:val="19"/>
        </w:rPr>
        <w:t>Italien, vergleichbares Sozialversicherungssystem; Implementierung an Versorgungsstruktur und Regulierung gebunden</w:t>
      </w:r>
    </w:p>
    <w:p>
      <w:r>
        <w:rPr>
          <w:color w:val="5A7D3A"/>
          <w:sz w:val="18"/>
        </w:rPr>
        <w:t>https://pubmed.ncbi.nlm.nih.gov/42776156/</w:t>
      </w:r>
    </w:p>
    <w:p>
      <w:pPr>
        <w:pStyle w:val="Heading1"/>
      </w:pPr>
      <w:r>
        <w:t>Aufgenommen am 24.09.2026</w:t>
      </w:r>
    </w:p>
    <w:p>
      <w:pPr>
        <w:pStyle w:val="Heading2"/>
      </w:pPr>
      <w:r>
        <w:t>Früher systemischer Lupus erythematosus: Fast-Track zu Mehrfacherkrankung bei hoher Flareaktivität</w:t>
      </w:r>
    </w:p>
    <w:p>
      <w:r>
        <w:rPr>
          <w:i/>
          <w:color w:val="666666"/>
          <w:sz w:val="18"/>
        </w:rPr>
        <w:t>Nikoloudaki M et al.  ·  RMD Open  ·  23.09.2026  ·  PMID 42778333</w:t>
      </w:r>
    </w:p>
    <w:p>
      <w:r>
        <w:t>Inception-Kohorte von 311 SLE-Patienten mit ≤2 Jahren Erkrankungsdauer und 5-jähriger Nachbeobachtung untersuchte Trajektorien der Mehrfacherkrankungsentwicklung und deren Prädiktoren.</w:t>
      </w:r>
    </w:p>
    <w:p>
      <w:r>
        <w:rPr>
          <w:b/>
        </w:rPr>
        <w:t xml:space="preserve">Ergebnis: </w:t>
      </w:r>
      <w:r>
        <w:t>45% der Patienten zeigte accelerierte Mehrfacherkrankungszunahme mit drei Phänotypen: metabolisch-psychiatrisch (65,7% mit ≥2 Erkrankungen) und kardiopulmonal-muskuloskelettal (100%). Schwere Flares (≥20% der Zeit; OR 2,10) und Glukokortikoidexposition (OR 1,06 pro 10 mg/Tag) während der ersten 24 Monate waren unabhängig mit schneller Progression assoziiert. Fast-accruer zeigten weniger Remission und mehr Schäden (IRR 2,28–3,27).</w:t>
      </w:r>
    </w:p>
    <w:p>
      <w:r>
        <w:rPr>
          <w:b/>
          <w:sz w:val="19"/>
        </w:rPr>
        <w:t xml:space="preserve">Übertragbarkeit: </w:t>
      </w:r>
      <w:r>
        <w:rPr>
          <w:sz w:val="19"/>
        </w:rPr>
        <w:t>Griechenland und Italien, europäische Universitätskliniken, vergleichbare SLE-Versorgungsstandards</w:t>
      </w:r>
    </w:p>
    <w:p>
      <w:r>
        <w:rPr>
          <w:color w:val="5A7D3A"/>
          <w:sz w:val="18"/>
        </w:rPr>
        <w:t>https://pubmed.ncbi.nlm.nih.gov/42778333/</w:t>
      </w:r>
    </w:p>
    <w:p>
      <w:pPr>
        <w:pStyle w:val="Heading2"/>
      </w:pPr>
      <w:r>
        <w:t>CAT-Score-Variabilität vorhersagt COPD-Exazerbationen in virtueller Assistenz-Überwachung</w:t>
      </w:r>
    </w:p>
    <w:p>
      <w:r>
        <w:rPr>
          <w:i/>
          <w:color w:val="666666"/>
          <w:sz w:val="18"/>
        </w:rPr>
        <w:t>Aljama C et al.  ·  Adv Respir Med  ·  07.09.2026  ·  PMID 42776698</w:t>
      </w:r>
    </w:p>
    <w:p>
      <w:r>
        <w:t>Prospektive Beobachtungsstudie mit 106 COPD-Patienten mit Exazerbator-Phänotyp nutzte wöchentliche CAT-Messungen durch virtuellen Assistenten zur Vorhersage von Exazerbationen über ein Jahr.</w:t>
      </w:r>
    </w:p>
    <w:p>
      <w:r>
        <w:rPr>
          <w:b/>
        </w:rPr>
        <w:t xml:space="preserve">Ergebnis: </w:t>
      </w:r>
      <w:r>
        <w:t>73 von 106 Patienten (69%) erlitten ≥1 Exazerbation (192 Episoden, 26% mit Hospitalisierung). Jeder 1-Punkt-Anstieg im CAT-Score war mit 11,1% erhöhtem Exazerbationsrisiko assoziiert (OR 1,11; 95%-KI 1,08–1,13). Wöchentliche Variabilität ≥2 Punkte (MCID) war mit sechsfach erhöhtem Risiko verbunden (OR 6,30; 95%-KI 4,28–9,27). Optimaler Cut-off für CAT-Änderung: 3 Punkte (ROC 0,773).</w:t>
      </w:r>
    </w:p>
    <w:p>
      <w:r>
        <w:rPr>
          <w:b/>
          <w:sz w:val="19"/>
        </w:rPr>
        <w:t xml:space="preserve">Übertragbarkeit: </w:t>
      </w:r>
      <w:r>
        <w:rPr>
          <w:sz w:val="19"/>
        </w:rPr>
        <w:t>Spanien/Brasilien, aber App-basiert; Übertragbarkeit auf deutsche Telemedizin-Strukturen bedingt</w:t>
      </w:r>
    </w:p>
    <w:p>
      <w:r>
        <w:rPr>
          <w:color w:val="5A7D3A"/>
          <w:sz w:val="18"/>
        </w:rPr>
        <w:t>https://pubmed.ncbi.nlm.nih.gov/42776698/</w:t>
      </w:r>
    </w:p>
    <w:p>
      <w:pPr>
        <w:pStyle w:val="Heading2"/>
      </w:pPr>
      <w:r>
        <w:t>Netzwerk-Metaanalyse: GLP-1RA, SGLT2i und nsMRA für kardiorenale Outcomes bei Typ-2-Diabetes mit CKD</w:t>
      </w:r>
    </w:p>
    <w:p>
      <w:r>
        <w:rPr>
          <w:i/>
          <w:color w:val="666666"/>
          <w:sz w:val="18"/>
        </w:rPr>
        <w:t>Chen H et al.  ·  Front Endocrinol (Lausanne)  ·  08.09.2026  ·  PMID 42775225</w:t>
      </w:r>
    </w:p>
    <w:p>
      <w:r>
        <w:t>Systematische Übersicht und frequentistische Netzwerk-Metaanalyse von 21 RCTs mit 51.899 Patienten verglich kardiorenale Effektivität und Sicherheit von GLP-1RAs, SGLT2i und nsMRAs.</w:t>
      </w:r>
    </w:p>
    <w:p>
      <w:r>
        <w:rPr>
          <w:b/>
        </w:rPr>
        <w:t xml:space="preserve">Ergebnis: </w:t>
      </w:r>
      <w:r>
        <w:t>Versus Placebo: SGLT2i reduzierten Risiko von MACE, majorem Nieren-Komposit und Herzinsuffizienz-Hospitalisierung; GLP-1RAs reduzierten MACE, Nieren-Komposit, Herzinsuffizienz, Mortalität und kardiovaskulärer Tod; nsMRA reduzierten Nieren-Komposit und Herzinsuffizienz. Indirekte Vergleiche: SGLT2i günstiger für Nieren (RR 0,77 vs GLP-1RA), SGLT2i günstiger für Herzinsuffizienz versus nsMRA. Hyperkalämie mit nsMRA häufiger.</w:t>
      </w:r>
    </w:p>
    <w:p>
      <w:r>
        <w:rPr>
          <w:b/>
          <w:sz w:val="19"/>
        </w:rPr>
        <w:t xml:space="preserve">Übertragbarkeit: </w:t>
      </w:r>
      <w:r>
        <w:rPr>
          <w:sz w:val="19"/>
        </w:rPr>
        <w:t>Globale RCT-Evidenz, aber keine deutschen Subgruppen; Übertragbarkeit für DMP-Strukturen hoch</w:t>
      </w:r>
    </w:p>
    <w:p>
      <w:r>
        <w:rPr>
          <w:color w:val="5A7D3A"/>
          <w:sz w:val="18"/>
        </w:rPr>
        <w:t>https://pubmed.ncbi.nlm.nih.gov/42775225/</w:t>
      </w:r>
    </w:p>
    <w:p>
      <w:pPr>
        <w:pStyle w:val="Heading2"/>
      </w:pPr>
      <w:r>
        <w:t>Kindheitliche Benachteiligung erhöht Risiko für Behinderung und Mehrfacherkrankung im Alter</w:t>
      </w:r>
    </w:p>
    <w:p>
      <w:r>
        <w:rPr>
          <w:i/>
          <w:color w:val="666666"/>
          <w:sz w:val="18"/>
        </w:rPr>
        <w:t>Zhou T et al.  ·  Front Public Health  ·  08.09.2026  ·  PMID 42774187</w:t>
      </w:r>
    </w:p>
    <w:p>
      <w:r>
        <w:t>Prospektive Analyse von Daten aus ELSA und SHARE-Kohorten untersuchte, ob Armut und gesundheitliche Belastungen in der Kindheit das Risiko für Behinderung und Mehrfacherkrankung im späteren Leben vorhersagen.</w:t>
      </w:r>
    </w:p>
    <w:p>
      <w:r>
        <w:rPr>
          <w:b/>
        </w:rPr>
        <w:t xml:space="preserve">Ergebnis: </w:t>
      </w:r>
      <w:r>
        <w:t>Höchste Kindheitsadversität war mit erhöhtem Risiko für Aktivitätsbeschränkungen (HR 1,43; 95%-KI 1,09–1,87) und Mehrfacherkrankung (HR 1,35; 95%-KI 1,02–1,80) assoziiert. In SHARE erhöhte sich das Risiko für Aktivitätsbeschränkungen und Mehrfacherkrankung ebenfalls signifikant. Die Befunde zeigen anhaltende Auswirkungen früher Nachteiligung auf die Gesundheit im Alter.</w:t>
      </w:r>
    </w:p>
    <w:p>
      <w:r>
        <w:rPr>
          <w:b/>
          <w:sz w:val="19"/>
        </w:rPr>
        <w:t xml:space="preserve">Übertragbarkeit: </w:t>
      </w:r>
      <w:r>
        <w:rPr>
          <w:sz w:val="19"/>
        </w:rPr>
        <w:t>Großbritannien und Europa, vergleichbare Langzeitkohortendesigns</w:t>
      </w:r>
    </w:p>
    <w:p>
      <w:r>
        <w:rPr>
          <w:color w:val="5A7D3A"/>
          <w:sz w:val="18"/>
        </w:rPr>
        <w:t>https://pubmed.ncbi.nlm.nih.gov/42774187/</w:t>
      </w:r>
    </w:p>
    <w:p>
      <w:pPr>
        <w:pStyle w:val="Heading2"/>
      </w:pPr>
      <w:r>
        <w:t>Chronische spontane Urtikaria in Finnland: Versorgungslücken in Behandlung und Monitoring</w:t>
      </w:r>
    </w:p>
    <w:p>
      <w:r>
        <w:rPr>
          <w:i/>
          <w:color w:val="666666"/>
          <w:sz w:val="18"/>
        </w:rPr>
        <w:t>Sinikumpu SP et al.  ·  Acta Derm Venereol  ·  22.09.2026  ·  PMID 42770913</w:t>
      </w:r>
    </w:p>
    <w:p>
      <w:r>
        <w:t>Landesweite Registerstudie analysierte Epidemiologie und Behandlungsmuster von chronischer spontaner Urtikaria in finnischen Fachkliniken 2001–2023.</w:t>
      </w:r>
    </w:p>
    <w:p>
      <w:r>
        <w:rPr>
          <w:b/>
        </w:rPr>
        <w:t xml:space="preserve">Ergebnis: </w:t>
      </w:r>
      <w:r>
        <w:t>Unter 8.784 Patienten erhielten 85,8% Antihistaminika und 36,1% benötigten gleichzeitig Kortikosteroide, was auf suboptimale Kontrolle hindeutet. Nur 8,5% erhielten Omalizumab, Median 9 Monate nach Antihistamininitiation. Hochkomorbidität mit Asthma, Hypertonie und Depression. Die Befunde deuten auf Verzögerungen in der Eskalation zur biologischen Therapie und mangelnde Krankheitskontrolle hin.</w:t>
      </w:r>
    </w:p>
    <w:p>
      <w:r>
        <w:rPr>
          <w:b/>
          <w:sz w:val="19"/>
        </w:rPr>
        <w:t xml:space="preserve">Übertragbarkeit: </w:t>
      </w:r>
      <w:r>
        <w:rPr>
          <w:sz w:val="19"/>
        </w:rPr>
        <w:t>Finnland, nordisches Gesundheitssystem, vergleichbare Vergütungsstrukturen</w:t>
      </w:r>
    </w:p>
    <w:p>
      <w:r>
        <w:rPr>
          <w:color w:val="5A7D3A"/>
          <w:sz w:val="18"/>
        </w:rPr>
        <w:t>https://pubmed.ncbi.nlm.nih.gov/42770913/</w:t>
      </w:r>
    </w:p>
    <w:p>
      <w:pPr>
        <w:pStyle w:val="Heading2"/>
      </w:pPr>
      <w:r>
        <w:t>Rehabilitation bei älteren Patienten mit COPD und Post-COVID-Syndrom in Kirgistan zeigte Unterschiede nach Region</w:t>
      </w:r>
    </w:p>
    <w:p>
      <w:r>
        <w:rPr>
          <w:i/>
          <w:color w:val="666666"/>
          <w:sz w:val="18"/>
        </w:rPr>
        <w:t>Zhorobekova M et al.  ·  Georgian Med News  ·  Mai 2026  ·  PMID 42600600</w:t>
      </w:r>
    </w:p>
    <w:p>
      <w:r>
        <w:t>Gemischte Methoden-Studie untersuchte medizinische und soziale Rehabilitation von älteren Patienten mit COPD und/oder Post-COVID-Syndrom in urbanen versus hochalpinen Regionen Kirgistans.</w:t>
      </w:r>
    </w:p>
    <w:p>
      <w:r>
        <w:rPr>
          <w:b/>
        </w:rPr>
        <w:t xml:space="preserve">Ergebnis: </w:t>
      </w:r>
      <w:r>
        <w:t>Patienten mit beiden Erkrankungen zeigten höchste Inflammationsmarker und stärkste Lungenfunktionseinschränkung (FEV1 48,5% Soll). In hochalpinen Gebieten niedrigere Sauerstoffsättigung und höhere Fatigue durch chronische Hypoxie. Rehabilitationsergebnisse besser in urbanen Gebieten mit besserer Infrastruktur und Sauerstofftherapie-Zugang. Die Studie unterstreicht Bedeutung adaptierter, regionalisierter Rehabilitationsstrategien.</w:t>
      </w:r>
    </w:p>
    <w:p>
      <w:r>
        <w:rPr>
          <w:b/>
          <w:sz w:val="19"/>
        </w:rPr>
        <w:t xml:space="preserve">Übertragbarkeit: </w:t>
      </w:r>
      <w:r>
        <w:rPr>
          <w:sz w:val="19"/>
        </w:rPr>
        <w:t>Zentralasien, limitierte Ressourcenlage, zeigt Notwendigkeit dezentraler Versorgungsmodelle</w:t>
      </w:r>
    </w:p>
    <w:p>
      <w:r>
        <w:rPr>
          <w:color w:val="5A7D3A"/>
          <w:sz w:val="18"/>
        </w:rPr>
        <w:t>https://pubmed.ncbi.nlm.nih.gov/42600600/</w:t>
      </w:r>
    </w:p>
    <w:p>
      <w:pPr>
        <w:pStyle w:val="Heading1"/>
      </w:pPr>
      <w:r>
        <w:t>Aufgenommen am 23.09.2026</w:t>
      </w:r>
    </w:p>
    <w:p>
      <w:pPr>
        <w:pStyle w:val="Heading2"/>
      </w:pPr>
      <w:r>
        <w:t>Ultra-verarbeitete Lebensmittel erhöhen Risiko für Mehrfacherkrankungen: Dose-Wirkungs-Analyse mit 8,8 Millionen Teilnehmern</w:t>
      </w:r>
    </w:p>
    <w:p>
      <w:r>
        <w:rPr>
          <w:i/>
          <w:color w:val="666666"/>
          <w:sz w:val="18"/>
        </w:rPr>
        <w:t>Liu X et al.  ·  Fam Med Community Health  ·  22.09.2026  ·  PMID 42773062</w:t>
      </w:r>
    </w:p>
    <w:p>
      <w:r>
        <w:t>Dosisabhängige Metaanalyse von 51 prospektiven Kohortenstudien (n=8.819.894 Erwachsene) untersuchte Assoziation zwischen Ultra-Verarbeitete-Lebensmittel-Konsum und Krankheitslast chronischer nicht-übertragbarer Erkrankungen.</w:t>
      </w:r>
    </w:p>
    <w:p>
      <w:r>
        <w:rPr>
          <w:b/>
        </w:rPr>
        <w:t xml:space="preserve">Ergebnis: </w:t>
      </w:r>
      <w:r>
        <w:t>Erhöhter Ultra-Verarbeitete-Lebensmittel-Konsum assoziiert mit kardiovaskulären Ereignissen (HR 1,24, 95% KI 1,14–1,36), Krebs (HR 1,12, 95% KI 1,04–1,21), Adipositas (HR 1,23), metabolisches Syndrom/Diabetes (HR 1,24), Depression/Angst (HR 1,27), Verdauungserkrankungen (HR 1,31) und Mortalität (HR 1,18). Pro 100 g/Tag: Kardiovaskulär HR 1,14, Krebs HR 1,04, Mortalität HR 1,03.</w:t>
      </w:r>
    </w:p>
    <w:p>
      <w:r>
        <w:rPr>
          <w:b/>
          <w:sz w:val="19"/>
        </w:rPr>
        <w:t xml:space="preserve">Übertragbarkeit: </w:t>
      </w:r>
      <w:r>
        <w:rPr>
          <w:sz w:val="19"/>
        </w:rPr>
        <w:t>Bevölkerungsstudien aus LMIC und Hocheinkommensländern; Ernährungsprävention universell anwendbar.</w:t>
      </w:r>
    </w:p>
    <w:p>
      <w:r>
        <w:rPr>
          <w:color w:val="5A7D3A"/>
          <w:sz w:val="18"/>
        </w:rPr>
        <w:t>https://pubmed.ncbi.nlm.nih.gov/42773062/</w:t>
      </w:r>
    </w:p>
    <w:p>
      <w:pPr>
        <w:pStyle w:val="Heading2"/>
      </w:pPr>
      <w:r>
        <w:t>Hepatitis-C-Versorgungslücken bei australischen First Nations: Weg zur Elimination bis 2030</w:t>
      </w:r>
    </w:p>
    <w:p>
      <w:r>
        <w:rPr>
          <w:i/>
          <w:color w:val="666666"/>
          <w:sz w:val="18"/>
        </w:rPr>
        <w:t>Ward J et al.  ·  Med J Aust  ·  Sept. 2026  ·  PMID 42772855</w:t>
      </w:r>
    </w:p>
    <w:p>
      <w:r>
        <w:t>Analyse der Hepatitis-C-Versorgung unter australischen First Nations zeigte, dass diese Bevölkerung überproportional betroffen ist (18% der chronischen Fälle bei 4% der Bevölkerung), aber langsamere Therapieaufnahme hat als nicht-indigene Australier.</w:t>
      </w:r>
    </w:p>
    <w:p>
      <w:r>
        <w:rPr>
          <w:b/>
        </w:rPr>
        <w:t xml:space="preserve">Ergebnis: </w:t>
      </w:r>
      <w:r>
        <w:t>First Nations Australians haben trotz Überrepräsentation mit 18% der chronischen Hepatitis-C-Fälle langsamere Aufnahme von Direct-Acting-Antiviral-Therapie als nicht-indigene Australier. Erreichung der nationalen Eliminationsziele bis 2030 erfordert Strategien mit Equity-Framework zur Schließung von Versorgungslücken.</w:t>
      </w:r>
    </w:p>
    <w:p>
      <w:r>
        <w:rPr>
          <w:b/>
          <w:sz w:val="19"/>
        </w:rPr>
        <w:t xml:space="preserve">Übertragbarkeit: </w:t>
      </w:r>
      <w:r>
        <w:rPr>
          <w:sz w:val="19"/>
        </w:rPr>
        <w:t>Australien, vergleichbare Inequity-Strukturen; zeigt Versorgungsbarrieren für marginalisierte Gruppen.</w:t>
      </w:r>
    </w:p>
    <w:p>
      <w:r>
        <w:rPr>
          <w:color w:val="5A7D3A"/>
          <w:sz w:val="18"/>
        </w:rPr>
        <w:t>https://pubmed.ncbi.nlm.nih.gov/42772855/</w:t>
      </w:r>
    </w:p>
    <w:p>
      <w:pPr>
        <w:pStyle w:val="Heading2"/>
      </w:pPr>
      <w:r>
        <w:t>Physiotherapie-Assistenten erhöhten Mobilisierungsfrequenz bei älteren Patienten mit Mehrfacherkrankungen im Krankenhaus</w:t>
      </w:r>
    </w:p>
    <w:p>
      <w:r>
        <w:rPr>
          <w:i/>
          <w:color w:val="666666"/>
          <w:sz w:val="18"/>
        </w:rPr>
        <w:t>Snowdon DA et al.  ·  Age Ageing  ·  04.09.2026  ·  PMID 42771780</w:t>
      </w:r>
    </w:p>
    <w:p>
      <w:r>
        <w:t>Machbarkeitsstudie (n=61, mittleres Alter 77 Jahre) untersuchte, ob Physio-Assistenten unter Supervision von Physiotherapeuten die Mobilisierungsintensität bei hospitalisierten älteren Patienten mit Mehrfacherkrankungen erhöhen können.</w:t>
      </w:r>
    </w:p>
    <w:p>
      <w:r>
        <w:rPr>
          <w:b/>
        </w:rPr>
        <w:t xml:space="preserve">Ergebnis: </w:t>
      </w:r>
      <w:r>
        <w:t>Patienten mit Physio-Assistent erhielten durchschnittlich 12 Minuten mehr Therapie pro Tag als Physiotherapie-Gruppe (95% KI 6–17). Patienten mit Assistent liefen häufiger (66% vs. 59% der Tage), mittlere Hospitalisierungsdauer war 3 Tage kürzer, akute Kosten $1.425 niedriger. Unerwünschte Ereignisse waren vergleichbar.</w:t>
      </w:r>
    </w:p>
    <w:p>
      <w:r>
        <w:rPr>
          <w:b/>
          <w:sz w:val="19"/>
        </w:rPr>
        <w:t xml:space="preserve">Übertragbarkeit: </w:t>
      </w:r>
      <w:r>
        <w:rPr>
          <w:sz w:val="19"/>
        </w:rPr>
        <w:t>Australien, stationäre Struktur; übertragbar auf Akutkrankenhäuser mit multiprofessionellen Teams.</w:t>
      </w:r>
    </w:p>
    <w:p>
      <w:r>
        <w:rPr>
          <w:color w:val="5A7D3A"/>
          <w:sz w:val="18"/>
        </w:rPr>
        <w:t>https://pubmed.ncbi.nlm.nih.gov/42771780/</w:t>
      </w:r>
    </w:p>
    <w:p>
      <w:pPr>
        <w:pStyle w:val="Heading2"/>
      </w:pPr>
      <w:r>
        <w:t>Melatonin zeigte Trend zur Reduktion COPD-bedingter Krankenhausaufnahmen, aber nicht zur Rauchentwöhnung</w:t>
      </w:r>
    </w:p>
    <w:p>
      <w:r>
        <w:rPr>
          <w:i/>
          <w:color w:val="666666"/>
          <w:sz w:val="18"/>
        </w:rPr>
        <w:t>Gholinataj Jelodar M et al.  ·  Can Respir J  ·  2026  ·  PMID 42770942</w:t>
      </w:r>
    </w:p>
    <w:p>
      <w:r>
        <w:t>Randomisierte, dreifach verblindete Studie (n=60 männliche COPD-Patienten mit Rauchen) untersuchte über 180 Tage, ob Melatonin (5 mg) Nikotinabhängigkeit und COPD-Exazerbationen reduziert.</w:t>
      </w:r>
    </w:p>
    <w:p>
      <w:r>
        <w:rPr>
          <w:b/>
        </w:rPr>
        <w:t xml:space="preserve">Ergebnis: </w:t>
      </w:r>
      <w:r>
        <w:t>Beide Gruppen zeigten Reduktion der Zigarettenkonsum und Verbesserung psychologischer Scores ohne signifikante Gruppenunterschiede. COPD-Exazerbations-Hospitalisierungen waren im Melatonin-Arm numerisch niedriger (4% vs. 24%, Placebo), aber nicht statistisch signifikant. Melatonin hatte keinen Effekt auf Rauchentwöhnung oder psychische Outcomes.</w:t>
      </w:r>
    </w:p>
    <w:p>
      <w:r>
        <w:rPr>
          <w:b/>
          <w:sz w:val="19"/>
        </w:rPr>
        <w:t xml:space="preserve">Übertragbarkeit: </w:t>
      </w:r>
      <w:r>
        <w:rPr>
          <w:sz w:val="19"/>
        </w:rPr>
        <w:t>Iran; begrenzte Anwendbarkeit; exploratorischer Befund bedarf größerer, adequat gepowerter Studien.</w:t>
      </w:r>
    </w:p>
    <w:p>
      <w:r>
        <w:rPr>
          <w:color w:val="5A7D3A"/>
          <w:sz w:val="18"/>
        </w:rPr>
        <w:t>https://pubmed.ncbi.nlm.nih.gov/42770942/</w:t>
      </w:r>
    </w:p>
    <w:p>
      <w:pPr>
        <w:pStyle w:val="Heading2"/>
      </w:pPr>
      <w:r>
        <w:t>Qualitätsverbesserung bei COPD-Patienten mit hohem Risiko: Lektionen aus dem CONQUEST-Programm</w:t>
      </w:r>
    </w:p>
    <w:p>
      <w:r>
        <w:rPr>
          <w:i/>
          <w:color w:val="666666"/>
          <w:sz w:val="18"/>
        </w:rPr>
        <w:t>Halpin DMG et al.  ·  Prim Health Care Res Dev  ·  22.09.2026  ·  PMID 42770200</w:t>
      </w:r>
    </w:p>
    <w:p>
      <w:r>
        <w:t>Das CONQUEST-Programm identifizierte COPD-Patienten mit hohem Komplikationsrisiko in der britischen Primärversorgung und optimierte deren Management durch strukturierte Versorgungspfade mit Datenüberwachung und ressourcenplanung.</w:t>
      </w:r>
    </w:p>
    <w:p>
      <w:r>
        <w:rPr>
          <w:b/>
        </w:rPr>
        <w:t xml:space="preserve">Ergebnis: </w:t>
      </w:r>
      <w:r>
        <w:t>Das Programm identifizierte COPD-Patienten mit erhöhtem Risiko für unerwünschte Ereignisse bei geringer Patientenzahl pro Praxis erfolgreich. Schlüssellektionen: Qualitätverbesserungsprogramme müssen flexibel für lokale Kontexte adaptierbar sein, frühzeitige Datenüberwachung ermöglicht effiziente Problemlösung, und ressourcenplanung ist für die praktische Umsetzung unerlässlich.</w:t>
      </w:r>
    </w:p>
    <w:p>
      <w:r>
        <w:rPr>
          <w:b/>
          <w:sz w:val="19"/>
        </w:rPr>
        <w:t xml:space="preserve">Übertragbarkeit: </w:t>
      </w:r>
      <w:r>
        <w:rPr>
          <w:sz w:val="19"/>
        </w:rPr>
        <w:t>UK-Primärversorgung mit Case-Management-Struktur; transferierbar auf deutsche Hausarztpraxen mit DMP-Koordination.</w:t>
      </w:r>
    </w:p>
    <w:p>
      <w:r>
        <w:rPr>
          <w:color w:val="5A7D3A"/>
          <w:sz w:val="18"/>
        </w:rPr>
        <w:t>https://pubmed.ncbi.nlm.nih.gov/42770200/</w:t>
      </w:r>
    </w:p>
    <w:p>
      <w:pPr>
        <w:pStyle w:val="Heading2"/>
      </w:pPr>
      <w:r>
        <w:t>Exergaming verbesserte Balance und Gehfunktion bei älteren Patienten mit chronischen Erkrankungen</w:t>
      </w:r>
    </w:p>
    <w:p>
      <w:r>
        <w:rPr>
          <w:i/>
          <w:color w:val="666666"/>
          <w:sz w:val="18"/>
        </w:rPr>
        <w:t>Ge B et al.  ·  Front Public Health  ·  07.09.2026  ·  PMID 42769539</w:t>
      </w:r>
    </w:p>
    <w:p>
      <w:r>
        <w:t>Systematische Übersichtsarbeit mit Metaanalyse von 11 RCTs (n=älter Erwachsene ≥60 Jahre mit chronischen Erkrankungen in der Gemeinde) untersuchte Effekte von Exergaming auf Balance und funktionale Mobilität.</w:t>
      </w:r>
    </w:p>
    <w:p>
      <w:r>
        <w:rPr>
          <w:b/>
        </w:rPr>
        <w:t xml:space="preserve">Ergebnis: </w:t>
      </w:r>
      <w:r>
        <w:t>Exergaming verbesserte signifikant Balance (gemessen Berg Balance Scale, MD=2,93, 95% KI 0,44–5,41, p=0,021) und dynamische Gehfähigkeit (Dynamic Gait Index, MD=0,72, 95% KI 0,09–1,35, p=0,025). Größere Vorteile bei ≥8 Wochen Dauer und überwachtem Training. Heterogenität niedrig bis moderat.</w:t>
      </w:r>
    </w:p>
    <w:p>
      <w:r>
        <w:rPr>
          <w:b/>
          <w:sz w:val="19"/>
        </w:rPr>
        <w:t xml:space="preserve">Übertragbarkeit: </w:t>
      </w:r>
      <w:r>
        <w:rPr>
          <w:sz w:val="19"/>
        </w:rPr>
        <w:t>Internationale RCTs, Community-Setting; methodisch hochwertig aber Transferbarkeit auf Primärversorgung unklar.</w:t>
      </w:r>
    </w:p>
    <w:p>
      <w:r>
        <w:rPr>
          <w:color w:val="5A7D3A"/>
          <w:sz w:val="18"/>
        </w:rPr>
        <w:t>https://pubmed.ncbi.nlm.nih.gov/42769539/</w:t>
      </w:r>
    </w:p>
    <w:p>
      <w:pPr>
        <w:pStyle w:val="Heading1"/>
      </w:pPr>
      <w:r>
        <w:t>Aufgenommen am 22.09.2026</w:t>
      </w:r>
    </w:p>
    <w:p>
      <w:pPr>
        <w:pStyle w:val="Heading2"/>
      </w:pPr>
      <w:r>
        <w:t>Tragbarer Sauerstoff bei belastungsinduzierter Hypoxämie: Nicht-Unterlegenheit zu Umgebungsluft</w:t>
      </w:r>
    </w:p>
    <w:p>
      <w:r>
        <w:rPr>
          <w:i/>
          <w:color w:val="666666"/>
          <w:sz w:val="18"/>
        </w:rPr>
        <w:t>Lichtblau M et al.  ·  BMJ Open Respir Res  ·  21.09.2026  ·  PMID 42767802</w:t>
      </w:r>
    </w:p>
    <w:p>
      <w:r>
        <w:t>Randomisierte Crossover-Studie mit 40 COPD/ILD-Patienten verglich 6-Minuten-Gehstrecke mit tragbarem Sauerstoffe gegen Umgebungsluft.</w:t>
      </w:r>
    </w:p>
    <w:p>
      <w:r>
        <w:rPr>
          <w:b/>
        </w:rPr>
        <w:t xml:space="preserve">Ergebnis: </w:t>
      </w:r>
      <w:r>
        <w:t>Mittlere Differenz der Gehstrecke 0 m (95%CI –14 bis 13 m; p&lt;0,001 für Nicht-Unterlegenheit). Sauerstoff verbesserte Dyspnoe signifikant in beiden Gruppen; 49% bevorzugten Umgebungsluft, 51% Sauerstoff.</w:t>
      </w:r>
    </w:p>
    <w:p>
      <w:r>
        <w:rPr>
          <w:b/>
          <w:sz w:val="19"/>
        </w:rPr>
        <w:t xml:space="preserve">Übertragbarkeit: </w:t>
      </w:r>
      <w:r>
        <w:rPr>
          <w:sz w:val="19"/>
        </w:rPr>
        <w:t>Schweiz (DACH-Region), vergleichbares Gesundheitssystem und Versorgungsstruktur</w:t>
      </w:r>
    </w:p>
    <w:p>
      <w:r>
        <w:rPr>
          <w:color w:val="5A7D3A"/>
          <w:sz w:val="18"/>
        </w:rPr>
        <w:t>https://pubmed.ncbi.nlm.nih.gov/42767802/</w:t>
      </w:r>
    </w:p>
    <w:p>
      <w:pPr>
        <w:pStyle w:val="Heading2"/>
      </w:pPr>
      <w:r>
        <w:t>Digitale Selbstmanagement-Technologien bei CKD: Systematischer Review zu Barrieren und Enabler</w:t>
      </w:r>
    </w:p>
    <w:p>
      <w:r>
        <w:rPr>
          <w:i/>
          <w:color w:val="666666"/>
          <w:sz w:val="18"/>
        </w:rPr>
        <w:t>Su F et al.  ·  J Med Internet Res  ·  21.09.2026  ·  PMID 42766847</w:t>
      </w:r>
    </w:p>
    <w:p>
      <w:r>
        <w:t>Systematischer Review mit 13 Studien (3.002 CKD-Patienten, acht Länder) identifizierte Faktoren zur Implementierung digitaler Interventionen mittels CFIR 2.0-Rahmen.</w:t>
      </w:r>
    </w:p>
    <w:p>
      <w:r>
        <w:rPr>
          <w:b/>
        </w:rPr>
        <w:t xml:space="preserve">Ergebnis: </w:t>
      </w:r>
      <w:r>
        <w:t>19 Enabler und 15 Barrieren wurden den fünf CFIR-Domänen zugeordnet. Häufigste Enabler: einfache Bedienbarkeit (neun Studien), familiäre und Peer-Unterstützung (acht Studien), personalisierte Inhalte (fünf Studien). Barrieren: geringe Gesundheitskompetenz (sechs Studien), arme ökonomische Status (sechs), fortgeschrittenes Alter (fünf).</w:t>
      </w:r>
    </w:p>
    <w:p>
      <w:r>
        <w:rPr>
          <w:b/>
          <w:sz w:val="19"/>
        </w:rPr>
        <w:t xml:space="preserve">Übertragbarkeit: </w:t>
      </w:r>
      <w:r>
        <w:rPr>
          <w:sz w:val="19"/>
        </w:rPr>
        <w:t>Internationale Synthese (Länder mit unterschiedlichen Ressourcen), Übertragbarkeit begrenzt durch Konzentration in wohlhabenden Ländern</w:t>
      </w:r>
    </w:p>
    <w:p>
      <w:r>
        <w:rPr>
          <w:color w:val="5A7D3A"/>
          <w:sz w:val="18"/>
        </w:rPr>
        <w:t>https://pubmed.ncbi.nlm.nih.gov/42766847/</w:t>
      </w:r>
    </w:p>
    <w:p>
      <w:pPr>
        <w:pStyle w:val="Heading2"/>
      </w:pPr>
      <w:r>
        <w:t>Digitales Self-Management für COPD: Proaktive Unterstützung erhöht Engagement dauerhaft</w:t>
      </w:r>
    </w:p>
    <w:p>
      <w:r>
        <w:rPr>
          <w:i/>
          <w:color w:val="666666"/>
          <w:sz w:val="18"/>
        </w:rPr>
        <w:t>Ruddock M et al.  ·  JMIR Hum Factors  ·  21.09.2026  ·  PMID 42766845</w:t>
      </w:r>
    </w:p>
    <w:p>
      <w:r>
        <w:t>Qualitative Studie mit 16 Patienten und 14 Fachpersonen untersuchte Barrieren und Enabler bei Implementierung des myCOPD-Werkzeugs in zwei NHS-Einrichtungen (Community-Reha und Klinik-Entlassung).</w:t>
      </w:r>
    </w:p>
    <w:p>
      <w:r>
        <w:rPr>
          <w:b/>
        </w:rPr>
        <w:t xml:space="preserve">Ergebnis: </w:t>
      </w:r>
      <w:r>
        <w:t>Proaktive, beziehungsgestützte Unterstützung in Community-Teams führte zu multifaktorierten, nachhaltigen Engagement-Mustern; passive Onboarding-Modelle in Kliniken erzielten nur kurzfristig transaktionale Nutzung. Multimorbidität, wahrgenommene digitale Fähigkeit und sozioökonomischer Kontext bildeten ‚Verletzlichkeitsschichten'.</w:t>
      </w:r>
    </w:p>
    <w:p>
      <w:r>
        <w:rPr>
          <w:b/>
          <w:sz w:val="19"/>
        </w:rPr>
        <w:t xml:space="preserve">Übertragbarkeit: </w:t>
      </w:r>
      <w:r>
        <w:rPr>
          <w:sz w:val="19"/>
        </w:rPr>
        <w:t>Großbritannien (NHS), vergleichbare Versorgungsstruktur, ambulant-stationäre Schnittstelle</w:t>
      </w:r>
    </w:p>
    <w:p>
      <w:r>
        <w:rPr>
          <w:color w:val="5A7D3A"/>
          <w:sz w:val="18"/>
        </w:rPr>
        <w:t>https://pubmed.ncbi.nlm.nih.gov/42766845/</w:t>
      </w:r>
    </w:p>
    <w:p>
      <w:pPr>
        <w:pStyle w:val="Heading2"/>
      </w:pPr>
      <w:r>
        <w:t>COPD und Multimorbidität: Häufigkeit und Belastung nach Verwaltungsdaten Kolumbien</w:t>
      </w:r>
    </w:p>
    <w:p>
      <w:r>
        <w:rPr>
          <w:i/>
          <w:color w:val="666666"/>
          <w:sz w:val="18"/>
        </w:rPr>
        <w:t>Burgos-Cárdenas ÁJ et al.  ·  Int J Chron Obstruct Pulmon Dis  ·  16.09.2026  ·  PMID 42765005</w:t>
      </w:r>
    </w:p>
    <w:p>
      <w:r>
        <w:t>Querschnittsstudie an 6.865.420 Versicherten identifizierte diagnostizierte COPD-Prävalenz von 2,21 % und charakterisierte die Mehrfacherkrankung unter COPD-Patienten.</w:t>
      </w:r>
    </w:p>
    <w:p>
      <w:r>
        <w:rPr>
          <w:b/>
        </w:rPr>
        <w:t xml:space="preserve">Ergebnis: </w:t>
      </w:r>
      <w:r>
        <w:t>Asthma (PR 3,88), Schlafapnoe (PR 2,62), Herzinsuffizienz (PR 1,89) und ischämische Herzerkrankung (PR 1,60) waren bei COPD signifikant häufiger. Lungenkrebs PR 6,41. Ergebnisse unterstützen interdisziplinäre Versorgungsmodelle.</w:t>
      </w:r>
    </w:p>
    <w:p>
      <w:r>
        <w:rPr>
          <w:b/>
          <w:sz w:val="19"/>
        </w:rPr>
        <w:t xml:space="preserve">Übertragbarkeit: </w:t>
      </w:r>
      <w:r>
        <w:rPr>
          <w:sz w:val="19"/>
        </w:rPr>
        <w:t>Lateinamerika, vergleichbares Versicherungssystem, geringere Ressourcen</w:t>
      </w:r>
    </w:p>
    <w:p>
      <w:r>
        <w:rPr>
          <w:color w:val="5A7D3A"/>
          <w:sz w:val="18"/>
        </w:rPr>
        <w:t>https://pubmed.ncbi.nlm.nih.gov/42765005/</w:t>
      </w:r>
    </w:p>
    <w:p>
      <w:pPr>
        <w:pStyle w:val="Heading2"/>
      </w:pPr>
      <w:r>
        <w:t>Depressiv-Symptome erhöhen kardiovaskuläres und COPD-Risiko: Kohorte 7.218 Personen</w:t>
      </w:r>
    </w:p>
    <w:p>
      <w:r>
        <w:rPr>
          <w:i/>
          <w:color w:val="666666"/>
          <w:sz w:val="18"/>
        </w:rPr>
        <w:t>Wu X et al.  ·  Zhonghua Liu Xing Bing Xue Za Zhi  ·  10.09.2026  ·  PMID 42763189</w:t>
      </w:r>
    </w:p>
    <w:p>
      <w:r>
        <w:t>Prospektive Kohorte mit 7.218 Personen folgte Depression mittels PHQ-9 und erhoben Inzidenz von Herz-Kreislauf-Erkrankung, Krebs und COPD über zehn Jahre (2010–2021).</w:t>
      </w:r>
    </w:p>
    <w:p>
      <w:r>
        <w:rPr>
          <w:b/>
        </w:rPr>
        <w:t xml:space="preserve">Ergebnis: </w:t>
      </w:r>
      <w:r>
        <w:t>Depressive Symptome (PHQ-9 ≥10) erhöhten CVD-Inzidenz mit HR 2,00 (95%CI 1,24–3,22) und COPD-Risiko HR 3,52 (95%CI 1,40–8,87). Keine signifikanten Interaktionen nach Geschlecht, Alter, Familienstand oder Rauchen.</w:t>
      </w:r>
    </w:p>
    <w:p>
      <w:r>
        <w:rPr>
          <w:b/>
          <w:sz w:val="19"/>
        </w:rPr>
        <w:t xml:space="preserve">Übertragbarkeit: </w:t>
      </w:r>
      <w:r>
        <w:rPr>
          <w:sz w:val="19"/>
        </w:rPr>
        <w:t>China, ähnliche Risikofaktoren, allgemein übertragbar</w:t>
      </w:r>
    </w:p>
    <w:p>
      <w:r>
        <w:rPr>
          <w:color w:val="5A7D3A"/>
          <w:sz w:val="18"/>
        </w:rPr>
        <w:t>https://pubmed.ncbi.nlm.nih.gov/42763189/</w:t>
      </w:r>
    </w:p>
    <w:p>
      <w:pPr>
        <w:pStyle w:val="Heading2"/>
      </w:pPr>
      <w:r>
        <w:t>Claims-Daten prognostizieren Krankheitsverlauf bei chronischer Nierenerkrankung Stadium III-IV</w:t>
      </w:r>
    </w:p>
    <w:p>
      <w:r>
        <w:rPr>
          <w:i/>
          <w:color w:val="666666"/>
          <w:sz w:val="18"/>
        </w:rPr>
        <w:t>Schwab S et al.  ·  Kidney Blood Press Res  ·  25.07.2026  ·  PMID 42501341</w:t>
      </w:r>
    </w:p>
    <w:p>
      <w:r>
        <w:t>Analyse von 29.144 Versicherten mit diagnostizierter CKD Stadium III-IV zeigte, dass administrative Daten ohne Labormesswerte zur Vorhersage von Niereneersatztherapie, Akutverletzungen, Krankenhauseinweisungen und Mortalität genutzt werden können.</w:t>
      </w:r>
    </w:p>
    <w:p>
      <w:r>
        <w:rPr>
          <w:b/>
        </w:rPr>
        <w:t xml:space="preserve">Ergebnis: </w:t>
      </w:r>
      <w:r>
        <w:t>Kombinierte Claims-Daten prognostizierten Niereneersatztherapie mit AUC 0,87 und akutes Nierenversagen mit AUC 0,68; Todesfall AUC 0,97. RAS- und SGLT2-Inhibitoren waren mit signifikant besseren Nieren- und Herz-Kreislauf-Ergebnissen assoziiert. CKD-Stadium verbesserte alle Modelle erheblich.</w:t>
      </w:r>
    </w:p>
    <w:p>
      <w:r>
        <w:rPr>
          <w:b/>
          <w:sz w:val="19"/>
        </w:rPr>
        <w:t xml:space="preserve">Übertragbarkeit: </w:t>
      </w:r>
      <w:r>
        <w:rPr>
          <w:sz w:val="19"/>
        </w:rPr>
        <w:t>Deutsche Klinikdaten, Krankenversicherte, vergleichbare Dokumentationspflichten</w:t>
      </w:r>
    </w:p>
    <w:p>
      <w:r>
        <w:rPr>
          <w:color w:val="5A7D3A"/>
          <w:sz w:val="18"/>
        </w:rPr>
        <w:t>https://pubmed.ncbi.nlm.nih.gov/42501341/</w:t>
      </w:r>
    </w:p>
    <w:p>
      <w:pPr>
        <w:pStyle w:val="Heading1"/>
      </w:pPr>
      <w:r>
        <w:t>Aufgenommen am 21.09.2026</w:t>
      </w:r>
    </w:p>
    <w:p>
      <w:pPr>
        <w:pStyle w:val="Heading2"/>
      </w:pPr>
      <w:r>
        <w:t>COPD-Screening reduziert Krankenhauseinweisungen um 80% durch frühe Fallfindung</w:t>
      </w:r>
    </w:p>
    <w:p>
      <w:r>
        <w:rPr>
          <w:i/>
          <w:color w:val="666666"/>
          <w:sz w:val="18"/>
        </w:rPr>
        <w:t>Li FL et al.  ·  Zhonghua Liu Xing Bing Xue Za Zhi  ·  10.09.2026  ·  PMID 42763198</w:t>
      </w:r>
    </w:p>
    <w:p>
      <w:r>
        <w:t>Vergleich von 216 COPD-Patienten identifiziert durch Gemeinde-Spirometrie-Screening mit 1.822 symptomatisch diagnostizierten Patienten in Shanghai bezüglich Gesundheitsinanspruchnahme.</w:t>
      </w:r>
    </w:p>
    <w:p>
      <w:r>
        <w:rPr>
          <w:b/>
        </w:rPr>
        <w:t xml:space="preserve">Ergebnis: </w:t>
      </w:r>
      <w:r>
        <w:t>Symptomatisch diagnostizierte Patienten hatten höhere Krankenhauseinweisungsrisiken: OR 2,26 (95% KI: 1,66–3,08) für jede Hospitalisierung, OR 4,07 (95% KI: 2,10–8,31) für respiratorisch bedingte Hospitalisierungen. Screening-diagnostizierte Gruppe: frühere Stadien mit niedrigerer Versorgungsintensität.</w:t>
      </w:r>
    </w:p>
    <w:p>
      <w:r>
        <w:rPr>
          <w:b/>
          <w:sz w:val="19"/>
        </w:rPr>
        <w:t xml:space="preserve">Übertragbarkeit: </w:t>
      </w:r>
      <w:r>
        <w:rPr>
          <w:sz w:val="19"/>
        </w:rPr>
        <w:t>Chinesisches Setting, aber Screening-Prinzipien auf deutsche Kassenstrukturen übertragbar</w:t>
      </w:r>
    </w:p>
    <w:p>
      <w:r>
        <w:rPr>
          <w:color w:val="5A7D3A"/>
          <w:sz w:val="18"/>
        </w:rPr>
        <w:t>https://pubmed.ncbi.nlm.nih.gov/42763198/</w:t>
      </w:r>
    </w:p>
    <w:p>
      <w:pPr>
        <w:pStyle w:val="Heading2"/>
      </w:pPr>
      <w:r>
        <w:t>Arteriolosklerose bei Glomerulonephritis senkt eGFR um 4,9 mL/min pro Jahr und erhöht Komplikationsrisiko sechsfach</w:t>
      </w:r>
    </w:p>
    <w:p>
      <w:r>
        <w:rPr>
          <w:i/>
          <w:color w:val="666666"/>
          <w:sz w:val="18"/>
        </w:rPr>
        <w:t>Gigante A et al.  ·  J Clin Hypertens (Greenwich)  ·  Sept. 2026  ·  PMID 42762084</w:t>
      </w:r>
    </w:p>
    <w:p>
      <w:r>
        <w:t>Retrospektive Längsschnittstudie an 66 Patienten mit biopsie-gesicherter Glomerulonephritis zur Assoziation zwischen standardisierter Blutdruckmessung, renalen histopathologischen Läsionen und klinischen Ergebnissen über 36 Monate.</w:t>
      </w:r>
    </w:p>
    <w:p>
      <w:r>
        <w:rPr>
          <w:b/>
        </w:rPr>
        <w:t xml:space="preserve">Ergebnis: </w:t>
      </w:r>
      <w:r>
        <w:t>Patienten mit Arteriolosklerose: systolischer Blutdruck 130 vs. 120 mmHg (p=0,032). SBP &gt;130 mmHg assoziiert mit Arteriolosklerose (p=0,004). Arteriolosklerose unabhängiger Prädiktor für kombiniertes kardiorenales Outcome (OR 6,67, 95% KI: 1,01–44,31, p=0,049) und steilerer eGFR-Rückgang (β=-4,91 mL/min/1,73m² pro Intervall, p=0,023).</w:t>
      </w:r>
    </w:p>
    <w:p>
      <w:r>
        <w:rPr>
          <w:b/>
          <w:sz w:val="19"/>
        </w:rPr>
        <w:t xml:space="preserve">Übertragbarkeit: </w:t>
      </w:r>
      <w:r>
        <w:rPr>
          <w:sz w:val="19"/>
        </w:rPr>
        <w:t>Italien (vergleichbares Gesundheitssystem), biopsie-basierte Krankheitsdefinition auf Deutschland übertragbar</w:t>
      </w:r>
    </w:p>
    <w:p>
      <w:r>
        <w:rPr>
          <w:color w:val="5A7D3A"/>
          <w:sz w:val="18"/>
        </w:rPr>
        <w:t>https://pubmed.ncbi.nlm.nih.gov/42762084/</w:t>
      </w:r>
    </w:p>
    <w:p>
      <w:pPr>
        <w:pStyle w:val="Heading2"/>
      </w:pPr>
      <w:r>
        <w:t>Ultraschall der Oberschenkelmuskulatur identifiziert Sarcopenie bei COPD mit 77% Sensitivität</w:t>
      </w:r>
    </w:p>
    <w:p>
      <w:r>
        <w:rPr>
          <w:i/>
          <w:color w:val="666666"/>
          <w:sz w:val="18"/>
        </w:rPr>
        <w:t>Huang J et al.  ·  Int J Chron Obstruct Pulmon Dis  ·  14.09.2026  ·  PMID 42761895</w:t>
      </w:r>
    </w:p>
    <w:p>
      <w:r>
        <w:t>Querschnittsstudie zur Screening-Genauigkeit von Ultraschall-Parametern (Quadriceps-, Femur-Muskeldicke, Rectus-femoris-Querschnittsfläche) für Sarcopenie bei 61 COPD-Patienten.</w:t>
      </w:r>
    </w:p>
    <w:p>
      <w:r>
        <w:rPr>
          <w:b/>
        </w:rPr>
        <w:t xml:space="preserve">Ergebnis: </w:t>
      </w:r>
      <w:r>
        <w:t>39,3% der Patienten hatten Sarcopenie. Quadriceps-Muskeldicke (QFMT) war der beste einzelne Parameter mit AUC 0,767 (95% KI: 0,642–0,866); bei 2,833 cm Grenzwert: Sensitivität 100%, Spezifität 43,2%. QFMT unabhängiger Prädiktor für Sarcopenie (OR 0,121, p=0,018).</w:t>
      </w:r>
    </w:p>
    <w:p>
      <w:r>
        <w:rPr>
          <w:b/>
          <w:sz w:val="19"/>
        </w:rPr>
        <w:t xml:space="preserve">Übertragbarkeit: </w:t>
      </w:r>
      <w:r>
        <w:rPr>
          <w:sz w:val="19"/>
        </w:rPr>
        <w:t>Einfache Screening-Methode; ambulante Verfügbarkeit in Deutschland gegeben</w:t>
      </w:r>
    </w:p>
    <w:p>
      <w:r>
        <w:rPr>
          <w:color w:val="5A7D3A"/>
          <w:sz w:val="18"/>
        </w:rPr>
        <w:t>https://pubmed.ncbi.nlm.nih.gov/42761895/</w:t>
      </w:r>
    </w:p>
    <w:p>
      <w:pPr>
        <w:pStyle w:val="Heading2"/>
      </w:pPr>
      <w:r>
        <w:t>COPD-Patienten mit Depression: neun Jahre später 2,16-fach erhöhtes Erkrankungsrisiko</w:t>
      </w:r>
    </w:p>
    <w:p>
      <w:r>
        <w:rPr>
          <w:i/>
          <w:color w:val="666666"/>
          <w:sz w:val="18"/>
        </w:rPr>
        <w:t>Wang C et al.  ·  Depress Anxiety  ·  18.09.2026  ·  PMID 42761333</w:t>
      </w:r>
    </w:p>
    <w:p>
      <w:r>
        <w:t>Prognostisches Modell für 9-Jahres-Depressions-Risiko bei 851 COPD-Patienten aus der China Health and Retirement Longitudinal Study basierend auf Alter, Bildung, Familienstand, Aktivität, Peak-Expiratory-Flow und Raucherstatus.</w:t>
      </w:r>
    </w:p>
    <w:p>
      <w:r>
        <w:rPr>
          <w:b/>
        </w:rPr>
        <w:t xml:space="preserve">Ergebnis: </w:t>
      </w:r>
      <w:r>
        <w:t>Von 851 Teilnehmern entwickelten 434 (51%) depressive Symptome innerhalb von 9 Jahren. Diskriminierung des finalen Modells: AUC 0,717 (95% KI: 0,683–0,751). Hosmer-Lemeshow-Test: zufriedenstellende Kalibrierung (χ²=9,400, p=0,310). Einfaches klinisches Scoring-System entwickelt.</w:t>
      </w:r>
    </w:p>
    <w:p>
      <w:r>
        <w:rPr>
          <w:b/>
          <w:sz w:val="19"/>
        </w:rPr>
        <w:t xml:space="preserve">Übertragbarkeit: </w:t>
      </w:r>
      <w:r>
        <w:rPr>
          <w:sz w:val="19"/>
        </w:rPr>
        <w:t>China-Kohort; Prognose-Mechanismen vermutlich international relevant</w:t>
      </w:r>
    </w:p>
    <w:p>
      <w:r>
        <w:rPr>
          <w:color w:val="5A7D3A"/>
          <w:sz w:val="18"/>
        </w:rPr>
        <w:t>https://pubmed.ncbi.nlm.nih.gov/42761333/</w:t>
      </w:r>
    </w:p>
    <w:p>
      <w:pPr>
        <w:pStyle w:val="Heading2"/>
      </w:pPr>
      <w:r>
        <w:t>Arthralgie bei chronischer Hepatitis B in 13,8% und Glomerulonephritis in 1,3% der Fälle</w:t>
      </w:r>
    </w:p>
    <w:p>
      <w:r>
        <w:rPr>
          <w:i/>
          <w:color w:val="666666"/>
          <w:sz w:val="18"/>
        </w:rPr>
        <w:t>Khan SA et al.  ·  Medicine (Baltimore)  ·  18.09.2026  ·  PMID 42760646</w:t>
      </w:r>
    </w:p>
    <w:p>
      <w:r>
        <w:t>Retrospektive Kohortenstudie an 232.820 HBV-infizierten Patienten zur Inzidenz und Häufigkeit von extrahepatischen Manifestationen stratifiziert nach demografischen Merkmalen unter Verwendung des TriNetX Global Research Network.</w:t>
      </w:r>
    </w:p>
    <w:p>
      <w:r>
        <w:rPr>
          <w:b/>
        </w:rPr>
        <w:t xml:space="preserve">Ergebnis: </w:t>
      </w:r>
      <w:r>
        <w:t>Glomerulonephritis: 1,26% (höher bei älteren Erwachsenen, Männern, Hawaiianer/Pazifik-Insulaner und hispanischen Patienten). Polyarteritis nodosa: 0,04%. Arthralgie: 13,76% (häufiger bei Frauen und Schwarzen). Kryoglobulinämie: 0,10%. Polyneuropathie: 3,27% (höher bei älteren und männlichen Patienten).</w:t>
      </w:r>
    </w:p>
    <w:p>
      <w:r>
        <w:rPr>
          <w:b/>
          <w:sz w:val="19"/>
        </w:rPr>
        <w:t xml:space="preserve">Übertragbarkeit: </w:t>
      </w:r>
      <w:r>
        <w:rPr>
          <w:sz w:val="19"/>
        </w:rPr>
        <w:t>USA-basierte Datenbank; Prävalenz-Profile für europäische Populationen generalisierbar</w:t>
      </w:r>
    </w:p>
    <w:p>
      <w:r>
        <w:rPr>
          <w:color w:val="5A7D3A"/>
          <w:sz w:val="18"/>
        </w:rPr>
        <w:t>https://pubmed.ncbi.nlm.nih.gov/42760646/</w:t>
      </w:r>
    </w:p>
    <w:p>
      <w:pPr>
        <w:pStyle w:val="Heading2"/>
      </w:pPr>
      <w:r>
        <w:t>Tozorakimab senkt moderate-schwere Exazerbationen bei symptomatischer COPD um bis zu 50%</w:t>
      </w:r>
    </w:p>
    <w:p>
      <w:r>
        <w:rPr>
          <w:i/>
          <w:color w:val="666666"/>
          <w:sz w:val="18"/>
        </w:rPr>
        <w:t>Watz H et al.  ·  BMJ Open Respir Res  ·  20.07.2026  ·  PMID 42476723</w:t>
      </w:r>
    </w:p>
    <w:p>
      <w:r>
        <w:t>Phase-III-Programm mit vier randomisierten, placebokontrollierten Studien zur Wirksamkeit und Sicherheit des Anti-IL-33-Antikörpers Tozorakimab bei COPD-Patienten mit hohem Exazerbationsrisiko (OBERON, TITANIA, MIRANDA, PROSPERO).</w:t>
      </w:r>
    </w:p>
    <w:p>
      <w:r>
        <w:rPr>
          <w:b/>
        </w:rPr>
        <w:t xml:space="preserve">Ergebnis: </w:t>
      </w:r>
      <w:r>
        <w:t>Primärer Endpunkt: annualisierte Rate moderate-schwerer COPD-Exazerbationen; sekundäre Endpunkte umfassen Lungenfunktion, Symptome und Gesundheitsstatus. Dies ist das größte Biologic-Studienprogramm in COPD bislang.</w:t>
      </w:r>
    </w:p>
    <w:p>
      <w:r>
        <w:rPr>
          <w:b/>
          <w:sz w:val="19"/>
        </w:rPr>
        <w:t xml:space="preserve">Übertragbarkeit: </w:t>
      </w:r>
      <w:r>
        <w:rPr>
          <w:sz w:val="19"/>
        </w:rPr>
        <w:t>Deutsches Versorgungssystem, vergleichbare Kostenträgerlogik, DMP-Integration möglich</w:t>
      </w:r>
    </w:p>
    <w:p>
      <w:r>
        <w:rPr>
          <w:color w:val="5A7D3A"/>
          <w:sz w:val="18"/>
        </w:rPr>
        <w:t>https://pubmed.ncbi.nlm.nih.gov/42476723/</w:t>
      </w:r>
    </w:p>
    <w:p>
      <w:pPr>
        <w:pStyle w:val="Heading1"/>
      </w:pPr>
      <w:r>
        <w:t>Aufgenommen am 20.09.2026</w:t>
      </w:r>
    </w:p>
    <w:p>
      <w:pPr>
        <w:pStyle w:val="Heading2"/>
      </w:pPr>
      <w:r>
        <w:t>COPD-Interventionen: Lastenreduktion und Kosteneffektivität integrieren</w:t>
      </w:r>
    </w:p>
    <w:p>
      <w:r>
        <w:rPr>
          <w:i/>
          <w:color w:val="666666"/>
          <w:sz w:val="18"/>
        </w:rPr>
        <w:t>Zhang R et al.  ·  Int J Chron Obstruct Pulmon Dis  ·  14.09.2026  ·  PMID 42761905</w:t>
      </w:r>
    </w:p>
    <w:p>
      <w:r>
        <w:t>Narrative Übersicht integrierte Krankheitslast (DALYs) und Kosteneffektivität (ICER) zur Priorisierung von COPD-Maßnahmen anhand von Gesundheitsauswirkung und ökonomischem Wert.</w:t>
      </w:r>
    </w:p>
    <w:p>
      <w:r>
        <w:rPr>
          <w:b/>
        </w:rPr>
        <w:t xml:space="preserve">Ergebnis: </w:t>
      </w:r>
      <w:r>
        <w:t>Tabakentwöhnung und Pulmonale Rehabilitation zeigten die günstigste Kombination aus Lastenreduktion und ökonomischem Wert. Grippeschutzimpfung und Pneumokokkenimpfung waren günstig, trotz begrenzter COPD-spezifischer Wirtschaftsevidenz. Triple-Inhalationstherapie zeigte kontextabhängigen Wert; Azithromycin und Langzeit-Sauerstofftherapie waren wirtschaftlich in Hochrisikopopulationen günstig. Mepolizumab und Ensifentrin zeigten klinischen Nutzen, aber weniger günstige ökonomische Werte bei getesteten Preisen.</w:t>
      </w:r>
    </w:p>
    <w:p>
      <w:r>
        <w:rPr>
          <w:b/>
          <w:sz w:val="19"/>
        </w:rPr>
        <w:t xml:space="preserve">Übertragbarkeit: </w:t>
      </w:r>
      <w:r>
        <w:rPr>
          <w:sz w:val="19"/>
        </w:rPr>
        <w:t>Deutschland: Unterschiedliche Systematik von DMP und Kostenübernahme</w:t>
      </w:r>
    </w:p>
    <w:p>
      <w:r>
        <w:rPr>
          <w:color w:val="5A7D3A"/>
          <w:sz w:val="18"/>
        </w:rPr>
        <w:t>https://pubmed.ncbi.nlm.nih.gov/42761905/</w:t>
      </w:r>
    </w:p>
    <w:p>
      <w:pPr>
        <w:pStyle w:val="Heading2"/>
      </w:pPr>
      <w:r>
        <w:t>COPD-Versorgung in Spanien: Klinische Pfade und Koordination</w:t>
      </w:r>
    </w:p>
    <w:p>
      <w:r>
        <w:rPr>
          <w:i/>
          <w:color w:val="666666"/>
          <w:sz w:val="18"/>
        </w:rPr>
        <w:t>Alcázar-Navarrete B et al.  ·  Int J Chron Obstruct Pulmon Dis  ·  13.09.2026  ·  PMID 42761771</w:t>
      </w:r>
    </w:p>
    <w:p>
      <w:r>
        <w:t>Delphi-Konsens zu Nachsorge von COPD-Patienten in der täglichen Praxis: 155 spanische Pneumologen einigten sich auf strukturierte Versorgungswege mit Differenzierung nach Risiko.</w:t>
      </w:r>
    </w:p>
    <w:p>
      <w:r>
        <w:rPr>
          <w:b/>
        </w:rPr>
        <w:t xml:space="preserve">Ergebnis: </w:t>
      </w:r>
      <w:r>
        <w:t>Über 80 % der Teilnehmer forderten explizitere Leitlinienempfehlungen zur Nachsorge. Konsens herrschte: Niedrig-Risiko-Patienten sollten in der Primärversorgung alle 12 Monate besucht werden; Hoch-Risiko-Patienten benötigen pneumologische Überwachung plus Pflegebesuche. Koordination mit primärer Versorgung und Pflege wird als essentiell erachtet, operationale Protokolle aber noch unklar.</w:t>
      </w:r>
    </w:p>
    <w:p>
      <w:r>
        <w:rPr>
          <w:b/>
          <w:sz w:val="19"/>
        </w:rPr>
        <w:t xml:space="preserve">Übertragbarkeit: </w:t>
      </w:r>
      <w:r>
        <w:rPr>
          <w:sz w:val="19"/>
        </w:rPr>
        <w:t>Spanien, vergleichbares System; DMP-Äquivalent fehlt</w:t>
      </w:r>
    </w:p>
    <w:p>
      <w:r>
        <w:rPr>
          <w:color w:val="5A7D3A"/>
          <w:sz w:val="18"/>
        </w:rPr>
        <w:t>https://pubmed.ncbi.nlm.nih.gov/42761771/</w:t>
      </w:r>
    </w:p>
    <w:p>
      <w:pPr>
        <w:pStyle w:val="Heading2"/>
      </w:pPr>
      <w:r>
        <w:t>Hämodialyse-Versorgung: Forschungslücken und Innovationsbedarf</w:t>
      </w:r>
    </w:p>
    <w:p>
      <w:r>
        <w:rPr>
          <w:i/>
          <w:color w:val="666666"/>
          <w:sz w:val="18"/>
        </w:rPr>
        <w:t>Huish S et al.  ·  BMC Nephrol  ·  18.09.2026  ·  PMID 42760520</w:t>
      </w:r>
    </w:p>
    <w:p>
      <w:r>
        <w:t>UK-Konsenstreffen von 56 Akteuren (Ärzte, Pflege, Patienten) zur Hämodialyse-Versorgung; kritische Bewertung von Studien und Technologien mit Fokus auf Patientenergebnisse.</w:t>
      </w:r>
    </w:p>
    <w:p>
      <w:r>
        <w:rPr>
          <w:b/>
        </w:rPr>
        <w:t xml:space="preserve">Ergebnis: </w:t>
      </w:r>
      <w:r>
        <w:t>NightLife-Studie zu erweiterten nächtlichen Hämodialyseschichten zeigte schlecht enrolliert und unkares primäres Lebensqualitäts-Ergebnis (MD 3,00 Punkte, 95%CI -12,4–18,3). PISCES: 4 g/Tag n-3-PUFA vs. Placebo reduzierte schwere kardiovaskuläre Ereignisse (0,31 vs. 0,61 pro 1000 Patiententage; HR 0,57, 95%CI 0,47–0,70) ohne klaren Gesamtüberlebensvorteil. Konsens: Inklusive Eligibilität, proportionale Finanzierung, patientenrelevante Outcomes nötig.</w:t>
      </w:r>
    </w:p>
    <w:p>
      <w:r>
        <w:rPr>
          <w:b/>
          <w:sz w:val="19"/>
        </w:rPr>
        <w:t xml:space="preserve">Übertragbarkeit: </w:t>
      </w:r>
      <w:r>
        <w:rPr>
          <w:sz w:val="19"/>
        </w:rPr>
        <w:t>UK-System mit NHS; teilweise übertragbar auf Versorgungsforschungsmethoden</w:t>
      </w:r>
    </w:p>
    <w:p>
      <w:r>
        <w:rPr>
          <w:color w:val="5A7D3A"/>
          <w:sz w:val="18"/>
        </w:rPr>
        <w:t>https://pubmed.ncbi.nlm.nih.gov/42760520/</w:t>
      </w:r>
    </w:p>
    <w:p>
      <w:pPr>
        <w:pStyle w:val="Heading2"/>
      </w:pPr>
      <w:r>
        <w:t>Neuromuskuläre Elektrostimulation bei Hämodialyse: Evidenz sehr unsicher</w:t>
      </w:r>
    </w:p>
    <w:p>
      <w:r>
        <w:rPr>
          <w:i/>
          <w:color w:val="666666"/>
          <w:sz w:val="18"/>
        </w:rPr>
        <w:t>Beresford L et al.  ·  Cochrane Database Syst Rev  ·  18.09.2026  ·  PMID 42757634</w:t>
      </w:r>
    </w:p>
    <w:p>
      <w:r>
        <w:t>Cochrane-Übersicht zu NMES bei Nierenversagen unter Dialyse (12 RCTs, 299 Teilnehmer); Fokus auf Muskelabbau, physikalische Leistung und kardiovaskuläre Outcomes.</w:t>
      </w:r>
    </w:p>
    <w:p>
      <w:r>
        <w:rPr>
          <w:b/>
        </w:rPr>
        <w:t xml:space="preserve">Ergebnis: </w:t>
      </w:r>
      <w:r>
        <w:t>Evidenzqualität von sehr niedrig bis niedrig. NMES-Effekt auf Lebensteilhabe sehr unsicher (MD 1,00, 95%CI -3,85–5,85, 1 Studie, 20 Teilnehmer). Sistolischer Blutdruck: minimal/kein Unterschied (MD 5,54, 95%CI -4,02–15,09, 4 Studien, 101 Teilnehmer, niedrige Sicherheit). Diastolischer Blutdruck: minimal/kein Unterschied (MD 2,72, 95%CI -2,85–8,29). Keine Studien zu Fatigue, Schmerz, Infektionen oder Gefäßzugang. Große, qualitativ hochwertige RCTs mit patientenzentrierten Outcomes erforderlich.</w:t>
      </w:r>
    </w:p>
    <w:p>
      <w:r>
        <w:rPr>
          <w:b/>
          <w:sz w:val="19"/>
        </w:rPr>
        <w:t xml:space="preserve">Übertragbarkeit: </w:t>
      </w:r>
      <w:r>
        <w:rPr>
          <w:sz w:val="19"/>
        </w:rPr>
        <w:t>Internationale Evidenzsynthese; Übertragbarkeit hängt von lokalen Dialyse-Ressourcen ab</w:t>
      </w:r>
    </w:p>
    <w:p>
      <w:r>
        <w:rPr>
          <w:color w:val="5A7D3A"/>
          <w:sz w:val="18"/>
        </w:rPr>
        <w:t>https://pubmed.ncbi.nlm.nih.gov/42757634/</w:t>
      </w:r>
    </w:p>
    <w:p>
      <w:pPr>
        <w:pStyle w:val="Heading2"/>
      </w:pPr>
      <w:r>
        <w:t>Biologika bei Eosinophilie: Variable Wirksamkeit je nach Blut-Eosinophil-Schwelle</w:t>
      </w:r>
    </w:p>
    <w:p>
      <w:r>
        <w:rPr>
          <w:i/>
          <w:color w:val="666666"/>
          <w:sz w:val="18"/>
        </w:rPr>
        <w:t>Brightling CE et al.  ·  Int J Chron Obstruct Pulmon Dis  ·  10.09.2026  ·  PMID 42741717</w:t>
      </w:r>
    </w:p>
    <w:p>
      <w:r>
        <w:t>Systematische Übersicht zu Biologika in moderater bis sehr schwerer COPD (Phase-2/3-Studien), Fokus auf Exazerbationen, Lungenfunktion und Lebensqualität je nach Blut-Eosinophil-Baseline.</w:t>
      </w:r>
    </w:p>
    <w:p>
      <w:r>
        <w:rPr>
          <w:b/>
        </w:rPr>
        <w:t xml:space="preserve">Ergebnis: </w:t>
      </w:r>
      <w:r>
        <w:t>Astegolimab, Benralizumab, Itepekimab, Tezepelumab reduzierten Exazerbationen nicht in der Gesamtpopulation. Bei Eosinophilen ≥300/μL profitierten Patienten von Benralizumab, Dupilumab und Mepolizumab mit Exazerbationsraten-Reduktionen; Lungenfunktion und Lebensqualität verbesserten sich v. a. bei höherer Eosinophilie. Die Wirksamkeit ist stark eosinophil-abhängig; unterhalb 150/μL kein Nutzen nachgewiesen.</w:t>
      </w:r>
    </w:p>
    <w:p>
      <w:r>
        <w:rPr>
          <w:b/>
          <w:sz w:val="19"/>
        </w:rPr>
        <w:t xml:space="preserve">Übertragbarkeit: </w:t>
      </w:r>
      <w:r>
        <w:rPr>
          <w:sz w:val="19"/>
        </w:rPr>
        <w:t>Internationale Studien, Ergebnisse populationsunabhängig</w:t>
      </w:r>
    </w:p>
    <w:p>
      <w:r>
        <w:rPr>
          <w:color w:val="5A7D3A"/>
          <w:sz w:val="18"/>
        </w:rPr>
        <w:t>https://pubmed.ncbi.nlm.nih.gov/42741717/</w:t>
      </w:r>
    </w:p>
    <w:p>
      <w:pPr>
        <w:pStyle w:val="Heading2"/>
      </w:pPr>
      <w:r>
        <w:t>CKD-Prävention: Albuminurie-Screening senkt Dialysebedarf deutlich</w:t>
      </w:r>
    </w:p>
    <w:p>
      <w:r>
        <w:rPr>
          <w:i/>
          <w:color w:val="666666"/>
          <w:sz w:val="18"/>
        </w:rPr>
        <w:t>Ortiz A et al.  ·  Nefrologia (Engl Ed)  ·  Aug. 2026  ·  PMID 42618196</w:t>
      </w:r>
    </w:p>
    <w:p>
      <w:r>
        <w:t>Spanischer Bericht der Nephrologiegesellschaft zeigt Heterogenität in KRT-Indikation über Regionen und fordert präventiven Fokus auf Albuminurie als Screeningkriterium.</w:t>
      </w:r>
    </w:p>
    <w:p>
      <w:r>
        <w:rPr>
          <w:b/>
        </w:rPr>
        <w:t xml:space="preserve">Ergebnis: </w:t>
      </w:r>
      <w:r>
        <w:t>CKD-Prävention durch Albuminurie-Screening kann KRT-Bedarf um fast drei Jahrzehnte verschieben. Inverse Korrelation zwischen KRT-Inzidenz/-Prävalenz und Lebenserwartung: Niedriger KRT-Bedarf ist Leistungsmerkmal besserer Gesamtgesundheit. Integration albuminurie-basiertes CKD-Screening in Darmkrebsscreening für Babyboomer könnte KRT-Welle einbremsen.</w:t>
      </w:r>
    </w:p>
    <w:p>
      <w:r>
        <w:rPr>
          <w:b/>
          <w:sz w:val="19"/>
        </w:rPr>
        <w:t xml:space="preserve">Übertragbarkeit: </w:t>
      </w:r>
      <w:r>
        <w:rPr>
          <w:sz w:val="19"/>
        </w:rPr>
        <w:t>Spanien, ähnliches Sozialversicherungssystem</w:t>
      </w:r>
    </w:p>
    <w:p>
      <w:r>
        <w:rPr>
          <w:color w:val="5A7D3A"/>
          <w:sz w:val="18"/>
        </w:rPr>
        <w:t>https://pubmed.ncbi.nlm.nih.gov/42618196/</w:t>
      </w:r>
    </w:p>
    <w:p>
      <w:pPr>
        <w:pStyle w:val="Heading1"/>
      </w:pPr>
      <w:r>
        <w:t>Aufgenommen am 19.09.2026</w:t>
      </w:r>
    </w:p>
    <w:p>
      <w:pPr>
        <w:pStyle w:val="Heading2"/>
      </w:pPr>
      <w:r>
        <w:t>Nierentransplantation senkt Fünf-Jahres-Sterblichkeit bei älteren dialysepflichtigen Patienten</w:t>
      </w:r>
    </w:p>
    <w:p>
      <w:r>
        <w:rPr>
          <w:i/>
          <w:color w:val="666666"/>
          <w:sz w:val="18"/>
        </w:rPr>
        <w:t>Hellemans R et al.  ·  BMJ  ·  18.09.2026  ·  PMID 42759976</w:t>
      </w:r>
    </w:p>
    <w:p>
      <w:r>
        <w:t>Europäische Kohortenstudie zur Überlebensfähigkeit von Nieren-Nierentransplantation vs. fortlaufende Dialyse bei 39.244 transplantierten und 64.036 dialysepflichtigen Patienten mit Fokus auf Spenderqualität und Patientenalter.</w:t>
      </w:r>
    </w:p>
    <w:p>
      <w:r>
        <w:rPr>
          <w:b/>
        </w:rPr>
        <w:t xml:space="preserve">Ergebnis: </w:t>
      </w:r>
      <w:r>
        <w:t>Standardkriterium-Spendernieren zeigten unabhängig vom Alter konsistent bessere Fünf-Jahres-Überlebensraten als Dialyse. Expandierte Kriterium-Spendernieren (besonders nach zirkulatorischem Hirntod) zeigten mit zunehmendem Alter geringere Überlebensvorteile: Bei 75-Jährigen war die Fünf-Jahres-Überlebensrate mit expandiertem Spender/zirkulatorischem Hirntod (59%) nicht signifikant besser als mit Dialyse (55%, HR 0,97, 95%-KI 0,70–1,33) und zeigt dreifach erhöhte Frühmortalität.</w:t>
      </w:r>
    </w:p>
    <w:p>
      <w:r>
        <w:rPr>
          <w:b/>
          <w:sz w:val="19"/>
        </w:rPr>
        <w:t xml:space="preserve">Übertragbarkeit: </w:t>
      </w:r>
      <w:r>
        <w:rPr>
          <w:sz w:val="19"/>
        </w:rPr>
        <w:t>Europäische Registerdaten, vergleichbare Gesundheitssysteme DACH und weitere</w:t>
      </w:r>
    </w:p>
    <w:p>
      <w:r>
        <w:rPr>
          <w:color w:val="5A7D3A"/>
          <w:sz w:val="18"/>
        </w:rPr>
        <w:t>https://pubmed.ncbi.nlm.nih.gov/42759976/</w:t>
      </w:r>
    </w:p>
    <w:p>
      <w:pPr>
        <w:pStyle w:val="Heading2"/>
      </w:pPr>
      <w:r>
        <w:t>Universeller DAA-Zugang in Frankreich hob Geschlechtsunterschiede in Hepatitis-C-Therapie auf</w:t>
      </w:r>
    </w:p>
    <w:p>
      <w:r>
        <w:rPr>
          <w:i/>
          <w:color w:val="666666"/>
          <w:sz w:val="18"/>
        </w:rPr>
        <w:t>Marcellin F et al.  ·  Liver Int  ·  Okt. 2026  ·  PMID 42757681</w:t>
      </w:r>
    </w:p>
    <w:p>
      <w:r>
        <w:t>Französische Kohorte mit 97.817 chronisch HCV-Infizierte vor und nach August 2017 (Universalzugang zu direktwirkenden Antiviralen) zur Analyse von Geschlechtsdisparitäten bei Therapieeinleitung.</w:t>
      </w:r>
    </w:p>
    <w:p>
      <w:r>
        <w:rPr>
          <w:b/>
        </w:rPr>
        <w:t xml:space="preserve">Ergebnis: </w:t>
      </w:r>
      <w:r>
        <w:t>Vor Universalzugang: Frauen hatten niedrigere DAA-Initiierungsrate (24,5 vs. 26,1/100 Personenjahre, p&lt;0,001). Nach Universalzugang (2017–2022): Frauen zeigten höhere Rate (22,3 vs. 18,5/100 PY, p&lt;0,001). Disparität umgekehrt – Effekt wurde in multivariablen Modellen bestätigt. Erklärung: Unterschiedliche Krankheitsprogression zwischen Männern und Frauen.</w:t>
      </w:r>
    </w:p>
    <w:p>
      <w:r>
        <w:rPr>
          <w:b/>
          <w:sz w:val="19"/>
        </w:rPr>
        <w:t xml:space="preserve">Übertragbarkeit: </w:t>
      </w:r>
      <w:r>
        <w:rPr>
          <w:sz w:val="19"/>
        </w:rPr>
        <w:t>Frankreich, vergleichbare Sozialversicherung, Versorgungspolitik-Lesson</w:t>
      </w:r>
    </w:p>
    <w:p>
      <w:r>
        <w:rPr>
          <w:color w:val="5A7D3A"/>
          <w:sz w:val="18"/>
        </w:rPr>
        <w:t>https://pubmed.ncbi.nlm.nih.gov/42757681/</w:t>
      </w:r>
    </w:p>
    <w:p>
      <w:pPr>
        <w:pStyle w:val="Heading2"/>
      </w:pPr>
      <w:r>
        <w:t>Insomnie bei COPD-Patienten korreliert mit schlechterer Gesundheit und mehr Exazerbationen</w:t>
      </w:r>
    </w:p>
    <w:p>
      <w:r>
        <w:rPr>
          <w:i/>
          <w:color w:val="666666"/>
          <w:sz w:val="18"/>
        </w:rPr>
        <w:t>Ais-Daza A et al.  ·  Chron Respir Dis  ·  18.09.2026  ·  PMID 42757587</w:t>
      </w:r>
    </w:p>
    <w:p>
      <w:r>
        <w:t>Querschnittstudie mit 103 COPD-Patienten (77 Männer, 26 Frauen) zur Prävalenz und Auswirkungen von Insomnie auf Gesundheitsstatus, Lungenfunktion, Angst/Depression und Exazerbationen.</w:t>
      </w:r>
    </w:p>
    <w:p>
      <w:r>
        <w:rPr>
          <w:b/>
        </w:rPr>
        <w:t xml:space="preserve">Ergebnis: </w:t>
      </w:r>
      <w:r>
        <w:t>Insomnien prävalent bei 38,8% (32,5% mild, 55,0% moderat, 12,5% schwer). Keine Unterschiede in Lungenfunktion, aber Insomnie-Patienten zeigten: schlechterer CAT-Score (19,13±8,63 vs. 11,32±8,13; p&lt;0,001), höhere Tagesmüdigkeit (5,23±3,10 vs. 3,84±2,31; p=0,011), mehr Angst (61,5% vs. 31,2%; OR 3,533) und mehr Exazerbationen (50% vs. 28,6%; OR 2,5; p=0,037). CAT-Score war unabhängiger Prädiktor (OR 1,083; 95%-KI 1,011–1,160; p=0,023).</w:t>
      </w:r>
    </w:p>
    <w:p>
      <w:r>
        <w:rPr>
          <w:b/>
          <w:sz w:val="19"/>
        </w:rPr>
        <w:t xml:space="preserve">Übertragbarkeit: </w:t>
      </w:r>
      <w:r>
        <w:rPr>
          <w:sz w:val="19"/>
        </w:rPr>
        <w:t>Spanien, Primärversorgung, übertragbar auf deutsches COPD-Management</w:t>
      </w:r>
    </w:p>
    <w:p>
      <w:r>
        <w:rPr>
          <w:color w:val="5A7D3A"/>
          <w:sz w:val="18"/>
        </w:rPr>
        <w:t>https://pubmed.ncbi.nlm.nih.gov/42757587/</w:t>
      </w:r>
    </w:p>
    <w:p>
      <w:pPr>
        <w:pStyle w:val="Heading2"/>
      </w:pPr>
      <w:r>
        <w:t>Hochfrequente Thoraxoszillation + Kurzwelle verbessert COPD-Exazerbationen mehr als Einzeltherapie</w:t>
      </w:r>
    </w:p>
    <w:p>
      <w:r>
        <w:rPr>
          <w:i/>
          <w:color w:val="666666"/>
          <w:sz w:val="18"/>
        </w:rPr>
        <w:t>Li Q et al.  ·  Can Respir J  ·  2026  ·  PMID 42757565</w:t>
      </w:r>
    </w:p>
    <w:p>
      <w:r>
        <w:t>Randomisierte kontrollierte Dreigruppen-Studie mit 89 COPD-Exazerbationspatienten zu Kombination von Kurzwellentherapie (SWD) mit hochfrequenter Thoraxoszillation (HFCWO) vs. HFCWO allein vs. Standardbehandlung über 72 Stunden.</w:t>
      </w:r>
    </w:p>
    <w:p>
      <w:r>
        <w:rPr>
          <w:b/>
        </w:rPr>
        <w:t xml:space="preserve">Ergebnis: </w:t>
      </w:r>
      <w:r>
        <w:t>Nach 72 h: Kombinierte Therapie zeigte signifikant größere Reduktion CAT- und BCSS-Scores vs. HFCWO allein und Kontrolle (p&lt;0,05). Arterielle Blutgaswerte (PaO₂, PaCO₂) und Sputumclearance (24h-Volumen, Neutrophilen- und Eosinophilen-%) waren in der Kombinationsgruppe besser. Keine signifikanten Unterschiede in Lungenfunktion (FEV₁, FVC) oder Entzündungsmarkern (IL-6, CRP, WBC). Thermotherapie als adjuvante Strategie wirksam.</w:t>
      </w:r>
    </w:p>
    <w:p>
      <w:r>
        <w:rPr>
          <w:b/>
          <w:sz w:val="19"/>
        </w:rPr>
        <w:t xml:space="preserve">Übertragbarkeit: </w:t>
      </w:r>
      <w:r>
        <w:rPr>
          <w:sz w:val="19"/>
        </w:rPr>
        <w:t>China-Daten, aber Technik und Outcome-Parameter universell</w:t>
      </w:r>
    </w:p>
    <w:p>
      <w:r>
        <w:rPr>
          <w:color w:val="5A7D3A"/>
          <w:sz w:val="18"/>
        </w:rPr>
        <w:t>https://pubmed.ncbi.nlm.nih.gov/42757565/</w:t>
      </w:r>
    </w:p>
    <w:p>
      <w:pPr>
        <w:pStyle w:val="Heading2"/>
      </w:pPr>
      <w:r>
        <w:t>Chronisch Kranke brauchen maßgeschneiderte Betriebliche Gesundheitsförderung</w:t>
      </w:r>
    </w:p>
    <w:p>
      <w:r>
        <w:rPr>
          <w:i/>
          <w:color w:val="666666"/>
          <w:sz w:val="18"/>
        </w:rPr>
        <w:t>Schaller A et al.  ·  Front Public Health  ·  03.09.2026  ·  PMID 42756024</w:t>
      </w:r>
    </w:p>
    <w:p>
      <w:r>
        <w:t>Qualitative Interviewstudie mit 15 beschäftigten Patienten mit chronischen Erkrankungen zu ihren Bedürfnissen bezüglich bewegungsförderlicher betrieblicher Gesundheitsprogramme.</w:t>
      </w:r>
    </w:p>
    <w:p>
      <w:r>
        <w:rPr>
          <w:b/>
        </w:rPr>
        <w:t xml:space="preserve">Ergebnis: </w:t>
      </w:r>
      <w:r>
        <w:t>Vier Themenkomplexe identifiziert: Subjektives Gesundheitsverständnis, arbeitsplatzbedingte Herausforderungen (physisch und psychisch) mit Bewältigungsstrategien (Bewegung, Ernährung, soziales Umfeld, Entspannung), WHP-Erfahrungen und konkrete Wünsche. Zentrale Erkenntnis: BGF für chronisch Kranke muss mental, physisch und soziale Einschränkungen berücksichtigen und an arbeitsplatzspezifische Belastungen angepasst sein.</w:t>
      </w:r>
    </w:p>
    <w:p>
      <w:r>
        <w:rPr>
          <w:b/>
          <w:sz w:val="19"/>
        </w:rPr>
        <w:t xml:space="preserve">Übertragbarkeit: </w:t>
      </w:r>
      <w:r>
        <w:rPr>
          <w:sz w:val="19"/>
        </w:rPr>
        <w:t>Deutschland, Bundeswehr-Universität München, direkt übertragbar</w:t>
      </w:r>
    </w:p>
    <w:p>
      <w:r>
        <w:rPr>
          <w:color w:val="5A7D3A"/>
          <w:sz w:val="18"/>
        </w:rPr>
        <w:t>https://pubmed.ncbi.nlm.nih.gov/42756024/</w:t>
      </w:r>
    </w:p>
    <w:p>
      <w:pPr>
        <w:pStyle w:val="Heading2"/>
      </w:pPr>
      <w:r>
        <w:t>Erhöhtes TSH und Schilddrüsenhormonresistenz erhöhen CKD-Risiko bei Diabetes</w:t>
      </w:r>
    </w:p>
    <w:p>
      <w:r>
        <w:rPr>
          <w:i/>
          <w:color w:val="666666"/>
          <w:sz w:val="18"/>
        </w:rPr>
        <w:t>Huang H et al.  ·  Ren Fail  ·  18.09.2026  ·  PMID 42755292</w:t>
      </w:r>
    </w:p>
    <w:p>
      <w:r>
        <w:t>Querschnittstudie bei 2.759 Patienten mit Typ-2-Diabetes ohne periphere Schilddrüsendysfunktion zur Assoziation zwischen zentraler Schilddrüsenhormonresistenz und chronischer Nierenerkrankung.</w:t>
      </w:r>
    </w:p>
    <w:p>
      <w:r>
        <w:rPr>
          <w:b/>
        </w:rPr>
        <w:t xml:space="preserve">Ergebnis: </w:t>
      </w:r>
      <w:r>
        <w:t>Erhöhtes TSH (oberstes Quartil) und erhöhte zentrale Schilddrüsenhormonresistenz (TFQI, TT4RI, TSHI) waren unabhängig mit erhöhtem CKD-Risiko assoziiert. TSH-Quartil 4: OR 1,50 (95%-KI 1,08–2,07). Nicht-lineare Assoziation nachgewiesen. Nach Propensity-Score-Matching (n=684 Paare): OR 1,66 (95%-KI 1,21–2,27). Leicht verfügbare Indizes könnten für Früh-Risikostratifikation nützlich sein.</w:t>
      </w:r>
    </w:p>
    <w:p>
      <w:r>
        <w:rPr>
          <w:b/>
          <w:sz w:val="19"/>
        </w:rPr>
        <w:t xml:space="preserve">Übertragbarkeit: </w:t>
      </w:r>
      <w:r>
        <w:rPr>
          <w:sz w:val="19"/>
        </w:rPr>
        <w:t>China-Daten, aber Endokrinologie-Nierenpathologie universell gültig</w:t>
      </w:r>
    </w:p>
    <w:p>
      <w:r>
        <w:rPr>
          <w:color w:val="5A7D3A"/>
          <w:sz w:val="18"/>
        </w:rPr>
        <w:t>https://pubmed.ncbi.nlm.nih.gov/42755292/</w:t>
      </w:r>
    </w:p>
    <w:p>
      <w:pPr>
        <w:pStyle w:val="Heading2"/>
      </w:pPr>
      <w:r>
        <w:t>Zentralvenöse Katheter bei Dialyse über 80 Jahren erhöhen Sterblichkeit gegenüber arteriovenösen Fisteln um den Faktor 3</w:t>
      </w:r>
    </w:p>
    <w:p>
      <w:r>
        <w:rPr>
          <w:i/>
          <w:color w:val="666666"/>
          <w:sz w:val="18"/>
        </w:rPr>
        <w:t>Park JU et al.  ·  Korean J Intern Med  ·  01.09.2026  ·  PMID 42754529</w:t>
      </w:r>
    </w:p>
    <w:p>
      <w:r>
        <w:t>Koreanische nationale Kohortenstudie mit 79.286 Hämodialysepatienten (2012–2021) zur Mortalität nach Vascular-Access-Typ, stratifiziert nach Alter (inkl. Patienten über 80 Jahren).</w:t>
      </w:r>
    </w:p>
    <w:p>
      <w:r>
        <w:rPr>
          <w:b/>
        </w:rPr>
        <w:t xml:space="preserve">Ergebnis: </w:t>
      </w:r>
      <w:r>
        <w:t>Zentrale venöse Katheter (CVC) assoziiert mit höchster Mortalität. Vs. arteriovenöse Fistel (AVF): aHR 3,54 (95%-KI 3,43–3,65). Auch bei Patienten über 80 Jahren und über 90 Jahren erhöht (aHR 3,30; 95%-KI 3,14–3,47 bzw. 3,18; 95%-KI 2,65–3,82). CVC vs. Graft ebenfalls erhöhtes Risiko über alle Altersgruppen. Hohes Alter sollte keine Kontraindikation für AVF sein – individualisierte Entscheidungen erforderlich.</w:t>
      </w:r>
    </w:p>
    <w:p>
      <w:r>
        <w:rPr>
          <w:b/>
          <w:sz w:val="19"/>
        </w:rPr>
        <w:t xml:space="preserve">Übertragbarkeit: </w:t>
      </w:r>
      <w:r>
        <w:rPr>
          <w:sz w:val="19"/>
        </w:rPr>
        <w:t>Südkorea, Routineversorgungsdaten, Altersdemographie vergleichbar</w:t>
      </w:r>
    </w:p>
    <w:p>
      <w:r>
        <w:rPr>
          <w:color w:val="5A7D3A"/>
          <w:sz w:val="18"/>
        </w:rPr>
        <w:t>https://pubmed.ncbi.nlm.nih.gov/42754529/</w:t>
      </w:r>
    </w:p>
    <w:p>
      <w:pPr>
        <w:pStyle w:val="Heading1"/>
      </w:pPr>
      <w:r>
        <w:t>Aufgenommen am 18.09.2026</w:t>
      </w:r>
    </w:p>
    <w:p>
      <w:pPr>
        <w:pStyle w:val="Heading2"/>
      </w:pPr>
      <w:r>
        <w:t>Salzrestriktion senkte Nierenkomplikationen nur in frühem CKD-Stadium</w:t>
      </w:r>
    </w:p>
    <w:p>
      <w:r>
        <w:rPr>
          <w:i/>
          <w:color w:val="666666"/>
          <w:sz w:val="18"/>
        </w:rPr>
        <w:t>Miyauchi H et al.  ·  Nephrology (Carlton)  ·  Sept. 2026  ·  PMID 42754360</w:t>
      </w:r>
    </w:p>
    <w:p>
      <w:r>
        <w:t>Retrospektive Kohortenstudie mit 462 älteren Patienten (≥75 Jahre) untersuchte Zusammenhang zwischen Salzaufnahme und nierenspezifischen Outcomes nach CKD-Stadium stratifiziert.</w:t>
      </w:r>
    </w:p>
    <w:p>
      <w:r>
        <w:rPr>
          <w:b/>
        </w:rPr>
        <w:t xml:space="preserve">Ergebnis: </w:t>
      </w:r>
      <w:r>
        <w:t>In CKD-Stadium 3: höhere Salzaufnahme mit erhöhtem Risiko assoziiert (aHR 2,70; 95%-KI 1,02–7,12). In Stadien 4–5: keine signifikante Assoziation. Salzrestriktion scheint in frühen CKD-Stadien bei älteren Erwachsenen nutzbringend zu sein.</w:t>
      </w:r>
    </w:p>
    <w:p>
      <w:r>
        <w:rPr>
          <w:b/>
          <w:sz w:val="19"/>
        </w:rPr>
        <w:t xml:space="preserve">Übertragbarkeit: </w:t>
      </w:r>
      <w:r>
        <w:rPr>
          <w:sz w:val="19"/>
        </w:rPr>
        <w:t>Japan; ältere Population, Stadium-spezifische Empfehlung relevant für Deutsche Praxis.</w:t>
      </w:r>
    </w:p>
    <w:p>
      <w:r>
        <w:rPr>
          <w:color w:val="5A7D3A"/>
          <w:sz w:val="18"/>
        </w:rPr>
        <w:t>https://pubmed.ncbi.nlm.nih.gov/42754360/</w:t>
      </w:r>
    </w:p>
    <w:p>
      <w:pPr>
        <w:pStyle w:val="Heading2"/>
      </w:pPr>
      <w:r>
        <w:t>Symptombelastung korrelierte stark negativ mit Lebensqualität bei Chronischen Erkrankungen</w:t>
      </w:r>
    </w:p>
    <w:p>
      <w:r>
        <w:rPr>
          <w:i/>
          <w:color w:val="666666"/>
          <w:sz w:val="18"/>
        </w:rPr>
        <w:t>Shrestha H et al.  ·  Inquiry  ·  17.09.2026  ·  PMID 42751809</w:t>
      </w:r>
    </w:p>
    <w:p>
      <w:r>
        <w:t>Querschnittstudie mit 164 hospitalisierten Erwachsenen mit verschiedenen chronischen Erkrankungen untersuchte Symptombelastung (ESAS-r) und Lebensqualität (SF-36) sowie deren Assoziation.</w:t>
      </w:r>
    </w:p>
    <w:p>
      <w:r>
        <w:rPr>
          <w:b/>
        </w:rPr>
        <w:t xml:space="preserve">Ergebnis: </w:t>
      </w:r>
      <w:r>
        <w:t>92,1 % hatten hohe Symptombelastung (Median 50,5; IQR 40–57,5); 65,9 % berichteten schlechte Lebensqualität. Starke negative Korrelation zwischen Symptombelastung und Lebensqualität (rs=–0,620; 95%-KI [–0,941 bis –0,641]; p&lt;0,001). Symptombelastung war mit Komorbiditäten und Krankenhausaufenthalten signifikant assoziiert.</w:t>
      </w:r>
    </w:p>
    <w:p>
      <w:r>
        <w:rPr>
          <w:b/>
          <w:sz w:val="19"/>
        </w:rPr>
        <w:t xml:space="preserve">Übertragbarkeit: </w:t>
      </w:r>
      <w:r>
        <w:rPr>
          <w:sz w:val="19"/>
        </w:rPr>
        <w:t>Nepal; zeigt universelles Muster bei Mehrfacherkrankung, Screening-Bedarf bei deutschen Chronikern.</w:t>
      </w:r>
    </w:p>
    <w:p>
      <w:r>
        <w:rPr>
          <w:color w:val="5A7D3A"/>
          <w:sz w:val="18"/>
        </w:rPr>
        <w:t>https://pubmed.ncbi.nlm.nih.gov/42751809/</w:t>
      </w:r>
    </w:p>
    <w:p>
      <w:pPr>
        <w:pStyle w:val="Heading2"/>
      </w:pPr>
      <w:r>
        <w:t>Grünflächen verringerten COPD-Risiko um 13–17 Prozent</w:t>
      </w:r>
    </w:p>
    <w:p>
      <w:r>
        <w:rPr>
          <w:i/>
          <w:color w:val="666666"/>
          <w:sz w:val="18"/>
        </w:rPr>
        <w:t>Chen Y et al.  ·  Int J Chron Obstruct Pulmon Dis  ·  12.09.2026  ·  PMID 42751338</w:t>
      </w:r>
    </w:p>
    <w:p>
      <w:r>
        <w:t>Prospektive Kohortenstudie mit 385.502 UK-Biobank-Teilnehmern untersuchte, ob Wohngebiete mit Grün- und Blauflächen das COPD-Inzidenzrisiko senken.</w:t>
      </w:r>
    </w:p>
    <w:p>
      <w:r>
        <w:rPr>
          <w:b/>
        </w:rPr>
        <w:t xml:space="preserve">Ergebnis: </w:t>
      </w:r>
      <w:r>
        <w:t>Höhere Exposition gegenüber Grünflächen (HR 0,87; 95%-KI 0,83–0,92) und natürlicher Umgebung (HR 0,83; 95%-KI 0,78–0,87) waren mit niedrigerem COPD-Risiko verbunden, unabhängig von genetischer Anfälligkeit. Die Assoziation deutet auf präventives Potenzial von Umweltmaßnahmen hin.</w:t>
      </w:r>
    </w:p>
    <w:p>
      <w:r>
        <w:rPr>
          <w:b/>
          <w:sz w:val="19"/>
        </w:rPr>
        <w:t xml:space="preserve">Übertragbarkeit: </w:t>
      </w:r>
      <w:r>
        <w:rPr>
          <w:sz w:val="19"/>
        </w:rPr>
        <w:t>UK-Kohortenstudie; Umweltfaktoren gelten international, Transfer auf Präventionsinfrastruktur hängt von Planung ab.</w:t>
      </w:r>
    </w:p>
    <w:p>
      <w:r>
        <w:rPr>
          <w:color w:val="5A7D3A"/>
          <w:sz w:val="18"/>
        </w:rPr>
        <w:t>https://pubmed.ncbi.nlm.nih.gov/42751338/</w:t>
      </w:r>
    </w:p>
    <w:p>
      <w:pPr>
        <w:pStyle w:val="Heading2"/>
      </w:pPr>
      <w:r>
        <w:t>Höhere Ballaststoffaufnahme senkte COPD-Prävalenz und Entzündungsmarker</w:t>
      </w:r>
    </w:p>
    <w:p>
      <w:r>
        <w:rPr>
          <w:i/>
          <w:color w:val="666666"/>
          <w:sz w:val="18"/>
        </w:rPr>
        <w:t>Tu X et al.  ·  Int J Chron Obstruct Pulmon Dis  ·  11.09.2026  ·  PMID 42751152</w:t>
      </w:r>
    </w:p>
    <w:p>
      <w:r>
        <w:t>Zweistufige epidemiologische und klinische Kohortenstudie (NHANES 2013–2018 und 331 klinische Teilnehmer) untersuchte Assoziation zwischen Ballaststoffaufnahme und COPD sowie Entzündungsmarkern und zirkulierendem Lipopolysaccharid.</w:t>
      </w:r>
    </w:p>
    <w:p>
      <w:r>
        <w:rPr>
          <w:b/>
        </w:rPr>
        <w:t xml:space="preserve">Ergebnis: </w:t>
      </w:r>
      <w:r>
        <w:t>NHANES: höhere energieadjustierte Ballaststoffaufnahme war mit niedrigerer COPD-Prävalenz assoziiert. Klinische Kohorte: höhere Ballaststoffaufnahme bei COPD-Patienten korrelierte mit niedrigeren Entzündungsmarkern und zirkulierendem LPS. WBC und Neutrophile zeigten statistische Signifikanz mit jeweils 1,36 % und 4,22 % indirektem Effekt.</w:t>
      </w:r>
    </w:p>
    <w:p>
      <w:r>
        <w:rPr>
          <w:b/>
          <w:sz w:val="19"/>
        </w:rPr>
        <w:t xml:space="preserve">Übertragbarkeit: </w:t>
      </w:r>
      <w:r>
        <w:rPr>
          <w:sz w:val="19"/>
        </w:rPr>
        <w:t>USA (NHANES) und klinische Kohortendaten; Ernährungsintervention ist übertragbar, prospektive Studien erforderlich.</w:t>
      </w:r>
    </w:p>
    <w:p>
      <w:r>
        <w:rPr>
          <w:color w:val="5A7D3A"/>
          <w:sz w:val="18"/>
        </w:rPr>
        <w:t>https://pubmed.ncbi.nlm.nih.gov/42751152/</w:t>
      </w:r>
    </w:p>
    <w:p>
      <w:pPr>
        <w:pStyle w:val="Heading2"/>
      </w:pPr>
      <w:r>
        <w:t>HIV/Hepatitis-B-Koinfektion verschlechterte Lebensqualität erheblich</w:t>
      </w:r>
    </w:p>
    <w:p>
      <w:r>
        <w:rPr>
          <w:i/>
          <w:color w:val="666666"/>
          <w:sz w:val="18"/>
        </w:rPr>
        <w:t>Okeke E et al.  ·  BMC Infect Dis  ·  07.08.2026  ·  PMID 42750015</w:t>
      </w:r>
    </w:p>
    <w:p>
      <w:r>
        <w:t>Querschnittsanalyse von 884 Erwachsenen mit chronischer Hepatitis B in West- und Zentralafrika untersuchte gesundheitsbezogene Lebensqualität (SF-36) stratifiziert nach Behandlungsstatus und HIV-Status.</w:t>
      </w:r>
    </w:p>
    <w:p>
      <w:r>
        <w:rPr>
          <w:b/>
        </w:rPr>
        <w:t xml:space="preserve">Ergebnis: </w:t>
      </w:r>
      <w:r>
        <w:t>Mittlere Lebensqualität 77,8 (SD 16,9) insgesamt, aber signifikant niedriger bei HIV/HBV-Koinfektion unbehandelt (59,38 vs. 80,56 bei HBV-monoinfiziert; p&lt;0,01). Erhöhte Fibrosescores, Komorbiditäten und höheres Alter waren mit schlechterer Lebensqualität assoziiert; Energie war am meisten beeinträchtigt.</w:t>
      </w:r>
    </w:p>
    <w:p>
      <w:r>
        <w:rPr>
          <w:b/>
          <w:sz w:val="19"/>
        </w:rPr>
        <w:t xml:space="preserve">Übertragbarkeit: </w:t>
      </w:r>
      <w:r>
        <w:rPr>
          <w:sz w:val="19"/>
        </w:rPr>
        <w:t>Subsaharische Länder mit hoher HBV/HIV-Prävalenz; zeigt Bedarf für integrierte Versorgung auch bei deutscher Mehrfacherkrankung.</w:t>
      </w:r>
    </w:p>
    <w:p>
      <w:r>
        <w:rPr>
          <w:color w:val="5A7D3A"/>
          <w:sz w:val="18"/>
        </w:rPr>
        <w:t>https://pubmed.ncbi.nlm.nih.gov/42750015/</w:t>
      </w:r>
    </w:p>
    <w:p>
      <w:pPr>
        <w:pStyle w:val="Heading2"/>
      </w:pPr>
      <w:r>
        <w:t>Gemeindevolontäre steigerten Hepatitis-B-Therapietreue um 25 Prozentpunkte</w:t>
      </w:r>
    </w:p>
    <w:p>
      <w:r>
        <w:rPr>
          <w:i/>
          <w:color w:val="666666"/>
          <w:sz w:val="18"/>
        </w:rPr>
        <w:t>Western Pac Surveill Response J  ·  15.07.2026  ·  PMID 42746034</w:t>
      </w:r>
    </w:p>
    <w:p>
      <w:r>
        <w:t>Pilotstudie in Kiribati testete Gemeindevolontäre zur Verbesserung der Adhärenz zur Hepatitis-B-Antivirentherapie bei schwangeren Frauen und Patienten mit Zirrhose von Januar bis August 2025.</w:t>
      </w:r>
    </w:p>
    <w:p>
      <w:r>
        <w:rPr>
          <w:b/>
        </w:rPr>
        <w:t xml:space="preserve">Ergebnis: </w:t>
      </w:r>
      <w:r>
        <w:t>Therapietreue war 77,4 % in der Interventionsgruppe vs. 52,5 % in der Kontrollgruppe (p&lt;0,001); bei schwangeren Frauen 89,7 %; Adhärenz &gt;80 % erreichten 58,8 % der Intervention vs. 34,1 % der Kontrollen (p=0,0012). Die Strategie ist vielversprechend, aber vorläufig ohne Matching zwischen Gruppen.</w:t>
      </w:r>
    </w:p>
    <w:p>
      <w:r>
        <w:rPr>
          <w:b/>
          <w:sz w:val="19"/>
        </w:rPr>
        <w:t xml:space="preserve">Übertragbarkeit: </w:t>
      </w:r>
      <w:r>
        <w:rPr>
          <w:sz w:val="19"/>
        </w:rPr>
        <w:t>Pazifikischer Inselstaat mit hoher Prävalenz; Modell könnte auch andere chronische Erkrankungen erreichen, Transfer hängt von lokalen Ressourcen ab.</w:t>
      </w:r>
    </w:p>
    <w:p>
      <w:r>
        <w:rPr>
          <w:color w:val="5A7D3A"/>
          <w:sz w:val="18"/>
        </w:rPr>
        <w:t>https://pubmed.ncbi.nlm.nih.gov/42746034/</w:t>
      </w:r>
    </w:p>
    <w:p>
      <w:pPr>
        <w:pStyle w:val="Heading2"/>
      </w:pPr>
      <w:r>
        <w:t>SP16-Behandlung könnte Akute-Nierenschädigung bei Herzoperation verhindern</w:t>
      </w:r>
    </w:p>
    <w:p>
      <w:r>
        <w:rPr>
          <w:i/>
          <w:color w:val="666666"/>
          <w:sz w:val="18"/>
        </w:rPr>
        <w:t>Jobst-Schwan T et al.  ·  Trials  ·  28.08.2026  ·  PMID 42665834</w:t>
      </w:r>
    </w:p>
    <w:p>
      <w:r>
        <w:t>Phase-IIa-Studie prüft Sicherheit und Wirksamkeit von SP16 (LRP1-Agonist) zur Prävention akuter Nierenschädigung bei 120 Hochrisiko-Patienten mit chronischer Nierenkrankheit unter Herzoperation.</w:t>
      </w:r>
    </w:p>
    <w:p>
      <w:r>
        <w:rPr>
          <w:b/>
        </w:rPr>
        <w:t xml:space="preserve">Ergebnis: </w:t>
      </w:r>
      <w:r>
        <w:t>Geplante Primärendpunkte: Inzidenz akuter Nierenschädigung innerhalb 7 Tage postoperativ und Häufigkeit von Nebenwirkungen in 72 h. Rekrutierung geplant ab August 2026; Phase-IIa-Ergebnisse ausstehend. Frühe Phase-I-Sicherheit war gegeben.</w:t>
      </w:r>
    </w:p>
    <w:p>
      <w:r>
        <w:rPr>
          <w:b/>
          <w:sz w:val="19"/>
        </w:rPr>
        <w:t xml:space="preserve">Übertragbarkeit: </w:t>
      </w:r>
      <w:r>
        <w:rPr>
          <w:sz w:val="19"/>
        </w:rPr>
        <w:t>Deutsches Zentrum (Erlangen); experimentelles Stadium, externe Validierung erforderlich.</w:t>
      </w:r>
    </w:p>
    <w:p>
      <w:r>
        <w:rPr>
          <w:color w:val="5A7D3A"/>
          <w:sz w:val="18"/>
        </w:rPr>
        <w:t>https://pubmed.ncbi.nlm.nih.gov/42665834/</w:t>
      </w:r>
    </w:p>
    <w:p>
      <w:pPr>
        <w:pStyle w:val="Heading1"/>
      </w:pPr>
      <w:r>
        <w:t>Aufgenommen am 17.09.2026</w:t>
      </w:r>
    </w:p>
    <w:p>
      <w:pPr>
        <w:pStyle w:val="Heading2"/>
      </w:pPr>
      <w:r>
        <w:t>Orale Mehrfacherkrankungen bei älteren Menschen erfordern differenzierte Zahngesundheits-Strategien</w:t>
      </w:r>
    </w:p>
    <w:p>
      <w:r>
        <w:rPr>
          <w:i/>
          <w:color w:val="666666"/>
          <w:sz w:val="18"/>
        </w:rPr>
        <w:t>Jiang L et al.  ·  Clin Interv Aging  ·  11.09.2026  ·  PMID 42746399</w:t>
      </w:r>
    </w:p>
    <w:p>
      <w:r>
        <w:t>Latente-Klassen-Analyse identifizierte unterschiedliche Muster oraler Mehrfacherkrankung (Karies, Zahnfleischerkrankung, Zahnverlust) bei 423 älteren Chinesen (65–74 Jahre) und untersuchte soziale Determinanten der Klassenzugehörigkeit.</w:t>
      </w:r>
    </w:p>
    <w:p>
      <w:r>
        <w:rPr>
          <w:b/>
        </w:rPr>
        <w:t xml:space="preserve">Ergebnis: </w:t>
      </w:r>
      <w:r>
        <w:t>Drei Subtypen wurden identifiziert: Klasse 1 (23,9 %, niedrige Erkrankungslast); Klasse 2 (41,6 %, parodontaldominant mit schwerem Zahnverlust); Klasse 3 (34,5 %, kariesdominant). Älterung, Rauchen und Zahnarztbesuche waren assoziiert mit Klasse 2. Älterung, weibliches Geschlecht, urbaner Wohnort und Zahnarztbesuche waren mit Klasse 3 verbunden. Die Befunde legen subtyp-spezifische statt einheitlicher Zahngesundheitsstrategien nahe und zeigen, dass orale Mehrfacherkrankung unter älteren Menschen heterogen ist.</w:t>
      </w:r>
    </w:p>
    <w:p>
      <w:r>
        <w:rPr>
          <w:b/>
          <w:sz w:val="19"/>
        </w:rPr>
        <w:t xml:space="preserve">Übertragbarkeit: </w:t>
      </w:r>
      <w:r>
        <w:rPr>
          <w:sz w:val="19"/>
        </w:rPr>
        <w:t>China, aber methodisches Vorbild für Mehrfacherkrankungs-Phänotypisierung in allen Ländern übertragbar</w:t>
      </w:r>
    </w:p>
    <w:p>
      <w:r>
        <w:rPr>
          <w:color w:val="5A7D3A"/>
          <w:sz w:val="18"/>
        </w:rPr>
        <w:t>https://pubmed.ncbi.nlm.nih.gov/42746399/</w:t>
      </w:r>
    </w:p>
    <w:p>
      <w:pPr>
        <w:pStyle w:val="Heading2"/>
      </w:pPr>
      <w:r>
        <w:t>Post-Hepatitis-C-Lebersteifheit prognostiziert Dekompensation stärker als deren Veränderung</w:t>
      </w:r>
    </w:p>
    <w:p>
      <w:r>
        <w:rPr>
          <w:i/>
          <w:color w:val="666666"/>
          <w:sz w:val="18"/>
        </w:rPr>
        <w:t>Cerini F et al.  ·  Liver Int  ·  Okt. 2026  ·  PMID 42745428</w:t>
      </w:r>
    </w:p>
    <w:p>
      <w:r>
        <w:t>Retrospektive Kohortenstudie bei 135 Patienten mit HCV-bedingter kompensierter fortgeschrittener Lebererkrankung, die eine direkt wirkende antivirale Therapie (DAA) erhielten, prüfte, ob absolute post-SVR-Lebersteifheit (LSM) oder deren Veränderung den Verlauf nach Viruseradikation besser prognostizieren.</w:t>
      </w:r>
    </w:p>
    <w:p>
      <w:r>
        <w:rPr>
          <w:b/>
        </w:rPr>
        <w:t xml:space="preserve">Ergebnis: </w:t>
      </w:r>
      <w:r>
        <w:t>Bei medianer 60 Monate (95%-KI 52–69) Nachverfolgung entwickelten 8 % (11/135) leberbezogene Ereignisse. Absolute post-Therapie-LSM zeigte bessere diskriminative Fähigkeit (tAUC Jahr 2: 0,86; Jahr 3: 0,82) als deren Veränderung. Follow-up-LSM &gt; 20 kPa war unabhängig mit leberbezogenen Ereignissen assoziiert (SHR 5,61; p = 0,007), während Baveno-VII-Kriterien für LSM-Regression nicht signifikant waren (p = 0,097). Dies unterstützt wiederholte post-SVR-LSM-Bewertung zur Risikostratifizierung.</w:t>
      </w:r>
    </w:p>
    <w:p>
      <w:r>
        <w:rPr>
          <w:b/>
          <w:sz w:val="19"/>
        </w:rPr>
        <w:t xml:space="preserve">Übertragbarkeit: </w:t>
      </w:r>
      <w:r>
        <w:rPr>
          <w:sz w:val="19"/>
        </w:rPr>
        <w:t>Schweiz (Bern), deutschsprachiger Raum, vergleichbare hepatologische Versorgungsstandards</w:t>
      </w:r>
    </w:p>
    <w:p>
      <w:r>
        <w:rPr>
          <w:color w:val="5A7D3A"/>
          <w:sz w:val="18"/>
        </w:rPr>
        <w:t>https://pubmed.ncbi.nlm.nih.gov/42745428/</w:t>
      </w:r>
    </w:p>
    <w:p>
      <w:pPr>
        <w:pStyle w:val="Heading2"/>
      </w:pPr>
      <w:r>
        <w:t>Retrograde Datenerfassung zu pädiatrischen Patienten mit CKD-Anämie ermöglicht Registerstudie</w:t>
      </w:r>
    </w:p>
    <w:p>
      <w:r>
        <w:rPr>
          <w:i/>
          <w:color w:val="666666"/>
          <w:sz w:val="18"/>
        </w:rPr>
        <w:t>Mountcastle S et al.  ·  BMC Nephrol  ·  27.08.2026  ·  PMID 42717324</w:t>
      </w:r>
    </w:p>
    <w:p>
      <w:r>
        <w:t>Machbarkeitsstudie zur Durchführbarkeit der retrospektiven Erhebung klinischer Charakteristika, Behandlungshistorie und Nebenwirkungen bei pädiatrischen Dialyse-Patienten mit Anämie aus Krankenakten in UK und USA.</w:t>
      </w:r>
    </w:p>
    <w:p>
      <w:r>
        <w:rPr>
          <w:b/>
        </w:rPr>
        <w:t xml:space="preserve">Ergebnis: </w:t>
      </w:r>
      <w:r>
        <w:t>Unter 50 eingeschlossenen Patienten (36 UK, 14 USA, Median 9 Jahre) lag die mittlere Hemoglobin-Baseline bei 10,0 (2,0) g/dL. 46 % erhielten Eisentherapie mit der erythropoese-stimulierenden Therapie. Die mediane Nachverfolgung betrug 52,1 Wochen; 20 unerwünschte Ereignisse traten bei 9 (18 %) Patienten auf (alle schwerwiegend). Die Studie demonstrierte Machbarkeit, aus medizinischen Unterlagen klinische Charakteristika, Behandlungshistorie und Nebenwirkungen bei pädiatrischen Patienten mit CKD-Anämie zu erfassen.</w:t>
      </w:r>
    </w:p>
    <w:p>
      <w:r>
        <w:rPr>
          <w:b/>
          <w:sz w:val="19"/>
        </w:rPr>
        <w:t xml:space="preserve">Übertragbarkeit: </w:t>
      </w:r>
      <w:r>
        <w:rPr>
          <w:sz w:val="19"/>
        </w:rPr>
        <w:t>UK und USA, begrenzte Übertragbarkeit auf Deutschland; wesentlich für internationale Vergleichbarkeit von Pädiatrie-Versorgung</w:t>
      </w:r>
    </w:p>
    <w:p>
      <w:r>
        <w:rPr>
          <w:color w:val="5A7D3A"/>
          <w:sz w:val="18"/>
        </w:rPr>
        <w:t>https://pubmed.ncbi.nlm.nih.gov/42717324/</w:t>
      </w:r>
    </w:p>
    <w:p>
      <w:pPr>
        <w:pStyle w:val="Heading2"/>
      </w:pPr>
      <w:r>
        <w:t>Multimorbidität-Muster beeinflussen Therapieerfolg bei älteren Menschen mit Frailty</w:t>
      </w:r>
    </w:p>
    <w:p>
      <w:r>
        <w:rPr>
          <w:i/>
          <w:color w:val="666666"/>
          <w:sz w:val="18"/>
        </w:rPr>
        <w:t>Vetrano DL et al.  ·  Nat Aging  ·  31.08.2026  ·  PMID 42675189</w:t>
      </w:r>
    </w:p>
    <w:p>
      <w:r>
        <w:t>Die Studie prüfte, ob die Wirksamkeit eines multikomponentalen Lebensstil-Interventionsprogramms (körperliche Aktivität mit technologischer Unterstützung und Ernährungsberatung) bei älteren Menschen mit Frailty und Mehrfacherkrankungen je nach Erkrankungsmuster variiert.</w:t>
      </w:r>
    </w:p>
    <w:p>
      <w:r>
        <w:rPr>
          <w:b/>
        </w:rPr>
        <w:t xml:space="preserve">Ergebnis: </w:t>
      </w:r>
      <w:r>
        <w:t>Insgesamt reduzierte die Intervention das Risiko für Mobilitätsbehinderung oder Tod um 22 % (HR 0,78; 95%-KI 0,66–0,92). Bei Patienten mit psychiatrischem Erkrankungsmuster war der Nutzen besonders groß (HR 0,65; 95%-KI 0,47–0,92); diese Gruppe gewann im Median 3,09 Monate ohne Mobilitätseinschränkung oder Tod. Bei kardio-metabolischen und respiratorischen Mustern zeigten sich keine statistisch signifikanten Unterschiede. Dies zeigt, dass Erkrankungsmuster die Therapieansprechbarkeit beeinflussen und Risikostratifizierung für präventive Maßnahmen wichtig ist.</w:t>
      </w:r>
    </w:p>
    <w:p>
      <w:r>
        <w:rPr>
          <w:b/>
          <w:sz w:val="19"/>
        </w:rPr>
        <w:t xml:space="preserve">Übertragbarkeit: </w:t>
      </w:r>
      <w:r>
        <w:rPr>
          <w:sz w:val="19"/>
        </w:rPr>
        <w:t>Europäische Studie (Italien, Schweden, Deutschland), vergleichbare Struktur von Versorgung und Vorsorge</w:t>
      </w:r>
    </w:p>
    <w:p>
      <w:r>
        <w:rPr>
          <w:color w:val="5A7D3A"/>
          <w:sz w:val="18"/>
        </w:rPr>
        <w:t>https://pubmed.ncbi.nlm.nih.gov/42675189/</w:t>
      </w:r>
    </w:p>
    <w:p>
      <w:pPr>
        <w:pStyle w:val="Heading2"/>
      </w:pPr>
      <w:r>
        <w:t>Strukturierte COPD-Versorgung mit früher Diagnose und Triple-Inhalation senkt Mortalität</w:t>
      </w:r>
    </w:p>
    <w:p>
      <w:r>
        <w:rPr>
          <w:i/>
          <w:color w:val="666666"/>
          <w:sz w:val="18"/>
        </w:rPr>
        <w:t>Rogliani P et al.  ·  Intern Emerg Med  ·  21.08.2026  ·  PMID 42629534</w:t>
      </w:r>
    </w:p>
    <w:p>
      <w:r>
        <w:t>Italienische Expertengruppe entwickelte praktische Empfehlungen zur Optimierung der COPD-Versorgung im italienischen Gesundheitssystem, basierend auf aktuellen Daten und dem Problem der Unterdiagnose.</w:t>
      </w:r>
    </w:p>
    <w:p>
      <w:r>
        <w:rPr>
          <w:b/>
        </w:rPr>
        <w:t xml:space="preserve">Ergebnis: </w:t>
      </w:r>
      <w:r>
        <w:t>Die Empfehlungen betonen: (1) strukturierte Fallsuche in Hausarztpraxen mit Spirometrie zur frühen Diagnose; (2) Standardisierung der Identifikation unkontrollierter Patienten durch Symptom-Scores und indirekte Marker (rezidivierende Antibiotika- oder Kortikosteroid-Nutzung); (3) Single-Inhaler-Triple-Therapie (SITT) als einzige pharmakologische Strategie, die nachweislich Exazerbationen und Gesamtmortalität bei Hochrisikopatienten senkt. Die Auswirkung auf kardiopulmonale Dekompensation wird diskutiert. Ein integrierter Versorgungspfad und Überwindung therapeutischer Trägheit sind zentral.</w:t>
      </w:r>
    </w:p>
    <w:p>
      <w:r>
        <w:rPr>
          <w:b/>
          <w:sz w:val="19"/>
        </w:rPr>
        <w:t xml:space="preserve">Übertragbarkeit: </w:t>
      </w:r>
      <w:r>
        <w:rPr>
          <w:sz w:val="19"/>
        </w:rPr>
        <w:t>Italien, vergleichbare Verbraucherperspektive und Dokumentationssysteme wie Deutschland</w:t>
      </w:r>
    </w:p>
    <w:p>
      <w:r>
        <w:rPr>
          <w:color w:val="5A7D3A"/>
          <w:sz w:val="18"/>
        </w:rPr>
        <w:t>https://pubmed.ncbi.nlm.nih.gov/42629534/</w:t>
      </w:r>
    </w:p>
    <w:p>
      <w:pPr>
        <w:pStyle w:val="Heading2"/>
      </w:pPr>
      <w:r>
        <w:t>Retinale Gefäßzeichen vorhersagen Depressionsrisiko und nachfolgende chronische Erkrankungen</w:t>
      </w:r>
    </w:p>
    <w:p>
      <w:r>
        <w:rPr>
          <w:i/>
          <w:color w:val="666666"/>
          <w:sz w:val="18"/>
        </w:rPr>
        <w:t>Wang Y et al.  ·  J Affect Disord  ·  01.12.2026  ·  PMID 42551563</w:t>
      </w:r>
    </w:p>
    <w:p>
      <w:r>
        <w:t>Longitudinale Kohortenstudie untersuchte, ob retinale Gefäßstrukturen (quantifiziert aus Fundusphotographien) das Risiko für künftige Depression und darauffolgende chronische Erkrankungen in der UK Biobank vorhersagen.</w:t>
      </w:r>
    </w:p>
    <w:p>
      <w:r>
        <w:rPr>
          <w:b/>
        </w:rPr>
        <w:t xml:space="preserve">Ergebnis: </w:t>
      </w:r>
      <w:r>
        <w:t>Über mittlere 11,3 Jahre Follow-up waren breitere retinale Venen mit erhöhtem Depressionsrisiko assoziiert (zentrales retinales Venenäquivalent: HR 1,25, 95%-KI 1,06–1,48; Venenbreite: HR 1,31, 95%-KI 1,12–1,54). Bei 1.507 Patienten mit Depression ohne vorbestehende chronische Erkrankungen war niedrigere arterielle Gefäßdichte mit erhöhtem Gesamtrisiko für chronische Erkrankung assoziiert (HR 0,71, 95%-KI 0,54–0,95), während erhöhte retinale Gefäßtortuosität mit kardiovaskulärem Risiko verbunden war (HR 2,24–1,90). Retinale Gefäßneuroimaging könnte als nicht-invasiver Biomarker-Kandidat für Risikostratifizierung dienen.</w:t>
      </w:r>
    </w:p>
    <w:p>
      <w:r>
        <w:rPr>
          <w:b/>
          <w:sz w:val="19"/>
        </w:rPr>
        <w:t xml:space="preserve">Übertragbarkeit: </w:t>
      </w:r>
      <w:r>
        <w:rPr>
          <w:sz w:val="19"/>
        </w:rPr>
        <w:t>UK Biobank mit standardisierter digitaler Bildgebung, übertragbar auf deutsche Versorgungsforschung mit Screeningpotenzialen</w:t>
      </w:r>
    </w:p>
    <w:p>
      <w:r>
        <w:rPr>
          <w:color w:val="5A7D3A"/>
          <w:sz w:val="18"/>
        </w:rPr>
        <w:t>https://pubmed.ncbi.nlm.nih.gov/42551563/</w:t>
      </w:r>
    </w:p>
    <w:p>
      <w:pPr>
        <w:pStyle w:val="Heading1"/>
      </w:pPr>
      <w:r>
        <w:t>Aufgenommen am 16.09.2026</w:t>
      </w:r>
    </w:p>
    <w:p>
      <w:pPr>
        <w:pStyle w:val="Heading2"/>
      </w:pPr>
      <w:r>
        <w:t>Case Finding für COPD nach Lungenkrebs-Screening wird von Patienten akzeptiert</w:t>
      </w:r>
    </w:p>
    <w:p>
      <w:r>
        <w:rPr>
          <w:i/>
          <w:color w:val="666666"/>
          <w:sz w:val="18"/>
        </w:rPr>
        <w:t>Phillips OR et al.  ·  BMJ Open Respir Res  ·  15.09.2026  ·  PMID 42744412</w:t>
      </w:r>
    </w:p>
    <w:p>
      <w:r>
        <w:t>Qualitative Studie mit 15 teilstrukturierten Interviews: Untersuchung der Wahrnehmung von Patienten zum Case Finding für COPD nach Lungenkrebs-Screening mittels mobiler Forschungseinheit in Nottinghamshire.</w:t>
      </w:r>
    </w:p>
    <w:p>
      <w:r>
        <w:rPr>
          <w:b/>
        </w:rPr>
        <w:t xml:space="preserve">Ergebnis: </w:t>
      </w:r>
      <w:r>
        <w:t>Kernfaktoren für positive Bewertung: Lob für klinisches Personal, Zugänglichkeit und Atmosphäre der Forschungseinheit sowie Zweckmäßigkeit des Case Finding. Hauptproblem: Mangelnde Kommunikation mit Hausarztpraxen in den Wochen nach der Bewertung. Teilnehmer befürworteten eine landesweite Ausweitung des Ansatzes.</w:t>
      </w:r>
    </w:p>
    <w:p>
      <w:r>
        <w:rPr>
          <w:b/>
          <w:sz w:val="19"/>
        </w:rPr>
        <w:t xml:space="preserve">Übertragbarkeit: </w:t>
      </w:r>
      <w:r>
        <w:rPr>
          <w:sz w:val="19"/>
        </w:rPr>
        <w:t>UK (England), vergleichbar mit deutschem primärversorgtem System.</w:t>
      </w:r>
    </w:p>
    <w:p>
      <w:r>
        <w:rPr>
          <w:color w:val="5A7D3A"/>
          <w:sz w:val="18"/>
        </w:rPr>
        <w:t>https://pubmed.ncbi.nlm.nih.gov/42744412/</w:t>
      </w:r>
    </w:p>
    <w:p>
      <w:pPr>
        <w:pStyle w:val="Heading2"/>
      </w:pPr>
      <w:r>
        <w:t>Pharmazeut-geführte Interventionen verbessern Adhärenz zu Phosphatbindern und Phosphorkontrolle</w:t>
      </w:r>
    </w:p>
    <w:p>
      <w:r>
        <w:rPr>
          <w:i/>
          <w:color w:val="666666"/>
          <w:sz w:val="18"/>
        </w:rPr>
        <w:t>Trapp A et al.  ·  Nephrol Nurs J  ·  Juli 2026  ·  PMID 42742309</w:t>
      </w:r>
    </w:p>
    <w:p>
      <w:r>
        <w:t>Prospektive dreiphasige Studie: Evaluierung von pharmazeut-geführten Interventionen auf die Einhaltung von Phosphatbinder-Therapie und Phosphorkontrolle in einer Dialyse-Population mit Hemo-, Peritoneal- und Heimdialyse.</w:t>
      </w:r>
    </w:p>
    <w:p>
      <w:r>
        <w:rPr>
          <w:b/>
        </w:rPr>
        <w:t xml:space="preserve">Ergebnis: </w:t>
      </w:r>
      <w:r>
        <w:t>Pharmazeut-Integration in das Programm führte zu verbesserter Adhärenz, besserer Phosphorkontrolle und reduzierten Diskrepanzen in der Medikation. Das Programm verbesserte auch Ergebnisse und Workflow-Effizienz.</w:t>
      </w:r>
    </w:p>
    <w:p>
      <w:r>
        <w:rPr>
          <w:b/>
          <w:sz w:val="19"/>
        </w:rPr>
        <w:t xml:space="preserve">Übertragbarkeit: </w:t>
      </w:r>
      <w:r>
        <w:rPr>
          <w:sz w:val="19"/>
        </w:rPr>
        <w:t>USA (Oregon, Montana), aber Adhärenz-Intervention auf deutsches Dialyse-System übertragbar.</w:t>
      </w:r>
    </w:p>
    <w:p>
      <w:r>
        <w:rPr>
          <w:color w:val="5A7D3A"/>
          <w:sz w:val="18"/>
        </w:rPr>
        <w:t>https://pubmed.ncbi.nlm.nih.gov/42742309/</w:t>
      </w:r>
    </w:p>
    <w:p>
      <w:pPr>
        <w:pStyle w:val="Heading2"/>
      </w:pPr>
      <w:r>
        <w:t>Frühere Exazerbationen und höhere GOLD-Grade sagen künftige COPD-Exazerbationen voraus</w:t>
      </w:r>
    </w:p>
    <w:p>
      <w:r>
        <w:rPr>
          <w:i/>
          <w:color w:val="666666"/>
          <w:sz w:val="18"/>
        </w:rPr>
        <w:t>Song Q et al.  ·  Ann Med  ·  15.09.2026  ·  PMID 42741955</w:t>
      </w:r>
    </w:p>
    <w:p>
      <w:r>
        <w:t>Retrospektive Kohortenstudie an 1.076 COPD-Patienten unter Doppeltherapie (LABA/LAMA): Analyse von Risikofaktoren für zukünftige Exazerbationen während einjähriger Nachverfolgung.</w:t>
      </w:r>
    </w:p>
    <w:p>
      <w:r>
        <w:rPr>
          <w:b/>
        </w:rPr>
        <w:t xml:space="preserve">Ergebnis: </w:t>
      </w:r>
      <w:r>
        <w:t>284 Patienten (26,4%) erlebten während der Nachverfolgung Exazerbationen. Unabhängige Risikofaktoren: GOLD-Grade 3–4 (OR 1,343, 95%-KI 1,016–1,776), eine Exazerbation im Vorjahr (OR 1,763, 95%-KI 1,248–2,489) und ≥2 Exazerbationen im Vorjahr (OR 2,514, 95%-KI 1,792–3,525). In der Subgruppe mit Hypertonie (Gruppe B) war die Hypertonie ebenfalls Risikofaktor (OR 3,400).</w:t>
      </w:r>
    </w:p>
    <w:p>
      <w:r>
        <w:rPr>
          <w:b/>
          <w:sz w:val="19"/>
        </w:rPr>
        <w:t xml:space="preserve">Übertragbarkeit: </w:t>
      </w:r>
      <w:r>
        <w:rPr>
          <w:sz w:val="19"/>
        </w:rPr>
        <w:t>China, aber COPD-Klassifikation nach GOLD international standardisiert.</w:t>
      </w:r>
    </w:p>
    <w:p>
      <w:r>
        <w:rPr>
          <w:color w:val="5A7D3A"/>
          <w:sz w:val="18"/>
        </w:rPr>
        <w:t>https://pubmed.ncbi.nlm.nih.gov/42741955/</w:t>
      </w:r>
    </w:p>
    <w:p>
      <w:pPr>
        <w:pStyle w:val="Heading2"/>
      </w:pPr>
      <w:r>
        <w:t>CKD-Prävalenz stabil, aber Komorbiditäten zeigen divergente Trends über 20 Jahre</w:t>
      </w:r>
    </w:p>
    <w:p>
      <w:r>
        <w:rPr>
          <w:i/>
          <w:color w:val="666666"/>
          <w:sz w:val="18"/>
        </w:rPr>
        <w:t>Farag YM et al.  ·  Ren Fail  ·  14.09.2026  ·  PMID 42736589</w:t>
      </w:r>
    </w:p>
    <w:p>
      <w:r>
        <w:t>Trend-Analyse von 1999–2018 mit NHANES-Daten: Untersuchung der CKD-Prävalenz und neun Komorbiditäten (Adipositas, Diabetes, Hypertonie, Anämie etc.) nach eGFR- und Albuminurie-Kategorien.</w:t>
      </w:r>
    </w:p>
    <w:p>
      <w:r>
        <w:rPr>
          <w:b/>
        </w:rPr>
        <w:t xml:space="preserve">Ergebnis: </w:t>
      </w:r>
      <w:r>
        <w:t>CKD-Prävalenz stabil bei 20% bei Erwachsenen ≥20 Jahren. Adipositas und Diabetes nahmen signifikant zu, Hypertonie, Anämie, Hyperkalämie und kardiovaskuläre Erkrankung blieben stabil. Hypertriglyzeridämie und Hypercholesterinämie zeigten initialen Anstieg, dann Plateau. Ungleiche Verteilung der Komorbiditäten über KDIGO-eGFR- und Albuminurie-Unterkategorien, mit erhöhtem Risiko in G3bA2- und G4A1-Patienten.</w:t>
      </w:r>
    </w:p>
    <w:p>
      <w:r>
        <w:rPr>
          <w:b/>
          <w:sz w:val="19"/>
        </w:rPr>
        <w:t xml:space="preserve">Übertragbarkeit: </w:t>
      </w:r>
      <w:r>
        <w:rPr>
          <w:sz w:val="19"/>
        </w:rPr>
        <w:t>USA, aber KDIGO-Klassifikation international standardisiert; Epidemiologie informativ für Ressourcenplanung in Deutschland.</w:t>
      </w:r>
    </w:p>
    <w:p>
      <w:r>
        <w:rPr>
          <w:color w:val="5A7D3A"/>
          <w:sz w:val="18"/>
        </w:rPr>
        <w:t>https://pubmed.ncbi.nlm.nih.gov/42736589/</w:t>
      </w:r>
    </w:p>
    <w:p>
      <w:pPr>
        <w:pStyle w:val="Heading2"/>
      </w:pPr>
      <w:r>
        <w:t>Mehrfacherkrankung verschärft sich durch Einsamkeit und soziale Inaktivität</w:t>
      </w:r>
    </w:p>
    <w:p>
      <w:r>
        <w:rPr>
          <w:i/>
          <w:color w:val="666666"/>
          <w:sz w:val="18"/>
        </w:rPr>
        <w:t>Zhou Y et al.  ·  Nat Commun  ·  15.08.2026  ·  PMID 42736300</w:t>
      </w:r>
    </w:p>
    <w:p>
      <w:r>
        <w:t>Längsschnittstudie in 19 Ländern an Personen ab 45 Jahren: Untersucht wurden bidirektionale Assoziationen zwischen körperlicher Mehrfacherkrankung und Einsamkeit sowie die vermittelnde Rolle sozialer Inaktivität.</w:t>
      </w:r>
    </w:p>
    <w:p>
      <w:r>
        <w:rPr>
          <w:b/>
        </w:rPr>
        <w:t xml:space="preserve">Ergebnis: </w:t>
      </w:r>
      <w:r>
        <w:t>Mehrfacherkrankung erhöhte das Risiko für Einsamkeit (adjustierte HR 1,25, 95%-KI 1,20–1,30). Einsamkeit erhöhte wiederum das Risiko für Mehrfacherkrankung (adjustierte HR 1,10, 95%-KI 1,05–1,17). Soziale Inaktivität vermittelte diese Assoziation teilweise. Diese Befunde deuten auf einen Teufelskreis hin, in dem jede Erkrankung die andere verschärft.</w:t>
      </w:r>
    </w:p>
    <w:p>
      <w:r>
        <w:rPr>
          <w:b/>
          <w:sz w:val="19"/>
        </w:rPr>
        <w:t xml:space="preserve">Übertragbarkeit: </w:t>
      </w:r>
      <w:r>
        <w:rPr>
          <w:sz w:val="19"/>
        </w:rPr>
        <w:t>UK und europäische Daten, aber Mehrlän-der-Analyse; Vergleichbarkeit länderspezifisch unterschiedlich.</w:t>
      </w:r>
    </w:p>
    <w:p>
      <w:r>
        <w:rPr>
          <w:color w:val="5A7D3A"/>
          <w:sz w:val="18"/>
        </w:rPr>
        <w:t>https://pubmed.ncbi.nlm.nih.gov/42736300/</w:t>
      </w:r>
    </w:p>
    <w:p>
      <w:pPr>
        <w:pStyle w:val="Heading2"/>
      </w:pPr>
      <w:r>
        <w:t>Metabolische Biomarker sagen Übergang zur kardiometabolischen Mehrfacherkrankung voraus</w:t>
      </w:r>
    </w:p>
    <w:p>
      <w:r>
        <w:rPr>
          <w:i/>
          <w:color w:val="666666"/>
          <w:sz w:val="18"/>
        </w:rPr>
        <w:t>Sun M et al.  ·  Maturitas  ·  22.08.2026  ·  PMID 42664616</w:t>
      </w:r>
    </w:p>
    <w:p>
      <w:r>
        <w:t>Analyse von 79.712 Personen ohne kardiometabolische Erkrankung aus der UK Biobank: Identifizierung von 249 Metaboliten, die mit kardiometabolischer Mehrfacherkrankung assoziiert sind, und Entwicklung eines Metaboliten-Risiko-Scores.</w:t>
      </w:r>
    </w:p>
    <w:p>
      <w:r>
        <w:rPr>
          <w:b/>
        </w:rPr>
        <w:t xml:space="preserve">Ergebnis: </w:t>
      </w:r>
      <w:r>
        <w:t>183 der 249 Metaboliten waren mit kardiometabolischer Mehrfacherkrankung assoziiert. Der Metaboliten-Risiko-Score zeigte eine starke positive Assoziation (HR 2,67, 95%-KI 2,05–3,49). Personen mit höherem Score hatten ein erhöhtes Risiko, vom gesunden Zustand zur ersten kardiometabolischen Erkrankung fortzuschreiten (HR 1,71, 95%-KI 1,51–1,93) und von dort zur Mehrfacherkrankung (HR 1,89, 95%-KI 1,45–2,47).</w:t>
      </w:r>
    </w:p>
    <w:p>
      <w:r>
        <w:rPr>
          <w:b/>
          <w:sz w:val="19"/>
        </w:rPr>
        <w:t xml:space="preserve">Übertragbarkeit: </w:t>
      </w:r>
      <w:r>
        <w:rPr>
          <w:sz w:val="19"/>
        </w:rPr>
        <w:t>UK Biobank, aber Metaboliten-Verfahren international nicht standardisiert; Übertragbarkeit auf Deutschland begrenzt.</w:t>
      </w:r>
    </w:p>
    <w:p>
      <w:r>
        <w:rPr>
          <w:color w:val="5A7D3A"/>
          <w:sz w:val="18"/>
        </w:rPr>
        <w:t>https://pubmed.ncbi.nlm.nih.gov/42664616/</w:t>
      </w:r>
    </w:p>
    <w:p>
      <w:pPr>
        <w:pStyle w:val="Heading1"/>
      </w:pPr>
      <w:r>
        <w:t>Aufgenommen am 15.09.2026</w:t>
      </w:r>
    </w:p>
    <w:p>
      <w:pPr>
        <w:pStyle w:val="Heading2"/>
      </w:pPr>
      <w:r>
        <w:t>Medikamenten-Adhärenz bei Mehrfacherkrankung nur 14,7 % – Schlechte Refill-Planung Hauptbarriere</w:t>
      </w:r>
    </w:p>
    <w:p>
      <w:r>
        <w:rPr>
          <w:i/>
          <w:color w:val="666666"/>
          <w:sz w:val="18"/>
        </w:rPr>
        <w:t>Alturki H et al.  ·  East Mediterr Health J  ·  03.09.2026  ·  PMID 42734196</w:t>
      </w:r>
    </w:p>
    <w:p>
      <w:r>
        <w:t>Querschnittsstudie zur Therapietreue bei 339 saudi-arabischen Erwachsenen (≥45 Jahre) mit mindestens zwei chronischen Erkrankungen; Identifikation von Gründen für Nicht-Adhärenz.</w:t>
      </w:r>
    </w:p>
    <w:p>
      <w:r>
        <w:rPr>
          <w:b/>
        </w:rPr>
        <w:t xml:space="preserve">Ergebnis: </w:t>
      </w:r>
      <w:r>
        <w:t>Nur 14,7 % der Teilnehmer waren adhärent; Prävalenz von Nicht-Adhärenz &gt;85 %; wichtigste Gründe: schlechte Refill-Planung (68,1 %) und Medikamentenskipping bei Besserung (22,1 %); jüngeres Alter (45-54 Jahre) mit höherem Nicht-Adhärenz-Risiko (OR=3,78; 95%-KI: 1,36-10,49).</w:t>
      </w:r>
    </w:p>
    <w:p>
      <w:r>
        <w:rPr>
          <w:b/>
          <w:sz w:val="19"/>
        </w:rPr>
        <w:t xml:space="preserve">Übertragbarkeit: </w:t>
      </w:r>
      <w:r>
        <w:rPr>
          <w:sz w:val="19"/>
        </w:rPr>
        <w:t>Vergleichbare Sozialversicherungsstrukturen, Mehrfacherkrankung-Fokus zentral</w:t>
      </w:r>
    </w:p>
    <w:p>
      <w:r>
        <w:rPr>
          <w:color w:val="5A7D3A"/>
          <w:sz w:val="18"/>
        </w:rPr>
        <w:t>https://pubmed.ncbi.nlm.nih.gov/42734196/</w:t>
      </w:r>
    </w:p>
    <w:p>
      <w:pPr>
        <w:pStyle w:val="Heading2"/>
      </w:pPr>
      <w:r>
        <w:t>Mehrfacherkrankungen assoziiert mit Debilität und Schmerz – 51 % der Bevölkerung lehnen den Begriff ab</w:t>
      </w:r>
    </w:p>
    <w:p>
      <w:r>
        <w:rPr>
          <w:i/>
          <w:color w:val="666666"/>
          <w:sz w:val="18"/>
        </w:rPr>
        <w:t>Bellass S et al.  ·  Health Expect  ·  Okt. 2026  ·  PMID 42734167</w:t>
      </w:r>
    </w:p>
    <w:p>
      <w:r>
        <w:t>Qualitative Analyse von 141 Berichten aus dem Mass Observation Project zu öffentlichen Wahrnehmungen von Mehrfacherkrankungen; Kategorisierung von Reaktionen (adoptierend, übersehend, widerständig, ablehnend).</w:t>
      </w:r>
    </w:p>
    <w:p>
      <w:r>
        <w:rPr>
          <w:b/>
        </w:rPr>
        <w:t xml:space="preserve">Ergebnis: </w:t>
      </w:r>
      <w:r>
        <w:t>53,9 % der Respondenten lebten mit Mehrfacherkrankungen; alle assoziierte Mehrfacherkrankungen mit belastenden verkörperten Erfahrungen wie Schmerz und Debilität; 51,8 % übernahmen das Konstrukt, 11,3 % lehnten es ab wegen Besorgnis über Nutzen, Inkongruenz mit persönlicher Erfahrung oder Medikalisierung; Implikationen für Forschungseinschluss und Interventions-Akzeptanz.</w:t>
      </w:r>
    </w:p>
    <w:p>
      <w:r>
        <w:rPr>
          <w:b/>
          <w:sz w:val="19"/>
        </w:rPr>
        <w:t xml:space="preserve">Übertragbarkeit: </w:t>
      </w:r>
      <w:r>
        <w:rPr>
          <w:sz w:val="19"/>
        </w:rPr>
        <w:t>Großbritannien, qualitative Evidenz zu Versorgungsbedarf und Patient Engagement</w:t>
      </w:r>
    </w:p>
    <w:p>
      <w:r>
        <w:rPr>
          <w:color w:val="5A7D3A"/>
          <w:sz w:val="18"/>
        </w:rPr>
        <w:t>https://pubmed.ncbi.nlm.nih.gov/42734167/</w:t>
      </w:r>
    </w:p>
    <w:p>
      <w:pPr>
        <w:pStyle w:val="Heading2"/>
      </w:pPr>
      <w:r>
        <w:t>Hochintensives Ausdauertraining steigert Nahrungsaufnahme bei COPD um 117 kcal/Tag</w:t>
      </w:r>
    </w:p>
    <w:p>
      <w:r>
        <w:rPr>
          <w:i/>
          <w:color w:val="666666"/>
          <w:sz w:val="18"/>
        </w:rPr>
        <w:t>Ikeuchi T et al.  ·  Int J Chron Obstruct Pulmon Dis  ·  09.09.2026  ·  PMID 42733827</w:t>
      </w:r>
    </w:p>
    <w:p>
      <w:r>
        <w:t>Prospektive Beobachtungsstudie zu Veränderungen der Nahrungsaufnahme und Leptin-Werte während eines 6-Wochen-Pulmonale-Rehabilitation-Programms mit exploratorischen Analysen nach Erreichung hochintensiven Trainings.</w:t>
      </w:r>
    </w:p>
    <w:p>
      <w:r>
        <w:rPr>
          <w:b/>
        </w:rPr>
        <w:t xml:space="preserve">Ergebnis: </w:t>
      </w:r>
      <w:r>
        <w:t>Nahrungsaufnahme stieg signifikant von 1367 auf 1484 kcal/Tag (p=0,01); Leptin änderte sich insgesamt nicht signifikant, aber bei Patienten mit hoher Trainingsintensität zeigte sich ein stärkerer Leptin-Rückgang (B=-4,47, p&lt;0,01).</w:t>
      </w:r>
    </w:p>
    <w:p>
      <w:r>
        <w:rPr>
          <w:b/>
          <w:sz w:val="19"/>
        </w:rPr>
        <w:t xml:space="preserve">Übertragbarkeit: </w:t>
      </w:r>
      <w:r>
        <w:rPr>
          <w:sz w:val="19"/>
        </w:rPr>
        <w:t>Japan, publiziert international, Pulmonale Rehabilitation als etabliertes Konzept</w:t>
      </w:r>
    </w:p>
    <w:p>
      <w:r>
        <w:rPr>
          <w:color w:val="5A7D3A"/>
          <w:sz w:val="18"/>
        </w:rPr>
        <w:t>https://pubmed.ncbi.nlm.nih.gov/42733827/</w:t>
      </w:r>
    </w:p>
    <w:p>
      <w:pPr>
        <w:pStyle w:val="Heading2"/>
      </w:pPr>
      <w:r>
        <w:t>INHBC-Protein vermittelt 1,3 % des Typ-2-Diabetes-zu-Nierenkrankheit-Effekts</w:t>
      </w:r>
    </w:p>
    <w:p>
      <w:r>
        <w:rPr>
          <w:i/>
          <w:color w:val="666666"/>
          <w:sz w:val="18"/>
        </w:rPr>
        <w:t>Liang KYH et al.  ·  PLoS Med  ·  11.09.2026  ·  PMID 42726788</w:t>
      </w:r>
    </w:p>
    <w:p>
      <w:r>
        <w:t>Zweistufige Mendelsche Randomisierung mit Proteomik-GWAS (35.559 Individuen deCODE, 80.154 T2D-Fälle) und Nierenmerkmale (bis 1.004.040 Teilnehmer) zur Identifikation von Protein-Mediatoren des CKD-Risikos bei T2D.</w:t>
      </w:r>
    </w:p>
    <w:p>
      <w:r>
        <w:rPr>
          <w:b/>
        </w:rPr>
        <w:t xml:space="preserve">Ergebnis: </w:t>
      </w:r>
      <w:r>
        <w:t>71 zirkulierende Proteine durch genetische T2D-Veranlagung beeinflusst; fünf Proteine (INHBC, GNPTG, LPO, AGRN, CTSD) beeinflussten Nierenmerkmale; höhere INHBC assoziiert mit niedrigerem eGFR und höherem BUN (MR); INHBC vermittelt geschätzt 1,3 % (95%-KI: 0,85-1,9 %) der T2D-zu-Nierenkrankheit-Assoziation in UK Biobank (37.854 Teilnehmer).</w:t>
      </w:r>
    </w:p>
    <w:p>
      <w:r>
        <w:rPr>
          <w:b/>
          <w:sz w:val="19"/>
        </w:rPr>
        <w:t xml:space="preserve">Übertragbarkeit: </w:t>
      </w:r>
      <w:r>
        <w:rPr>
          <w:sz w:val="19"/>
        </w:rPr>
        <w:t>UK Biobank und multiple europäische Kohorten, Versorgungsrelevanz durch Zielprotein begrenzt</w:t>
      </w:r>
    </w:p>
    <w:p>
      <w:r>
        <w:rPr>
          <w:color w:val="5A7D3A"/>
          <w:sz w:val="18"/>
        </w:rPr>
        <w:t>https://pubmed.ncbi.nlm.nih.gov/42726788/</w:t>
      </w:r>
    </w:p>
    <w:p>
      <w:pPr>
        <w:pStyle w:val="Heading2"/>
      </w:pPr>
      <w:r>
        <w:t>RSV-Infektionen erhöhen Krankenhausaufenthalt bei COPD-Exazerbation</w:t>
      </w:r>
    </w:p>
    <w:p>
      <w:r>
        <w:rPr>
          <w:i/>
          <w:color w:val="666666"/>
          <w:sz w:val="18"/>
        </w:rPr>
        <w:t>Agusti A et al.  ·  BMJ Open  ·  20.07.2026  ·  PMID 42476737</w:t>
      </w:r>
    </w:p>
    <w:p>
      <w:r>
        <w:t>Prospektive multizentrische Kohortenstudie, die die Häufigkeit von RSV-Infektionen bei COPD-Exazerbationen und ihre Assoziation mit Hospitalisierung, Krankenhausdauer und kardialen Ereignissen untersucht.</w:t>
      </w:r>
    </w:p>
    <w:p>
      <w:r>
        <w:rPr>
          <w:b/>
        </w:rPr>
        <w:t xml:space="preserve">Ergebnis: </w:t>
      </w:r>
      <w:r>
        <w:t>Design der RECODE-Studie mit geplanter Erfassung von RSV-Nachweis mittels RT-PCR und Outcome-Messung nach 15 Tagen und 3 Monaten; erste Ergebnisse noch nicht verfügbar, aber Studienprotokoll zeigt systematische Erfassung klinisch relevanter Endpunkte.</w:t>
      </w:r>
    </w:p>
    <w:p>
      <w:r>
        <w:rPr>
          <w:b/>
          <w:sz w:val="19"/>
        </w:rPr>
        <w:t xml:space="preserve">Übertragbarkeit: </w:t>
      </w:r>
      <w:r>
        <w:rPr>
          <w:sz w:val="19"/>
        </w:rPr>
        <w:t>Spanien, europäisches Gesundheitssystem, vergleichbare COPD-Versorgung</w:t>
      </w:r>
    </w:p>
    <w:p>
      <w:r>
        <w:rPr>
          <w:color w:val="5A7D3A"/>
          <w:sz w:val="18"/>
        </w:rPr>
        <w:t>https://pubmed.ncbi.nlm.nih.gov/42476737/</w:t>
      </w:r>
    </w:p>
    <w:p>
      <w:pPr>
        <w:pStyle w:val="Heading2"/>
      </w:pPr>
      <w:r>
        <w:t>Chronische Nierenkrankheit assoziiert mit Herzinsuffizienz-mit-erhaltener-EF – zwei-facher Odds 2,46</w:t>
      </w:r>
    </w:p>
    <w:p>
      <w:r>
        <w:rPr>
          <w:i/>
          <w:color w:val="666666"/>
          <w:sz w:val="18"/>
        </w:rPr>
        <w:t>Valente V et al.  ·  ESC Heart Fail  ·  04.07.2026  ·  PMID 42471242</w:t>
      </w:r>
    </w:p>
    <w:p>
      <w:r>
        <w:t>Retrospektive Fall-Kontroll-Studie mit Daten aus dem Schwedischen Herzinsuffizienz-Register (2005-2021); Assoziation zwischen CKD und neu aufgetretener Herzinsuffizienz über das EF-Spektrum.</w:t>
      </w:r>
    </w:p>
    <w:p>
      <w:r>
        <w:rPr>
          <w:b/>
        </w:rPr>
        <w:t xml:space="preserve">Ergebnis: </w:t>
      </w:r>
      <w:r>
        <w:t>51.848 Herzinsuffizienz-Patienten und 51.848 Kontrollen; CKD assoziiert mit ~zwei-fach höheres HI-Risiko, besonders für HFpEF vs. HFrEF (ICD-10-Definition: OR 2,46 vs. 1,52; p-Interaktion=0,001); moderate bis fortgeschrittene CKD (KDIGO G3b-G5) stärker mit HFpEF assoziiert als mit HFrEF.</w:t>
      </w:r>
    </w:p>
    <w:p>
      <w:r>
        <w:rPr>
          <w:b/>
          <w:sz w:val="19"/>
        </w:rPr>
        <w:t xml:space="preserve">Übertragbarkeit: </w:t>
      </w:r>
      <w:r>
        <w:rPr>
          <w:sz w:val="19"/>
        </w:rPr>
        <w:t>Schweden, europäisches Register mit Dokumentationspflicht, vergleichbar</w:t>
      </w:r>
    </w:p>
    <w:p>
      <w:r>
        <w:rPr>
          <w:color w:val="5A7D3A"/>
          <w:sz w:val="18"/>
        </w:rPr>
        <w:t>https://pubmed.ncbi.nlm.nih.gov/42471242/</w:t>
      </w:r>
    </w:p>
    <w:p>
      <w:pPr>
        <w:pStyle w:val="Heading1"/>
      </w:pPr>
      <w:r>
        <w:t>Aufgenommen am 14.09.2026</w:t>
      </w:r>
    </w:p>
    <w:p>
      <w:pPr>
        <w:pStyle w:val="Heading2"/>
      </w:pPr>
      <w:r>
        <w:t>Low-Carb-Ernährung senkt Mortalität bei chronischen Erkrankungen: Meta-Analyse</w:t>
      </w:r>
    </w:p>
    <w:p>
      <w:r>
        <w:rPr>
          <w:i/>
          <w:color w:val="666666"/>
          <w:sz w:val="18"/>
        </w:rPr>
        <w:t>Duc TQ et al.  ·  BMJ Open  ·  11.09.2026  ·  PMID 42731843</w:t>
      </w:r>
    </w:p>
    <w:p>
      <w:r>
        <w:t>Systematische Review und Meta-Analyse von Prospektivkohorten zur Assoziation unterschiedlicher Low-Carbohydrat-Ernährungsmuster mit Gesamtmortalität in der Allgemeinbevölkerung und bei chronischen Erkrankungen.</w:t>
      </w:r>
    </w:p>
    <w:p>
      <w:r>
        <w:rPr>
          <w:b/>
        </w:rPr>
        <w:t xml:space="preserve">Ergebnis: </w:t>
      </w:r>
      <w:r>
        <w:t>Gesunde Low-Carb-Ernährung war mit niedrigerer Mortalität bei chronischen Erkrankungen assoziiert (HR 0,72, 95%-KI 0,69–0,76; I² = 0 %; hohe Gewissheit), nicht aber in der Allgemeinbevölkerung (HR 0,93, 95%-KI 0,85–1,01; moderate Gewissheit). Ungesunde Low-Carb-Diäten waren in beiden Populationen nicht mit Mortalität assoziiert.</w:t>
      </w:r>
    </w:p>
    <w:p>
      <w:r>
        <w:rPr>
          <w:b/>
          <w:sz w:val="19"/>
        </w:rPr>
        <w:t xml:space="preserve">Übertragbarkeit: </w:t>
      </w:r>
      <w:r>
        <w:rPr>
          <w:sz w:val="19"/>
        </w:rPr>
        <w:t>18 Länderübergreifende Kohortenstudien mit 779.158 Teilnehmern; Ernährungsempfehlungen universal anwendbar.</w:t>
      </w:r>
    </w:p>
    <w:p>
      <w:r>
        <w:rPr>
          <w:color w:val="5A7D3A"/>
          <w:sz w:val="18"/>
        </w:rPr>
        <w:t>https://pubmed.ncbi.nlm.nih.gov/42731843/</w:t>
      </w:r>
    </w:p>
    <w:p>
      <w:pPr>
        <w:pStyle w:val="Heading2"/>
      </w:pPr>
      <w:r>
        <w:t>Glittre-ADL-Test vorhersagt Mortalität bei Hämodialysepatienten zuverlässig</w:t>
      </w:r>
    </w:p>
    <w:p>
      <w:r>
        <w:rPr>
          <w:i/>
          <w:color w:val="666666"/>
          <w:sz w:val="18"/>
        </w:rPr>
        <w:t>Santos JNV et al.  ·  J Bras Nefrol  ·  Okt. 2026  ·  PMID 42726081</w:t>
      </w:r>
    </w:p>
    <w:p>
      <w:r>
        <w:t>Prospektive Beobachtungsstudie zur Prognosekraft der Funktionsfähigkeit (gemessen mit dem Glittre-ADL-Test) für Mortalität bei Hämodialysepatienten in Brasilien.</w:t>
      </w:r>
    </w:p>
    <w:p>
      <w:r>
        <w:rPr>
          <w:b/>
        </w:rPr>
        <w:t xml:space="preserve">Ergebnis: </w:t>
      </w:r>
      <w:r>
        <w:t>Bei 76 eingeschlossenen Patienten war der Glittre-ADL-Test (HR 1,003 [95%-KI 1,001–1,006]; p = 0,03) und Alter (HR 1,049 [95%-KI 1,020–1,078]; p &lt; 0,001) unabhängig mit Mortalität assoziiert; optimaler Cut-off-Wert ≥268,5 Sekunden identifizierte Todesrisiko mit AUC von 0,86 (95%-KI 0,77–0,94).</w:t>
      </w:r>
    </w:p>
    <w:p>
      <w:r>
        <w:rPr>
          <w:b/>
          <w:sz w:val="19"/>
        </w:rPr>
        <w:t xml:space="preserve">Übertragbarkeit: </w:t>
      </w:r>
      <w:r>
        <w:rPr>
          <w:sz w:val="19"/>
        </w:rPr>
        <w:t>Brasilien, physikalische Rehabilitationsmessung; Übertragbarkeit des Funktionsmerkmals auf deutsches Dialysesetting gegeben.</w:t>
      </w:r>
    </w:p>
    <w:p>
      <w:r>
        <w:rPr>
          <w:color w:val="5A7D3A"/>
          <w:sz w:val="18"/>
        </w:rPr>
        <w:t>https://pubmed.ncbi.nlm.nih.gov/42726081/</w:t>
      </w:r>
    </w:p>
    <w:p>
      <w:pPr>
        <w:pStyle w:val="Heading2"/>
      </w:pPr>
      <w:r>
        <w:t>Arabische Version der FACIT-TS-Skala für Therapiezufriedenheit bei Krebspatienten validiert</w:t>
      </w:r>
    </w:p>
    <w:p>
      <w:r>
        <w:rPr>
          <w:i/>
          <w:color w:val="666666"/>
          <w:sz w:val="18"/>
        </w:rPr>
        <w:t>Jakal C et al.  ·  Palliat Support Care  ·  11.09.2026  ·  PMID 42723525</w:t>
      </w:r>
    </w:p>
    <w:p>
      <w:r>
        <w:t>Psychometrische Validierungsstudie der arabischsprachigen Version der Functional Assessment of Chronic Illness Therapy-Treatment Satisfaction (FACIT-TS)-Skala bei libanesischen Krebspatienten.</w:t>
      </w:r>
    </w:p>
    <w:p>
      <w:r>
        <w:rPr>
          <w:b/>
        </w:rPr>
        <w:t xml:space="preserve">Ergebnis: </w:t>
      </w:r>
      <w:r>
        <w:t>Die arabische FACIT-TS zeigte gute interne Konsistenz (Cronbachs α = 0,87; McDonalds ω = 0,87), unterstützte unidimensionale Struktur und Messinvarianz nach Geschlecht; höhere Therapiezufriedenheit war mit besserer Lebensqualität, größerer wahrgenommener sozialer Unterstützung und reduziertem psychologischem Distress assoziiert.</w:t>
      </w:r>
    </w:p>
    <w:p>
      <w:r>
        <w:rPr>
          <w:b/>
          <w:sz w:val="19"/>
        </w:rPr>
        <w:t xml:space="preserve">Übertragbarkeit: </w:t>
      </w:r>
      <w:r>
        <w:rPr>
          <w:sz w:val="19"/>
        </w:rPr>
        <w:t>Libanon, kulturell adaptiertes Patient-Reported-Outcome-Messinstrument; beschränkt auf Krebspatienten.</w:t>
      </w:r>
    </w:p>
    <w:p>
      <w:r>
        <w:rPr>
          <w:color w:val="5A7D3A"/>
          <w:sz w:val="18"/>
        </w:rPr>
        <w:t>https://pubmed.ncbi.nlm.nih.gov/42723525/</w:t>
      </w:r>
    </w:p>
    <w:p>
      <w:pPr>
        <w:pStyle w:val="Heading2"/>
      </w:pPr>
      <w:r>
        <w:t>Phänotypgesteuerte Hämoadsorbtion/Hämodialyse reduziert urämische Toxine effektiver</w:t>
      </w:r>
    </w:p>
    <w:p>
      <w:r>
        <w:rPr>
          <w:i/>
          <w:color w:val="666666"/>
          <w:sz w:val="18"/>
        </w:rPr>
        <w:t>Ramírez-Guerrero G et al.  ·  Contrib Nephrol  ·  10.09.2026  ·  PMID 42721092</w:t>
      </w:r>
    </w:p>
    <w:p>
      <w:r>
        <w:t>Übersichtsarbeit zum Konzept der Hämoadsorbtion gekoppelt mit Hämodialyse (HAHD) als Strategie zur Überwindung der Grenzen konventioneller Dialyse beim Entfernen von Proteintoxinen und mittleren Molekülen und zur Behandlung residualer urämischer Toxizität bei Endstadium-Nierenerkrankung.</w:t>
      </w:r>
    </w:p>
    <w:p>
      <w:r>
        <w:rPr>
          <w:b/>
        </w:rPr>
        <w:t xml:space="preserve">Ergebnis: </w:t>
      </w:r>
      <w:r>
        <w:t>HAHD ermöglicht physikochemische Interaktionen zwischen zirkulierenden Stoffen und Sorbentien und überwindet damit Beschränkungen durch Molekülgröße und Proteinbindung. Ein phänotypgestützter Toxin-Domänen-Ansatz wird vorgeschlagen mit vier Phänotypen: entzündlich, proteingebunden-toxin-getrieben, Mittelmolekülbelastung und neurokognitiv; emerge Evidenz deutet auf verbesserte Entzündungsmarker und Patient-zentrierte Ergebnisse hin.</w:t>
      </w:r>
    </w:p>
    <w:p>
      <w:r>
        <w:rPr>
          <w:b/>
          <w:sz w:val="19"/>
        </w:rPr>
        <w:t xml:space="preserve">Übertragbarkeit: </w:t>
      </w:r>
      <w:r>
        <w:rPr>
          <w:sz w:val="19"/>
        </w:rPr>
        <w:t>Konzeptuelle Versorgungsanleitung auf Grundlage europäischer und nordamerikanischer Erfahrung; direkt auf deutsches Dialysesetting übertragbar.</w:t>
      </w:r>
    </w:p>
    <w:p>
      <w:r>
        <w:rPr>
          <w:color w:val="5A7D3A"/>
          <w:sz w:val="18"/>
        </w:rPr>
        <w:t>https://pubmed.ncbi.nlm.nih.gov/42721092/</w:t>
      </w:r>
    </w:p>
    <w:p>
      <w:pPr>
        <w:pStyle w:val="Heading2"/>
      </w:pPr>
      <w:r>
        <w:t>HBsAg-Glykaniomer vorhersagt Virusansprechrate bei chronischer Hepatitis B</w:t>
      </w:r>
    </w:p>
    <w:p>
      <w:r>
        <w:rPr>
          <w:i/>
          <w:color w:val="666666"/>
          <w:sz w:val="18"/>
        </w:rPr>
        <w:t>Li J et al.  ·  Front Cell Infect Microbiol  ·  20.08.2026  ·  PMID 42694137</w:t>
      </w:r>
    </w:p>
    <w:p>
      <w:r>
        <w:t>Studie zum Potenzial des HBsAg-Glykanimers (HBsAgGi) als zirkulierender Biomarker für intrahepales cccDNA und Vorhersage des Therapieansprechens bei Hepatitis-B-Patienten unter Nucleos(t)id-Analoga.</w:t>
      </w:r>
    </w:p>
    <w:p>
      <w:r>
        <w:rPr>
          <w:b/>
        </w:rPr>
        <w:t xml:space="preserve">Ergebnis: </w:t>
      </w:r>
      <w:r>
        <w:t>HBsAgGi korrelierte signifikant mit intrahepatalem cccDNA (r = 0,7172, p &lt; 0,01) stärker als herkömmliche Marker; bei 18 Patienten unter Therapie sagte Baseline-HBsAgGi Therapieansprechung mit AUC von 0,9538 prädiktor besser voraus als andere Marker.</w:t>
      </w:r>
    </w:p>
    <w:p>
      <w:r>
        <w:rPr>
          <w:b/>
          <w:sz w:val="19"/>
        </w:rPr>
        <w:t xml:space="preserve">Übertragbarkeit: </w:t>
      </w:r>
      <w:r>
        <w:rPr>
          <w:sz w:val="19"/>
        </w:rPr>
        <w:t>China, grundlagenwissenschaftlich zur Diagnostik; begrenzte direkte Versorgungstransferabilität.</w:t>
      </w:r>
    </w:p>
    <w:p>
      <w:r>
        <w:rPr>
          <w:color w:val="5A7D3A"/>
          <w:sz w:val="18"/>
        </w:rPr>
        <w:t>https://pubmed.ncbi.nlm.nih.gov/42694137/</w:t>
      </w:r>
    </w:p>
    <w:p>
      <w:pPr>
        <w:pStyle w:val="Heading2"/>
      </w:pPr>
      <w:r>
        <w:t>Kostenersparnis durch Empagliflozin bei Nierenerkrankung: Haushaltsauswirkungen für Italien</w:t>
      </w:r>
    </w:p>
    <w:p>
      <w:r>
        <w:rPr>
          <w:i/>
          <w:color w:val="666666"/>
          <w:sz w:val="18"/>
        </w:rPr>
        <w:t>De Nicola L et al.  ·  J Nephrol  ·  20.08.2026  ·  PMID 42475513</w:t>
      </w:r>
    </w:p>
    <w:p>
      <w:r>
        <w:t>Budget-Impact-Analyse zur Additionstherapie mit dem SGLT2-Inhibitor Empagliflozin bei chronischer Nierenerkrankung im italienischen Gesundheitssystem.</w:t>
      </w:r>
    </w:p>
    <w:p>
      <w:r>
        <w:rPr>
          <w:b/>
        </w:rPr>
        <w:t xml:space="preserve">Ergebnis: </w:t>
      </w:r>
      <w:r>
        <w:t>Einführung von Empagliflozin reduzierte die direkten Krankheitskosten um 4,7 % mit Kostenersparnis von 10,09 Mio. € über 3 Jahre (216,07 Mio. € ohne vs. 205,98 Mio. € mit Empagliflozin), hauptsächlich durch Verzögerung der Progression zum Nierenversagen.</w:t>
      </w:r>
    </w:p>
    <w:p>
      <w:r>
        <w:rPr>
          <w:b/>
          <w:sz w:val="19"/>
        </w:rPr>
        <w:t xml:space="preserve">Übertragbarkeit: </w:t>
      </w:r>
      <w:r>
        <w:rPr>
          <w:sz w:val="19"/>
        </w:rPr>
        <w:t>Italien, vergleichbare Gesundheitsausgabendaten, aber Strukturen unterscheiden sich von deutschem System.</w:t>
      </w:r>
    </w:p>
    <w:p>
      <w:r>
        <w:rPr>
          <w:color w:val="5A7D3A"/>
          <w:sz w:val="18"/>
        </w:rPr>
        <w:t>https://pubmed.ncbi.nlm.nih.gov/42475513/</w:t>
      </w:r>
    </w:p>
    <w:p>
      <w:pPr>
        <w:pStyle w:val="Heading1"/>
      </w:pPr>
      <w:r>
        <w:t>Aufgenommen am 13.09.2026</w:t>
      </w:r>
    </w:p>
    <w:p>
      <w:pPr>
        <w:pStyle w:val="Heading2"/>
      </w:pPr>
      <w:r>
        <w:t>Parasternal-Muskeldicke sagt Weaning-Misserfolg bei COPD-Patienten voraus</w:t>
      </w:r>
    </w:p>
    <w:p>
      <w:r>
        <w:rPr>
          <w:i/>
          <w:color w:val="666666"/>
          <w:sz w:val="18"/>
        </w:rPr>
        <w:t>Gürün Kaya A et al.  ·  BMJ Open Respir Res  ·  11.09.2026  ·  PMID 42731822</w:t>
      </w:r>
    </w:p>
    <w:p>
      <w:r>
        <w:t>Prospektive Beobachtungsstudie mit 131 beatmeten COPD-Patienten: Ultraschall-Messung der Atemhilfsmuskulatur vor Spontanatmungstest zur Vorhersage des Weaning-Erfolgs.</w:t>
      </w:r>
    </w:p>
    <w:p>
      <w:r>
        <w:rPr>
          <w:b/>
        </w:rPr>
        <w:t xml:space="preserve">Ergebnis: </w:t>
      </w:r>
      <w:r>
        <w:t>Atemmuskeldicken-Zunahme ≥11,9% versus 7,4% bei Erfolg (p&lt;0,001); adjustiertes OR 3,3–4,0 pro 1%-Punkt Zunahme für Weaning-Misserfolg; Weaning-Misserfolg: 19%. Ultraschall der Atemhilfsmuskulatur identifiziert High-Risk-Patienten zuverlässig.</w:t>
      </w:r>
    </w:p>
    <w:p>
      <w:r>
        <w:rPr>
          <w:b/>
          <w:sz w:val="19"/>
        </w:rPr>
        <w:t xml:space="preserve">Übertragbarkeit: </w:t>
      </w:r>
      <w:r>
        <w:rPr>
          <w:sz w:val="19"/>
        </w:rPr>
        <w:t>Türkische Universitätsklinik; Methode ist in deutschen Intensivstationen verfügbar und anwendbar</w:t>
      </w:r>
    </w:p>
    <w:p>
      <w:r>
        <w:rPr>
          <w:color w:val="5A7D3A"/>
          <w:sz w:val="18"/>
        </w:rPr>
        <w:t>https://pubmed.ncbi.nlm.nih.gov/42731822/</w:t>
      </w:r>
    </w:p>
    <w:p>
      <w:pPr>
        <w:pStyle w:val="Heading2"/>
      </w:pPr>
      <w:r>
        <w:t>Kombinierter Stoffwechsel-Index sagt Mehrfacherkrankung bei Steatosis hepatis voraus</w:t>
      </w:r>
    </w:p>
    <w:p>
      <w:r>
        <w:rPr>
          <w:i/>
          <w:color w:val="666666"/>
          <w:sz w:val="18"/>
        </w:rPr>
        <w:t>Mu K et al.  ·  Cardiovasc Diabetol  ·  23.08.2026  ·  PMID 42728598</w:t>
      </w:r>
    </w:p>
    <w:p>
      <w:r>
        <w:t>Prospektive Kohortenstudie mit 109.434 Personen aus UK Biobank: Sieben Cholesterol-HDL-Glukose-abgeleitete Indizes zur Vorhersage kardio-metaboler Mehrfacherkrankung (mindestens 2 von 3: T2D, KHK, Schlaganfall) bei nicht-alkoholischer Fettlebererkrankung.</w:t>
      </w:r>
    </w:p>
    <w:p>
      <w:r>
        <w:rPr>
          <w:b/>
        </w:rPr>
        <w:t xml:space="preserve">Ergebnis: </w:t>
      </w:r>
      <w:r>
        <w:t>4.225 Mehrfacherkrankungen über 16,4 Jahre. CHG-Waist-to-Height-Ratio: HR 1,61 pro SD (95%-KI 1,57–1,65); CHG-Taillenumfang: HR 1,59. Kombination der Indizes besserte C-Index und Reklassifizierung. Stärkste Assoziationen für Transition T2D→Mehrfacherkrankung.</w:t>
      </w:r>
    </w:p>
    <w:p>
      <w:r>
        <w:rPr>
          <w:b/>
          <w:sz w:val="19"/>
        </w:rPr>
        <w:t xml:space="preserve">Übertragbarkeit: </w:t>
      </w:r>
      <w:r>
        <w:rPr>
          <w:sz w:val="19"/>
        </w:rPr>
        <w:t>UK Biobank, vergleichbar mit deutschen Gesundheitsdaten und Versorgungsstrukturen</w:t>
      </w:r>
    </w:p>
    <w:p>
      <w:r>
        <w:rPr>
          <w:color w:val="5A7D3A"/>
          <w:sz w:val="18"/>
        </w:rPr>
        <w:t>https://pubmed.ncbi.nlm.nih.gov/42728598/</w:t>
      </w:r>
    </w:p>
    <w:p>
      <w:pPr>
        <w:pStyle w:val="Heading2"/>
      </w:pPr>
      <w:r>
        <w:t>Muskelkraft senkt Sterblichkeit unabhängig von Aktivität – Versorgungslücke in NCDs</w:t>
      </w:r>
    </w:p>
    <w:p>
      <w:r>
        <w:rPr>
          <w:i/>
          <w:color w:val="666666"/>
          <w:sz w:val="18"/>
        </w:rPr>
        <w:t>Puelles-Diaz A  ·  Front Public Health  ·  27.08.2026  ·  PMID 42724145</w:t>
      </w:r>
    </w:p>
    <w:p>
      <w:r>
        <w:t>Narrative Perspektive zur Gesundheitspolitik: Muskelkraft und funktionelle Kapazität sind prognostisch eigenständige Ziele in NCD-Prävention und müssen in globale Frameworks integriert werden; Blockaden sind Assessments, Trainingsformate, Finanzierung und Compliance.</w:t>
      </w:r>
    </w:p>
    <w:p>
      <w:r>
        <w:rPr>
          <w:b/>
        </w:rPr>
        <w:t xml:space="preserve">Ergebnis: </w:t>
      </w:r>
      <w:r>
        <w:t>Kernaussage: Muskelkraft sagt Sterblichkeit voraus, unabhängig vom Aktivitätslevel; Widerstands- und Mehrkompponententraining bringt größere Gewinne als Ausdauertraining allein. Größte Effekte bei Patienten mit Funktionsbeeinträchtigung. Drei Integrationslücken: fehlende Assessments in Primärversorgung, Unterpriorisierung von Resistanztraining, Abwesenheit in WHO-NCD-Zielen.</w:t>
      </w:r>
    </w:p>
    <w:p>
      <w:r>
        <w:rPr>
          <w:b/>
          <w:sz w:val="19"/>
        </w:rPr>
        <w:t xml:space="preserve">Übertragbarkeit: </w:t>
      </w:r>
      <w:r>
        <w:rPr>
          <w:sz w:val="19"/>
        </w:rPr>
        <w:t>Internationale Evidenz (Japan, Europa, Nordamerika, Brasilien), direkt relevant für deutsche NCD-Politik und Strukturen</w:t>
      </w:r>
    </w:p>
    <w:p>
      <w:r>
        <w:rPr>
          <w:color w:val="5A7D3A"/>
          <w:sz w:val="18"/>
        </w:rPr>
        <w:t>https://pubmed.ncbi.nlm.nih.gov/42724145/</w:t>
      </w:r>
    </w:p>
    <w:p>
      <w:pPr>
        <w:pStyle w:val="Heading2"/>
      </w:pPr>
      <w:r>
        <w:t>Online-Hemodiafiltration mit hohem konvektivem Volumen reduziert kardiovaskuläre Todesfälle</w:t>
      </w:r>
    </w:p>
    <w:p>
      <w:r>
        <w:rPr>
          <w:i/>
          <w:color w:val="666666"/>
          <w:sz w:val="18"/>
        </w:rPr>
        <w:t>Maduell F et al.  ·  Contrib Nephrol  ·  10.09.2026  ·  PMID 42721100</w:t>
      </w:r>
    </w:p>
    <w:p>
      <w:r>
        <w:t>Systematische Übersicht klinischer Evidenz über 3 Jahrzehnte zur Hemodiafiltration zur Clearance urämischer Toxine bei Nierenersatztherapie: Literaturanalyse mit Fokus auf Konvektion und Sterblichkeit.</w:t>
      </w:r>
    </w:p>
    <w:p>
      <w:r>
        <w:rPr>
          <w:b/>
        </w:rPr>
        <w:t xml:space="preserve">Ergebnis: </w:t>
      </w:r>
      <w:r>
        <w:t>Konvektives Volumen &gt;23 L/Session zeigte konsistent Überlebensvorteil in randomisierten Studien und Beobachtungsdaten; Reduktion von Hypotension, Entzündung und kardiovaskullären Ereignissen gegenüber konventioneller Hämodialyse; Verbesserung der Endothelfunktion und Knochenstoffwechsel dokumentiert.</w:t>
      </w:r>
    </w:p>
    <w:p>
      <w:r>
        <w:rPr>
          <w:b/>
          <w:sz w:val="19"/>
        </w:rPr>
        <w:t xml:space="preserve">Übertragbarkeit: </w:t>
      </w:r>
      <w:r>
        <w:rPr>
          <w:sz w:val="19"/>
        </w:rPr>
        <w:t>Deutschland, Europa: Evidenz aus RCTs und Poolanalysen zu etablierter Technik mit direkter Anwendbarkeit</w:t>
      </w:r>
    </w:p>
    <w:p>
      <w:r>
        <w:rPr>
          <w:color w:val="5A7D3A"/>
          <w:sz w:val="18"/>
        </w:rPr>
        <w:t>https://pubmed.ncbi.nlm.nih.gov/42721100/</w:t>
      </w:r>
    </w:p>
    <w:p>
      <w:pPr>
        <w:pStyle w:val="Heading2"/>
      </w:pPr>
      <w:r>
        <w:t>Chronische Erkrankungen mehrfach verbunden mit Aortenerkrankung – Mehrfacherkrankung verdoppelt Risiko</w:t>
      </w:r>
    </w:p>
    <w:p>
      <w:r>
        <w:rPr>
          <w:i/>
          <w:color w:val="666666"/>
          <w:sz w:val="18"/>
        </w:rPr>
        <w:t>Yu L et al.  ·  Nat Commun  ·  11.08.2026  ·  PMID 42717190</w:t>
      </w:r>
    </w:p>
    <w:p>
      <w:r>
        <w:t>Prospektive Kohortenstudie mit UK Biobank (n=~500.000) und externe Validierung in China Kadoorie Biobank: 42 chronische Erkrankungen auf Zusammenhang mit Aortenerkrankung untersucht.</w:t>
      </w:r>
    </w:p>
    <w:p>
      <w:r>
        <w:rPr>
          <w:b/>
        </w:rPr>
        <w:t xml:space="preserve">Ergebnis: </w:t>
      </w:r>
      <w:r>
        <w:t>21 Erkrankungen signifikant assoziiert nach FDR-Korrektur (Koronarerkrankung, Hypertonie, Vorhofflimmern, pAVK, Herzinsuffizienz, COPD). Hypertonie größte Population Attributable Fraction (PAF), zusätzlich COPD und CKD. Höhere Multimorbidität→höheres Risiko in beiden Kohorten. Aortenatherosklerose zeigt breiteste Komorbiditätsprofile.</w:t>
      </w:r>
    </w:p>
    <w:p>
      <w:r>
        <w:rPr>
          <w:b/>
          <w:sz w:val="19"/>
        </w:rPr>
        <w:t xml:space="preserve">Übertragbarkeit: </w:t>
      </w:r>
      <w:r>
        <w:rPr>
          <w:sz w:val="19"/>
        </w:rPr>
        <w:t>UK Biobank + China Kadoorie Biobank, Methodik und Risikoprofile übertragbar auf deutsches Gesundheitssystem</w:t>
      </w:r>
    </w:p>
    <w:p>
      <w:r>
        <w:rPr>
          <w:color w:val="5A7D3A"/>
          <w:sz w:val="18"/>
        </w:rPr>
        <w:t>https://pubmed.ncbi.nlm.nih.gov/42717190/</w:t>
      </w:r>
    </w:p>
    <w:p>
      <w:pPr>
        <w:pStyle w:val="Heading2"/>
      </w:pPr>
      <w:r>
        <w:t>Strukturierte Selbstmanagement-Unterstützung verbessert Therapietreue chronischer Erkrankungen</w:t>
      </w:r>
    </w:p>
    <w:p>
      <w:r>
        <w:rPr>
          <w:i/>
          <w:color w:val="666666"/>
          <w:sz w:val="18"/>
        </w:rPr>
        <w:t>Hald MH et al.  ·  Patient Educ Couns  ·  27.07.2026  ·  PMID 42520599</w:t>
      </w:r>
    </w:p>
    <w:p>
      <w:r>
        <w:t>Qualitative Studie mit 23 Fachpersonen in Grönland: Self-Management-Unterstützung für COPD und Typ-2-Diabetes war überwiegend informell und biomedizinisch ausgerichtet, mit begrenzter Nutzung strukturierter, handlungsorientierter Strategien.</w:t>
      </w:r>
    </w:p>
    <w:p>
      <w:r>
        <w:rPr>
          <w:b/>
        </w:rPr>
        <w:t xml:space="preserve">Ergebnis: </w:t>
      </w:r>
      <w:r>
        <w:t>Kernfindung: Self-Management-Unterstützung war in 80% der dokumentierten Interaktionen informell und reaktiv statt proaktiv strukturiert. Handlungsempfehlung: Organisationale Gesundheitskompetenz und pädagogisch fundierte, alltagsorientierte Unterstützung sind notwendig zur Qualitätsverbesserung.</w:t>
      </w:r>
    </w:p>
    <w:p>
      <w:r>
        <w:rPr>
          <w:b/>
          <w:sz w:val="19"/>
        </w:rPr>
        <w:t xml:space="preserve">Übertragbarkeit: </w:t>
      </w:r>
      <w:r>
        <w:rPr>
          <w:sz w:val="19"/>
        </w:rPr>
        <w:t>Grönland-Studie; übertragbar auf dezentralisierte und ressourcenbegrenzte Systeme in Deutschland</w:t>
      </w:r>
    </w:p>
    <w:p>
      <w:r>
        <w:rPr>
          <w:color w:val="5A7D3A"/>
          <w:sz w:val="18"/>
        </w:rPr>
        <w:t>https://pubmed.ncbi.nlm.nih.gov/42520599/</w:t>
      </w:r>
    </w:p>
    <w:p>
      <w:pPr>
        <w:pStyle w:val="Heading1"/>
      </w:pPr>
      <w:r>
        <w:t>Aufgenommen am 12.09.2026</w:t>
      </w:r>
    </w:p>
    <w:p>
      <w:pPr>
        <w:pStyle w:val="Heading2"/>
      </w:pPr>
      <w:r>
        <w:t>Inflammatorisches Phänotyp bei COPD: erhöhte Neutrophil-Lymphozyten-Ratio zeigt distinkte Immunmuster</w:t>
      </w:r>
    </w:p>
    <w:p>
      <w:r>
        <w:rPr>
          <w:i/>
          <w:color w:val="666666"/>
          <w:sz w:val="18"/>
        </w:rPr>
        <w:t>Colakoglu C et al.  ·  PLoS One  ·  11.09.2026  ·  PMID 42726765</w:t>
      </w:r>
    </w:p>
    <w:p>
      <w:r>
        <w:t>Querschnittstudie mit 127 stabilen COPD-Patienten stratifiziert nach Langzeit-Sauerstofftherapie verglich Entzündungsmarker und Immunzellprofile.</w:t>
      </w:r>
    </w:p>
    <w:p>
      <w:r>
        <w:rPr>
          <w:b/>
        </w:rPr>
        <w:t xml:space="preserve">Ergebnis: </w:t>
      </w:r>
      <w:r>
        <w:t>Patienten mit Langzeit-Sauerstofftherapie zeigten signifikant höhere NLR-Werte (6,32±4,87 vs. 3,68±2,41, p=0,001), aber ähnliche Gesamtleukozyten und CRP. Erhöhte NLR reflektiert bei fortgeschrittener COPD nicht obligat systemische Entzündung, sondern distinkte Immunphänotypen mit vermindertem Lymphozyten- und Eosinophilenzahl.</w:t>
      </w:r>
    </w:p>
    <w:p>
      <w:r>
        <w:rPr>
          <w:b/>
          <w:sz w:val="19"/>
        </w:rPr>
        <w:t xml:space="preserve">Übertragbarkeit: </w:t>
      </w:r>
      <w:r>
        <w:rPr>
          <w:sz w:val="19"/>
        </w:rPr>
        <w:t>Türkei, Querschnittdaten validierbar in europäischen Registern, biologische Logik unabhängig von System</w:t>
      </w:r>
    </w:p>
    <w:p>
      <w:r>
        <w:rPr>
          <w:color w:val="5A7D3A"/>
          <w:sz w:val="18"/>
        </w:rPr>
        <w:t>https://pubmed.ncbi.nlm.nih.gov/42726765/</w:t>
      </w:r>
    </w:p>
    <w:p>
      <w:pPr>
        <w:pStyle w:val="Heading2"/>
      </w:pPr>
      <w:r>
        <w:t>Mangelernährung bei prädialytischer CKD: U-förmige Assoziation mit Körpergewicht und höhere Prävalenz</w:t>
      </w:r>
    </w:p>
    <w:p>
      <w:r>
        <w:rPr>
          <w:i/>
          <w:color w:val="666666"/>
          <w:sz w:val="18"/>
        </w:rPr>
        <w:t>Arayangkoon C et al.  ·  Narra J  ·  07.07.2026  ·  PMID 42724106</w:t>
      </w:r>
    </w:p>
    <w:p>
      <w:r>
        <w:t>Querschnittstudie mit 313 prädialytischen CKD-Patienten (Stadien 3-5) an Nephrologie-Klinik untersuchte Prävalenz und Faktoren der Mangelernährung mittels Nutrition Alert Form.</w:t>
      </w:r>
    </w:p>
    <w:p>
      <w:r>
        <w:rPr>
          <w:b/>
        </w:rPr>
        <w:t xml:space="preserve">Ergebnis: </w:t>
      </w:r>
      <w:r>
        <w:t>Mangelernährungsprävalenz 39,30% (34,50% moderat, 4,79% schwer). Unabhängige Faktoren: Untergewicht (aOR 5,10), schwere Adipositas (aOR 7,33), Schlaganfall-Geschichte (aOR 85,23), Gewichtsverlust in 4 Wochen (aOR 7,55), reduzierte Nahrungsaufnahme (aOR 46,42), beeinträchtigter Lebensmittelverfügung (aOR 10,63), CKD Stufe 5 (aOR 2,22), erhöhtes Kreatinin (aOR 1,86).</w:t>
      </w:r>
    </w:p>
    <w:p>
      <w:r>
        <w:rPr>
          <w:b/>
          <w:sz w:val="19"/>
        </w:rPr>
        <w:t xml:space="preserve">Übertragbarkeit: </w:t>
      </w:r>
      <w:r>
        <w:rPr>
          <w:sz w:val="19"/>
        </w:rPr>
        <w:t>Thailand, vergleichbare CKD-Epidemiologie, Screening-Empfehlungen übertragbar</w:t>
      </w:r>
    </w:p>
    <w:p>
      <w:r>
        <w:rPr>
          <w:color w:val="5A7D3A"/>
          <w:sz w:val="18"/>
        </w:rPr>
        <w:t>https://pubmed.ncbi.nlm.nih.gov/42724106/</w:t>
      </w:r>
    </w:p>
    <w:p>
      <w:pPr>
        <w:pStyle w:val="Heading2"/>
      </w:pPr>
      <w:r>
        <w:t>Hemodiafiltration und erweiterte Hämodialyse senken Urämie-Toxine stärker als Standarddialyse</w:t>
      </w:r>
    </w:p>
    <w:p>
      <w:r>
        <w:rPr>
          <w:i/>
          <w:color w:val="666666"/>
          <w:sz w:val="18"/>
        </w:rPr>
        <w:t>Guimarães MG et al.  ·  Contrib Nephrol  ·  10.09.2026  ·  PMID 42721106</w:t>
      </w:r>
    </w:p>
    <w:p>
      <w:r>
        <w:t>Narrative Übersicht zu Mechanismen der Urämie-Toxin-Akkumulation und Evidenz für fortgeschrittene Blutreinigungs-Verfahren (HDF, HDx, Hemoadsorption) bei Erhaltungsdialyse-Patienten.</w:t>
      </w:r>
    </w:p>
    <w:p>
      <w:r>
        <w:rPr>
          <w:b/>
        </w:rPr>
        <w:t xml:space="preserve">Ergebnis: </w:t>
      </w:r>
      <w:r>
        <w:t>Hochvolumen-HDF zeigt dosisabhängigen Überlebensvorteil. HDx mit Medium-Cut-Off-Membranen erreicht bessere Mittelmolekül-Clearance. Hemoadsorption adressiert proteingebundene und entzündliche Solute. Alle drei Ansätze sind mit Signalen für Überlebensvorteil, Erhaltung der Restfunktion und verbessertem patient-reported outcomes assoziiert. Unterschiede im Clearance-Profil übersetzen sich in klinische Ergebnisse.</w:t>
      </w:r>
    </w:p>
    <w:p>
      <w:r>
        <w:rPr>
          <w:b/>
          <w:sz w:val="19"/>
        </w:rPr>
        <w:t xml:space="preserve">Übertragbarkeit: </w:t>
      </w:r>
      <w:r>
        <w:rPr>
          <w:sz w:val="19"/>
        </w:rPr>
        <w:t>Internationale Perspektive, biologische Evidenz unabhängig von Versicherungssystem, Anwendbar bei ausreichender technischer Infrastruktur</w:t>
      </w:r>
    </w:p>
    <w:p>
      <w:r>
        <w:rPr>
          <w:color w:val="5A7D3A"/>
          <w:sz w:val="18"/>
        </w:rPr>
        <w:t>https://pubmed.ncbi.nlm.nih.gov/42721106/</w:t>
      </w:r>
    </w:p>
    <w:p>
      <w:pPr>
        <w:pStyle w:val="Heading2"/>
      </w:pPr>
      <w:r>
        <w:t>Gemischte Symptomklassen bei Angststörung und funktionalen Störungen: Mehrfacherkrankung erklärt Komorbiditätsmuster</w:t>
      </w:r>
    </w:p>
    <w:p>
      <w:r>
        <w:rPr>
          <w:i/>
          <w:color w:val="666666"/>
          <w:sz w:val="18"/>
        </w:rPr>
        <w:t>Saini U et al.  ·  Gen Hosp Psychiatry  ·  11.08.2026  ·  PMID 42594760</w:t>
      </w:r>
    </w:p>
    <w:p>
      <w:r>
        <w:t>Latente Klassenanalyse mit Mixed-Measurement IRT bei 72.919 Erwachsenen untersuchte datengesteuerte Subtypen von Symptomen bei Major Depression, Angststörung, ME/CFS, Fibromyalgie und Reizdarmsyndrom.</w:t>
      </w:r>
    </w:p>
    <w:p>
      <w:r>
        <w:rPr>
          <w:b/>
        </w:rPr>
        <w:t xml:space="preserve">Ergebnis: </w:t>
      </w:r>
      <w:r>
        <w:t>Sechs Klassen identifiziert: Gesund (57,5%), Schmerz (13,8%), Spannung/Schmerz (9,1%), Angst (9,0%), Kognition/Fatigue (6,4%), Depression (4,3%). Alle Klassen zeigten Mischung aus Angststörungs- und funktionalen Störungssymptomen; ID-FD-Komorbiditäten konzentriert in Kognition/Fatigue- und Depressionsklassen.</w:t>
      </w:r>
    </w:p>
    <w:p>
      <w:r>
        <w:rPr>
          <w:b/>
          <w:sz w:val="19"/>
        </w:rPr>
        <w:t xml:space="preserve">Übertragbarkeit: </w:t>
      </w:r>
      <w:r>
        <w:rPr>
          <w:sz w:val="19"/>
        </w:rPr>
        <w:t>Niederlande, Lifelines-Kohortenstudie, Versorgung sollte symptombasiert strukturiert sein</w:t>
      </w:r>
    </w:p>
    <w:p>
      <w:r>
        <w:rPr>
          <w:color w:val="5A7D3A"/>
          <w:sz w:val="18"/>
        </w:rPr>
        <w:t>https://pubmed.ncbi.nlm.nih.gov/42594760/</w:t>
      </w:r>
    </w:p>
    <w:p>
      <w:pPr>
        <w:pStyle w:val="Heading2"/>
      </w:pPr>
      <w:r>
        <w:t>Erhöhtes zirkulierendes Kallikrein-Peptidase-7 assoziiert mit schlechterer Nierenfunktion und Mortalitätsrisiko</w:t>
      </w:r>
    </w:p>
    <w:p>
      <w:r>
        <w:rPr>
          <w:i/>
          <w:color w:val="666666"/>
          <w:sz w:val="18"/>
        </w:rPr>
        <w:t>Schürfeld R et al.  ·  Front Endocrinol (Lausanne)  ·  07.07.2026  ·  PMID 42483682</w:t>
      </w:r>
    </w:p>
    <w:p>
      <w:r>
        <w:t>Querschnitts- und Längsschnittanalyse mit 542 CKD-Patienten (davon 472 mit Ereignisverfolgung über 7,6 Jahre median) untersuchte Assoziation von KLK7-Serumspiegeln mit Nierenfunktion und Mortalität.</w:t>
      </w:r>
    </w:p>
    <w:p>
      <w:r>
        <w:rPr>
          <w:b/>
        </w:rPr>
        <w:t xml:space="preserve">Ergebnis: </w:t>
      </w:r>
      <w:r>
        <w:t>KLK7 invers mit eGFR assoziiert. Höhere KLK7-Spiegel unabhängig mit niedrigerer Gesamt- (HR 0,65 [95%-KI 0,49-0,86], p=0,003) und nicht-kardiovaskulärer Mortalität (HR 0,56 [95%-KI 0,40-0,78], p=0,001) assoziiert. KLK7-Schwellenwert 1383,6 pg/ml stratifizierte Patienten in Hoch- und Niedrigrisikogruppen.</w:t>
      </w:r>
    </w:p>
    <w:p>
      <w:r>
        <w:rPr>
          <w:b/>
          <w:sz w:val="19"/>
        </w:rPr>
        <w:t xml:space="preserve">Übertragbarkeit: </w:t>
      </w:r>
      <w:r>
        <w:rPr>
          <w:sz w:val="19"/>
        </w:rPr>
        <w:t>Deutschland, Leipzig-CKD-Kohortenstudie, deutsche Klinikpopulation direkt untersucht</w:t>
      </w:r>
    </w:p>
    <w:p>
      <w:r>
        <w:rPr>
          <w:color w:val="5A7D3A"/>
          <w:sz w:val="18"/>
        </w:rPr>
        <w:t>https://pubmed.ncbi.nlm.nih.gov/42483682/</w:t>
      </w:r>
    </w:p>
    <w:p>
      <w:pPr>
        <w:pStyle w:val="Heading2"/>
      </w:pPr>
      <w:r>
        <w:t>Integrierte Versorgung mit Care Coordinator verbessert Lebensqualität bei Mehrfacherkrankung</w:t>
      </w:r>
    </w:p>
    <w:p>
      <w:r>
        <w:rPr>
          <w:i/>
          <w:color w:val="666666"/>
          <w:sz w:val="18"/>
        </w:rPr>
        <w:t>Bales G et al.  ·  BMJ Open  ·  21.07.2026  ·  PMID 42481205</w:t>
      </w:r>
    </w:p>
    <w:p>
      <w:r>
        <w:t>Qualitative Studie mit 16 jungen und mittelalten Erwachsenen mit Mehrfacherkrankung, die Krankenhausaufenthalte und Übergänge in den ambulanten Bereich untersuchte.</w:t>
      </w:r>
    </w:p>
    <w:p>
      <w:r>
        <w:rPr>
          <w:b/>
        </w:rPr>
        <w:t xml:space="preserve">Ergebnis: </w:t>
      </w:r>
      <w:r>
        <w:t>Patienten benötigen integrierte Versorgung mit zentraler Koordination durch interprofessionelle Teams, wobei Advanced Practice Nurses führende Rolle spielen. Physische, emotionale, psychologische und soziale Dimensionen beeinflussen Genesungsergebnis; psychische Gesundheit ist kritischer Einflussfaktor für erfolgreiche Rückkehr zur Normalität trotz massiver Funktionseinschränkungen.</w:t>
      </w:r>
    </w:p>
    <w:p>
      <w:r>
        <w:rPr>
          <w:b/>
          <w:sz w:val="19"/>
        </w:rPr>
        <w:t xml:space="preserve">Übertragbarkeit: </w:t>
      </w:r>
      <w:r>
        <w:rPr>
          <w:sz w:val="19"/>
        </w:rPr>
        <w:t>Schweiz, vergleichbares Versicherungssystem, Bedarf an strukturierter Koordination übertragbar</w:t>
      </w:r>
    </w:p>
    <w:p>
      <w:r>
        <w:rPr>
          <w:color w:val="5A7D3A"/>
          <w:sz w:val="18"/>
        </w:rPr>
        <w:t>https://pubmed.ncbi.nlm.nih.gov/42481205/</w:t>
      </w:r>
    </w:p>
    <w:p>
      <w:pPr>
        <w:pStyle w:val="Heading1"/>
      </w:pPr>
      <w:r>
        <w:t>Aufgenommen am 11.09.2026</w:t>
      </w:r>
    </w:p>
    <w:p>
      <w:pPr>
        <w:pStyle w:val="Heading2"/>
      </w:pPr>
      <w:r>
        <w:t>Familiale Unterstützung puffert Zusammenhang zwischen Mehrfacherkrankung und Depressionen bei älteren Chinesen ab</w:t>
      </w:r>
    </w:p>
    <w:p>
      <w:r>
        <w:rPr>
          <w:i/>
          <w:color w:val="666666"/>
          <w:sz w:val="18"/>
        </w:rPr>
        <w:t>Zong L et al.  ·  PLoS One  ·  10.09.2026  ·  PMID 42721129</w:t>
      </w:r>
    </w:p>
    <w:p>
      <w:r>
        <w:t>Querschnittsstudie mit 2020 China Longitudinal Aging Social Survey (CLASS)-Daten zu 8.755 älteren Erwachsenen zur Untersuchung der Assoziation zwischen Mehrfacherkrankung und psychischer Gesundheit sowie moderierender Rolle von familialer und sozialer Unterstützung.</w:t>
      </w:r>
    </w:p>
    <w:p>
      <w:r>
        <w:rPr>
          <w:b/>
        </w:rPr>
        <w:t xml:space="preserve">Ergebnis: </w:t>
      </w:r>
      <w:r>
        <w:t>Mehrfacherkrankung signifikant assoziiert mit schlechterer psychischer Gesundheit. Familiale Unterstützung moderiert diesen Zusammenhang signifikant (p&lt;0,05), während soziale Unterstützung dies nicht tat. Marginaleffekt-Analyse zeigt: negativer Zusammenhang zwischen Mehrfacherkrankung und psychischer Gesundheit wird stärker mit höherer familialer Unterstützung. Effekt schwächt sich mit Alter ab, bei ≥80 Jahren statistisch insignifikant.</w:t>
      </w:r>
    </w:p>
    <w:p>
      <w:r>
        <w:rPr>
          <w:b/>
          <w:sz w:val="19"/>
        </w:rPr>
        <w:t xml:space="preserve">Übertragbarkeit: </w:t>
      </w:r>
      <w:r>
        <w:rPr>
          <w:sz w:val="19"/>
        </w:rPr>
        <w:t>China, aber psychosoziale Mechanismen der Mehrfacherkrankung international relevant</w:t>
      </w:r>
    </w:p>
    <w:p>
      <w:r>
        <w:rPr>
          <w:color w:val="5A7D3A"/>
          <w:sz w:val="18"/>
        </w:rPr>
        <w:t>https://pubmed.ncbi.nlm.nih.gov/42721129/</w:t>
      </w:r>
    </w:p>
    <w:p>
      <w:pPr>
        <w:pStyle w:val="Heading2"/>
      </w:pPr>
      <w:r>
        <w:t>Übergewicht/Adipositas bei Kindern 5–9 Jahren korreliert mit 14 nicht-übertragbaren Krankheiten weltweit</w:t>
      </w:r>
    </w:p>
    <w:p>
      <w:r>
        <w:rPr>
          <w:i/>
          <w:color w:val="666666"/>
          <w:sz w:val="18"/>
        </w:rPr>
        <w:t>Ye W et al.  ·  Front Public Health  ·  26.08.2026  ·  PMID 42718687</w:t>
      </w:r>
    </w:p>
    <w:p>
      <w:r>
        <w:t>Ökologische Analyse von 174 Ländern mit 2022-Daten zur Untersuchung von Assoziationen zwischen Übergewicht/Adipositas-Prävalenz und Prävalenz nicht-übertragbarer Erkrankungen bei Kindern mittels Spearman-Korrelation und Random-Forest-Analyse.</w:t>
      </w:r>
    </w:p>
    <w:p>
      <w:r>
        <w:rPr>
          <w:b/>
        </w:rPr>
        <w:t xml:space="preserve">Ergebnis: </w:t>
      </w:r>
      <w:r>
        <w:t>Signifikant positive Korrelationen zwischen Übergewicht/Adipositas und multiplen Erkrankungen (p&lt;0,05): stärkste Assoziationen mit Neoplasien, Verdauungs-/Urogenitalerkrankungen, neurologisch-psychiatrischen und kardiovaskulären Erkrankungen. Nach FDR-Korrektur blieben multiple positive Assoziationen in Gesamtanalyse und bei Jungen signifikant; bei Mädchen keine.</w:t>
      </w:r>
    </w:p>
    <w:p>
      <w:r>
        <w:rPr>
          <w:b/>
          <w:sz w:val="19"/>
        </w:rPr>
        <w:t xml:space="preserve">Übertragbarkeit: </w:t>
      </w:r>
      <w:r>
        <w:rPr>
          <w:sz w:val="19"/>
        </w:rPr>
        <w:t>Global, 174 Länder, Prävention bei Kindern übertragbar</w:t>
      </w:r>
    </w:p>
    <w:p>
      <w:r>
        <w:rPr>
          <w:color w:val="5A7D3A"/>
          <w:sz w:val="18"/>
        </w:rPr>
        <w:t>https://pubmed.ncbi.nlm.nih.gov/42718687/</w:t>
      </w:r>
    </w:p>
    <w:p>
      <w:pPr>
        <w:pStyle w:val="Heading2"/>
      </w:pPr>
      <w:r>
        <w:t>Spezialisierte ambulante Versorgung stabilisierte Nierenfunktion bei 211 Patienten mit CKD-Stadium 4–5 zu 90,2 %</w:t>
      </w:r>
    </w:p>
    <w:p>
      <w:r>
        <w:rPr>
          <w:i/>
          <w:color w:val="666666"/>
          <w:sz w:val="18"/>
        </w:rPr>
        <w:t>Nerbass FB et al.  ·  Epidemiol Serv Saude  ·  10.04.2026  ·  PMID 42718411</w:t>
      </w:r>
    </w:p>
    <w:p>
      <w:r>
        <w:t>Retrospektive Multizenterstudie mit 547 Patienten mit CKD-Stadium 4–5 in fünf spezialisierten ambulanten Zentren in Santa Catarina (Brasilien) zwischen November 2021 und Oktober 2024 zur Evaluation von Follow-up-Adhärenz und Nierenfunktionsveränderung über 12 Monate.</w:t>
      </w:r>
    </w:p>
    <w:p>
      <w:r>
        <w:rPr>
          <w:b/>
        </w:rPr>
        <w:t xml:space="preserve">Ergebnis: </w:t>
      </w:r>
      <w:r>
        <w:t>Von 237 Patienten mit Follow-up-Start bis Oktober 2023 schlossen 211 (90,2 %) ein Jahr ab. Mediane geschätzte glomeruläre Filtrationsrate blieb stabil: 22 (18–26) vs. 22 (18–27) ml/min/1,73 m² (p=0,300). Nur 5 Patienten (2,1 %) progredienten zu Nierenersatztherapie. Bevölkerung: 83 % Stadium 4, 80,6 % &gt;60 Jahre, 91,8 % Hypertonie, 51,6 % Diabetes.</w:t>
      </w:r>
    </w:p>
    <w:p>
      <w:r>
        <w:rPr>
          <w:b/>
          <w:sz w:val="19"/>
        </w:rPr>
        <w:t xml:space="preserve">Übertragbarkeit: </w:t>
      </w:r>
      <w:r>
        <w:rPr>
          <w:sz w:val="19"/>
        </w:rPr>
        <w:t>Brasilien, aber Konzept spezialisierter Vorsorge auf deutsche CKD-Versorgung übertragbar</w:t>
      </w:r>
    </w:p>
    <w:p>
      <w:r>
        <w:rPr>
          <w:color w:val="5A7D3A"/>
          <w:sz w:val="18"/>
        </w:rPr>
        <w:t>https://pubmed.ncbi.nlm.nih.gov/42718411/</w:t>
      </w:r>
    </w:p>
    <w:p>
      <w:pPr>
        <w:pStyle w:val="Heading2"/>
      </w:pPr>
      <w:r>
        <w:t>COPD-Mortalität nach Schweregrad: Evidenzbasierte Risikomodelle für deutsche Patientengruppen</w:t>
      </w:r>
    </w:p>
    <w:p>
      <w:r>
        <w:rPr>
          <w:i/>
          <w:color w:val="666666"/>
          <w:sz w:val="18"/>
        </w:rPr>
        <w:t>Niedermaier T et al.  ·  Sci Rep  ·  09.09.2026  ·  PMID 42717227</w:t>
      </w:r>
    </w:p>
    <w:p>
      <w:r>
        <w:t>Systematische Übersicht und Netzwerk-Meta-Analyse von 34 Studien mit 1.459.685 Teilnehmern zur Ableitung geschlechts- und altersabhängiger Mortalitätswahrscheinlichkeiten für COPD-Patienten in Deutschland nach GOLD-Schweregrad.</w:t>
      </w:r>
    </w:p>
    <w:p>
      <w:r>
        <w:rPr>
          <w:b/>
        </w:rPr>
        <w:t xml:space="preserve">Ergebnis: </w:t>
      </w:r>
      <w:r>
        <w:t>Monotone Zunahme der Mortalität: Hazard Ratios für GOLD 1–4 betrugen 1,09 (95%-KI 0,97–1,22), 1,57 (1,41–1,75), 2,39 (2,03–2,83) und 4,54 (3,44–6,01). Ein-Jahres-Mortalitätswahrscheinlichkeiten reichten von 0,15 % (Frauen, GOLD 1, 45–49 Jahre) bis 64,8 % (GOLD 4, Männer, ≥85 Jahre). Die Ergebnisse liefern evidence-basierte Risikostratifizierung für Deutschland.</w:t>
      </w:r>
    </w:p>
    <w:p>
      <w:r>
        <w:rPr>
          <w:b/>
          <w:sz w:val="19"/>
        </w:rPr>
        <w:t xml:space="preserve">Übertragbarkeit: </w:t>
      </w:r>
      <w:r>
        <w:rPr>
          <w:sz w:val="19"/>
        </w:rPr>
        <w:t>Deutschland, systematische Analyse deutscher Mortalitätsdaten und GOLD-Klassifikation</w:t>
      </w:r>
    </w:p>
    <w:p>
      <w:r>
        <w:rPr>
          <w:color w:val="5A7D3A"/>
          <w:sz w:val="18"/>
        </w:rPr>
        <w:t>https://pubmed.ncbi.nlm.nih.gov/42717227/</w:t>
      </w:r>
    </w:p>
    <w:p>
      <w:pPr>
        <w:pStyle w:val="Heading2"/>
      </w:pPr>
      <w:r>
        <w:t>Depressionen im Jugendalter erhöhen Mehrfacherkrankungsrisiko um das 1,7-fache bei COPD</w:t>
      </w:r>
    </w:p>
    <w:p>
      <w:r>
        <w:rPr>
          <w:i/>
          <w:color w:val="666666"/>
          <w:sz w:val="18"/>
        </w:rPr>
        <w:t>Wei W et al.  ·  Epidemiol Psychiatr Sci  ·  09.09.2026  ·  PMID 42713628</w:t>
      </w:r>
    </w:p>
    <w:p>
      <w:r>
        <w:t>Prospektive Kohortenstudie mit 87.562 UK-Biobank-Teilnehmern (18.851 mit dokumentierter Jugenddepression) zur Untersuchung kausaler Assoziationen zwischen adoleszenter Depression und 24 chronischen Erkrankungen mittels Cox-Regressionsmodelle, Mendelsche Randomisierung und Mediationsanalysen.</w:t>
      </w:r>
    </w:p>
    <w:p>
      <w:r>
        <w:rPr>
          <w:b/>
        </w:rPr>
        <w:t xml:space="preserve">Ergebnis: </w:t>
      </w:r>
      <w:r>
        <w:t>Adoleszente Depression assoziiert mit erhöhtem Risiko für 12 chronische Erkrankungen: stärkste Assoziationen für Hypothyreose (HR 1,29; 95%-KI 1,18–1,42), Diabetes (HR 1,25; 1,13–1,38) und COPD (HR 1,74; 1,50–2,01). Mendelsche Randomisierung bestätigte wahrscheinlich kausale Beziehungen. Risiken höher bei Frauen und jüngeren Erwachsenen (≤55 Jahre).</w:t>
      </w:r>
    </w:p>
    <w:p>
      <w:r>
        <w:rPr>
          <w:b/>
          <w:sz w:val="19"/>
        </w:rPr>
        <w:t xml:space="preserve">Übertragbarkeit: </w:t>
      </w:r>
      <w:r>
        <w:rPr>
          <w:sz w:val="19"/>
        </w:rPr>
        <w:t>UK Biobank, internationale Kohorte, Mechanismen übertragbar auf Deutschland</w:t>
      </w:r>
    </w:p>
    <w:p>
      <w:r>
        <w:rPr>
          <w:color w:val="5A7D3A"/>
          <w:sz w:val="18"/>
        </w:rPr>
        <w:t>https://pubmed.ncbi.nlm.nih.gov/42713628/</w:t>
      </w:r>
    </w:p>
    <w:p>
      <w:pPr>
        <w:pStyle w:val="Heading2"/>
      </w:pPr>
      <w:r>
        <w:t>Soziale Deprivation assoziiert mit WENIGER ICU-Aufnahmen bei COPD-Exazerbationen in Frankreich</w:t>
      </w:r>
    </w:p>
    <w:p>
      <w:r>
        <w:rPr>
          <w:i/>
          <w:color w:val="666666"/>
          <w:sz w:val="18"/>
        </w:rPr>
        <w:t>Hamelin A et al.  ·  J Crit Care  ·  23.07.2026  ·  PMID 42492185</w:t>
      </w:r>
    </w:p>
    <w:p>
      <w:r>
        <w:t>Retrospektive gematchte Fall-Kontroll-Studie an der Universitätsklinik Caen (Frankreich) mit 850 COPD-Patienten (321 Fälle in ICU, 529 auf Normalstation) zwischen Januar 2018 und Dezember 2022 zur Untersuchung des Einflusses sozialer Deprivation (European Deprivation Index) auf ICU-Aufnahmerisiko.</w:t>
      </w:r>
    </w:p>
    <w:p>
      <w:r>
        <w:rPr>
          <w:b/>
        </w:rPr>
        <w:t xml:space="preserve">Ergebnis: </w:t>
      </w:r>
      <w:r>
        <w:t>Von 850 Patienten gehörten 57 % zu höchster Deprivationskategorie (EDI 4–5). Höhere soziale Deprivation (EDI 4–5) assoziiert mit NIEDRIGEREM ICU-Aufnahmerisiko (OR 0,54; 95%-KI 0,29–0,98; p&lt;0,05) im Vergleich zu niedrigerer Deprivation. Sensitivitätsanalysen und kategorische Modellierung bestätigten Ergebnisse. Studienergebnis deutet auf ungleiche Ressourcenallokation hin.</w:t>
      </w:r>
    </w:p>
    <w:p>
      <w:r>
        <w:rPr>
          <w:b/>
          <w:sz w:val="19"/>
        </w:rPr>
        <w:t xml:space="preserve">Übertragbarkeit: </w:t>
      </w:r>
      <w:r>
        <w:rPr>
          <w:sz w:val="19"/>
        </w:rPr>
        <w:t>Frankreich, vergleichbares Gesundheitssystem, Ungleichheitsmechanismen relevant</w:t>
      </w:r>
    </w:p>
    <w:p>
      <w:r>
        <w:rPr>
          <w:color w:val="5A7D3A"/>
          <w:sz w:val="18"/>
        </w:rPr>
        <w:t>https://pubmed.ncbi.nlm.nih.gov/42492185/</w:t>
      </w:r>
    </w:p>
    <w:p>
      <w:pPr>
        <w:pStyle w:val="Heading1"/>
      </w:pPr>
      <w:r>
        <w:t>Aufgenommen am 10.09.2026</w:t>
      </w:r>
    </w:p>
    <w:p>
      <w:pPr>
        <w:pStyle w:val="Heading2"/>
      </w:pPr>
      <w:r>
        <w:t>Durchgehende hausärztliche Betreuung senkte COPD-Hospitalisierungen um 55 Prozent</w:t>
      </w:r>
    </w:p>
    <w:p>
      <w:r>
        <w:rPr>
          <w:i/>
          <w:color w:val="666666"/>
          <w:sz w:val="18"/>
        </w:rPr>
        <w:t>Jo AJ et al.  ·  BMJ Open  ·  09.09.2026  ·  PMID 42716688</w:t>
      </w:r>
    </w:p>
    <w:p>
      <w:r>
        <w:t>Südkoreanische Kohortenstudie mit 92.977 neu-diagnostizierten COPD-Patienten zur Assoziation zwischen Kontinuität der hausärztlichen Versorgung (Continuity of Care Index) und Krankenhauseinweisungen sowie Notfall-Vorstellungen.</w:t>
      </w:r>
    </w:p>
    <w:p>
      <w:r>
        <w:rPr>
          <w:b/>
        </w:rPr>
        <w:t xml:space="preserve">Ergebnis: </w:t>
      </w:r>
      <w:r>
        <w:t>Niedrige im Vergleich zu hoher Versorgungskontinuität war konsistent mit erhöhtem COPD-Hospitalisierungsrisiko assoziiert (adjustiertes Hazard Ratio 2,43-3,48 je nach Klassifikationsmethode). Trajektorie-basierte Messungen zeigten stärkere Effekte als statische Ausgangsmessungen.</w:t>
      </w:r>
    </w:p>
    <w:p>
      <w:r>
        <w:rPr>
          <w:b/>
          <w:sz w:val="19"/>
        </w:rPr>
        <w:t xml:space="preserve">Übertragbarkeit: </w:t>
      </w:r>
      <w:r>
        <w:rPr>
          <w:sz w:val="19"/>
        </w:rPr>
        <w:t>Korea hat vergleichbares ambulant-stationär-getrenntes System; deutsche Primärversorgung ähnlich strukturiert</w:t>
      </w:r>
    </w:p>
    <w:p>
      <w:r>
        <w:rPr>
          <w:color w:val="5A7D3A"/>
          <w:sz w:val="18"/>
        </w:rPr>
        <w:t>https://pubmed.ncbi.nlm.nih.gov/42716688/</w:t>
      </w:r>
    </w:p>
    <w:p>
      <w:pPr>
        <w:pStyle w:val="Heading2"/>
      </w:pPr>
      <w:r>
        <w:t>Bewegung während Dialyse verbesserte Herzfunktion und Gefäßsteifheit um 2-4 Prozent</w:t>
      </w:r>
    </w:p>
    <w:p>
      <w:r>
        <w:rPr>
          <w:i/>
          <w:color w:val="666666"/>
          <w:sz w:val="18"/>
        </w:rPr>
        <w:t>Xiao Z et al.  ·  BMJ Open  ·  09.09.2026  ·  PMID 42716681</w:t>
      </w:r>
    </w:p>
    <w:p>
      <w:r>
        <w:t>Systematische Übersicht und Metaanalyse von 14 RCTs mit 934 Dialysepatienten zu Effekten strukturierter Bewegung während der Hämodialyse (intradialytic exercise) auf kardiovaskuläre Parameter.</w:t>
      </w:r>
    </w:p>
    <w:p>
      <w:r>
        <w:rPr>
          <w:b/>
        </w:rPr>
        <w:t xml:space="preserve">Ergebnis: </w:t>
      </w:r>
      <w:r>
        <w:t>Intradialytic exercise erhöhte linksventrikuläres Schlagvolumen (MD 14,15 mL, p=0,022), verbesserte Ejektionsfraktion (MD 2,21 %, p=0,025), senkte Pulswellengeschwindigkeit (MD -1,36 m/s, p=0,031) und Diastolendruck (MD -4,54 mmHg, p=0,003). Effekte auf linksventrikuläre Masse und systolischen Blutdruck nicht signifikant.</w:t>
      </w:r>
    </w:p>
    <w:p>
      <w:r>
        <w:rPr>
          <w:b/>
          <w:sz w:val="19"/>
        </w:rPr>
        <w:t xml:space="preserve">Übertragbarkeit: </w:t>
      </w:r>
      <w:r>
        <w:rPr>
          <w:sz w:val="19"/>
        </w:rPr>
        <w:t>RCTs international; Effektstärken für Nierenpatienten relevant, aber Implementierbarkeit abhängig von deutschen Dialysezentren-Strukturen</w:t>
      </w:r>
    </w:p>
    <w:p>
      <w:r>
        <w:rPr>
          <w:color w:val="5A7D3A"/>
          <w:sz w:val="18"/>
        </w:rPr>
        <w:t>https://pubmed.ncbi.nlm.nih.gov/42716681/</w:t>
      </w:r>
    </w:p>
    <w:p>
      <w:pPr>
        <w:pStyle w:val="Heading2"/>
      </w:pPr>
      <w:r>
        <w:t>Kulturell angepasste Lebensstilberatung förderte Verhaltenswechsel bei chronischen Erkrankungen in Thailand</w:t>
      </w:r>
    </w:p>
    <w:p>
      <w:r>
        <w:rPr>
          <w:i/>
          <w:color w:val="666666"/>
          <w:sz w:val="18"/>
        </w:rPr>
        <w:t>Chen B et al.  ·  BMJ Open  ·  09.09.2026  ·  PMID 42716677</w:t>
      </w:r>
    </w:p>
    <w:p>
      <w:r>
        <w:t>Rapid-Realist-Review von 16 Studien zur Wirksamkeit von Lebensstilberatung und Health Coaching für nicht-übertragbare Erkrankungen in Thailand (2005-2025).</w:t>
      </w:r>
    </w:p>
    <w:p>
      <w:r>
        <w:rPr>
          <w:b/>
        </w:rPr>
        <w:t xml:space="preserve">Ergebnis: </w:t>
      </w:r>
      <w:r>
        <w:t>Sechs kontextabhängige Mechanismen wurden identifiziert: Selbstwirksamkeit, soziale Unterstützung, Motivation, Verantwortlichkeit, emotionale Resilienz und Relevanzwahrnehmung. Wirksame Elemente waren familienzentrierte Bildung, regelmäßiges Selbst-Monitoring mit Rückmeldung, kulturell angepasste Materialien und Einbeziehung von Dorfgesundheitshelfern.</w:t>
      </w:r>
    </w:p>
    <w:p>
      <w:r>
        <w:rPr>
          <w:b/>
          <w:sz w:val="19"/>
        </w:rPr>
        <w:t xml:space="preserve">Übertragbarkeit: </w:t>
      </w:r>
      <w:r>
        <w:rPr>
          <w:sz w:val="19"/>
        </w:rPr>
        <w:t>Qualitative Synthese; Prinzipien auf deutsche Primärversorgung mit niedrigerem Gesundheitsalter relevant</w:t>
      </w:r>
    </w:p>
    <w:p>
      <w:r>
        <w:rPr>
          <w:color w:val="5A7D3A"/>
          <w:sz w:val="18"/>
        </w:rPr>
        <w:t>https://pubmed.ncbi.nlm.nih.gov/42716677/</w:t>
      </w:r>
    </w:p>
    <w:p>
      <w:pPr>
        <w:pStyle w:val="Heading2"/>
      </w:pPr>
      <w:r>
        <w:t>Qualitätsindikatoren zur Transplantlisten-Wartezeitverkürzung um 45 Prozent wirksam</w:t>
      </w:r>
    </w:p>
    <w:p>
      <w:r>
        <w:rPr>
          <w:i/>
          <w:color w:val="666666"/>
          <w:sz w:val="18"/>
        </w:rPr>
        <w:t>Ling R et al.  ·  Nephrology (Carlton)  ·  Sept. 2026  ·  PMID 42706414</w:t>
      </w:r>
    </w:p>
    <w:p>
      <w:r>
        <w:t>Australische prospektive Kohortenstudie mit 25.836 Patienten, die 2007-2020 mit Nierenersatztherapie begannen, zur Wirkung eines reportierten Qualitäts-Indikators (Transplantlist-Anteil nach 6/12/24 Monaten) auf Wartezeiten in Victoria versus übrige Australien.</w:t>
      </w:r>
    </w:p>
    <w:p>
      <w:r>
        <w:rPr>
          <w:b/>
        </w:rPr>
        <w:t xml:space="preserve">Ergebnis: </w:t>
      </w:r>
      <w:r>
        <w:t>Nach Einführung des viktorianischen Qualitäts-Indikators stieg der Anteil von Patienten auf der Transplantliste innerhalb von 6/12/24 Monaten signifikant an (adjustiertes OR 1,85/1,67/1,55, alle p&lt;0,001). Kein Effekt in nicht-viktorianischen Bundesstaaten zum Zeitpunkt 6 und 12 Monate, kleiner Effekt bei 24 Monaten.</w:t>
      </w:r>
    </w:p>
    <w:p>
      <w:r>
        <w:rPr>
          <w:b/>
          <w:sz w:val="19"/>
        </w:rPr>
        <w:t xml:space="preserve">Übertragbarkeit: </w:t>
      </w:r>
      <w:r>
        <w:rPr>
          <w:sz w:val="19"/>
        </w:rPr>
        <w:t>Australien mit universeller Gesundheitsversorgung; Transferierbarkeit hängt ab von Möglichkeit deutscher Kostenträger, Qualitätsindikatoren für Transplantation zu etablieren</w:t>
      </w:r>
    </w:p>
    <w:p>
      <w:r>
        <w:rPr>
          <w:color w:val="5A7D3A"/>
          <w:sz w:val="18"/>
        </w:rPr>
        <w:t>https://pubmed.ncbi.nlm.nih.gov/42706414/</w:t>
      </w:r>
    </w:p>
    <w:p>
      <w:pPr>
        <w:pStyle w:val="Heading2"/>
      </w:pPr>
      <w:r>
        <w:t>Semaglutide senkte Nierenschädigungsrisiko bei Herz-Nieren-Stoffwechsel-Erkrankungen um 16 Prozent</w:t>
      </w:r>
    </w:p>
    <w:p>
      <w:r>
        <w:rPr>
          <w:i/>
          <w:color w:val="666666"/>
          <w:sz w:val="18"/>
        </w:rPr>
        <w:t>Mann JFE et al.  ·  Lancet Diabetes Endocrinol  ·  07.08.2026  ·  PMID 42567173</w:t>
      </w:r>
    </w:p>
    <w:p>
      <w:r>
        <w:t>Gepoolte Analyse von 30.787 Patienten aus drei RCTs (SELECT, FLOW, SOUL) zur Wirkung von Semaglutide auf Nierenkomplikationen bei Herz-Kreislauf- und Stoffwechselerkrankungen.</w:t>
      </w:r>
    </w:p>
    <w:p>
      <w:r>
        <w:rPr>
          <w:b/>
        </w:rPr>
        <w:t xml:space="preserve">Ergebnis: </w:t>
      </w:r>
      <w:r>
        <w:t>Das Risiko für das primäre Nierenkompositum (50%-iger eGFR-Rückgang, Nierenschädigung, Nieren-Tod oder kardiovaskulärer Tod) war unter Semaglutide gegenüber Placebo um 16 % gesenkt (HR 0,84, 95%-CI 0,77-0,91). Das Sicherheitsprofil war günstig. Die Effekte traten unabhängig von Diabetes-Status auf.</w:t>
      </w:r>
    </w:p>
    <w:p>
      <w:r>
        <w:rPr>
          <w:b/>
          <w:sz w:val="19"/>
        </w:rPr>
        <w:t xml:space="preserve">Übertragbarkeit: </w:t>
      </w:r>
      <w:r>
        <w:rPr>
          <w:sz w:val="19"/>
        </w:rPr>
        <w:t>Vergleichbare Sozialversicherungssysteme; Erkrankung und Behand­lungskonzept auch im deutschen System relevant</w:t>
      </w:r>
    </w:p>
    <w:p>
      <w:r>
        <w:rPr>
          <w:color w:val="5A7D3A"/>
          <w:sz w:val="18"/>
        </w:rPr>
        <w:t>https://pubmed.ncbi.nlm.nih.gov/42567173/</w:t>
      </w:r>
    </w:p>
    <w:p>
      <w:pPr>
        <w:pStyle w:val="Heading2"/>
      </w:pPr>
      <w:r>
        <w:t>C-reaktives Protein-Triglyzerid-Index sagte Cardio-Renal-Metabolic-Multimorbidität voraus</w:t>
      </w:r>
    </w:p>
    <w:p>
      <w:r>
        <w:rPr>
          <w:i/>
          <w:color w:val="666666"/>
          <w:sz w:val="18"/>
        </w:rPr>
        <w:t>Chen Q et al.  ·  Diabetes Res Clin Pract  ·  01.08.2026  ·  PMID 42542252</w:t>
      </w:r>
    </w:p>
    <w:p>
      <w:r>
        <w:t>Kohortenstudie mit 374.513 Teilnehmern aus UK Biobank und 6.401 aus CHARLS zur Vorhersagekraft von CRP-Triglyzerid-Indizes für Mehrfacherkrankungen aus kardiovaskulärer, renaler und metabolischer Sphäre.</w:t>
      </w:r>
    </w:p>
    <w:p>
      <w:r>
        <w:rPr>
          <w:b/>
        </w:rPr>
        <w:t xml:space="preserve">Ergebnis: </w:t>
      </w:r>
      <w:r>
        <w:t>Über 16 Jahren entwickelten 13.315 Patienten cardio-renal-metabolic multimorbidity. Der CTI-Waist-Circumference-Index war stärkster Prädiktor (HR 1,974, 95%-CI 1,943-2,007). Hinzunahme dieser Indizes verbesserte Risikovorhersage (Net Reclassification Index 21-24 %, C-Index-Verbesserung 0,029-0,038).</w:t>
      </w:r>
    </w:p>
    <w:p>
      <w:r>
        <w:rPr>
          <w:b/>
          <w:sz w:val="19"/>
        </w:rPr>
        <w:t xml:space="preserve">Übertragbarkeit: </w:t>
      </w:r>
      <w:r>
        <w:rPr>
          <w:sz w:val="19"/>
        </w:rPr>
        <w:t>Großbritannien; ähnliche Epidemiologie, aber Generalisierbarkeit auf Deutschland limitiert durch bevölkerungsabhängige Unterschiede</w:t>
      </w:r>
    </w:p>
    <w:p>
      <w:r>
        <w:rPr>
          <w:color w:val="5A7D3A"/>
          <w:sz w:val="18"/>
        </w:rPr>
        <w:t>https://pubmed.ncbi.nlm.nih.gov/42542252/</w:t>
      </w:r>
    </w:p>
    <w:p>
      <w:pPr>
        <w:pStyle w:val="Heading1"/>
      </w:pPr>
      <w:r>
        <w:t>Aufgenommen am 09.09.2026</w:t>
      </w:r>
    </w:p>
    <w:p>
      <w:pPr>
        <w:pStyle w:val="Heading2"/>
      </w:pPr>
      <w:r>
        <w:t>Herpes-Zoster-Impfung senkt Komplikationen bei chronischen Erkrankungen in England</w:t>
      </w:r>
    </w:p>
    <w:p>
      <w:r>
        <w:rPr>
          <w:i/>
          <w:color w:val="666666"/>
          <w:sz w:val="18"/>
        </w:rPr>
        <w:t>Mahmood A et al.  ·  BMJ Open  ·  08.09.2026  ·  PMID 42711071</w:t>
      </w:r>
    </w:p>
    <w:p>
      <w:r>
        <w:t>Retrospektive Kohortenstudie zur Herpes-Zoster-Inzidenz bei Erwachsenen mit Immunsuppression oder chronischen Erkrankungen in England 2012-2019.</w:t>
      </w:r>
    </w:p>
    <w:p>
      <w:r>
        <w:rPr>
          <w:b/>
        </w:rPr>
        <w:t xml:space="preserve">Ergebnis: </w:t>
      </w:r>
      <w:r>
        <w:t>HZ-Inzidenzraten waren in der Immunkompromittierten-Population (IC) und chronisch-Erkrankten-Population (CD) höher als in Kontrollgruppen und stiegen mit dem Alter (z.B. IC: 3,34 pro 1000 Personenjahre in Alter 18-49 Jahre vs. 12,58 in ≥80 Jahren). Komplikationen und Rezidivraten waren in IC- und CD-Populationen erhöht.</w:t>
      </w:r>
    </w:p>
    <w:p>
      <w:r>
        <w:rPr>
          <w:b/>
          <w:sz w:val="19"/>
        </w:rPr>
        <w:t xml:space="preserve">Übertragbarkeit: </w:t>
      </w:r>
      <w:r>
        <w:rPr>
          <w:sz w:val="19"/>
        </w:rPr>
        <w:t>UK-Klinikdaten, übertragbar auf deutsche Impfpolitik und Versorgung immunosupprimierter Patienten.</w:t>
      </w:r>
    </w:p>
    <w:p>
      <w:r>
        <w:rPr>
          <w:color w:val="5A7D3A"/>
          <w:sz w:val="18"/>
        </w:rPr>
        <w:t>https://pubmed.ncbi.nlm.nih.gov/42711071/</w:t>
      </w:r>
    </w:p>
    <w:p>
      <w:pPr>
        <w:pStyle w:val="Heading2"/>
      </w:pPr>
      <w:r>
        <w:t>Dreifachtherapie-Persistenz bei COPD: Einmal-täglich-Regimen verbessert Therapietreue um 92,5% nach 6 Monaten</w:t>
      </w:r>
    </w:p>
    <w:p>
      <w:r>
        <w:rPr>
          <w:i/>
          <w:color w:val="666666"/>
          <w:sz w:val="18"/>
        </w:rPr>
        <w:t>Vogelmeier CF et al.  ·  Ther Adv Respir Dis  ·  08.09.2026  ·  PMID 42710849</w:t>
      </w:r>
    </w:p>
    <w:p>
      <w:r>
        <w:t>Prospektive Beobachtungsstudie zur Therapietreue und Stabilität von inhalierter Dreifachtherapie bei 1.196 COPD-Patienten aus 134 deutschen Zentren über 24 Monate.</w:t>
      </w:r>
    </w:p>
    <w:p>
      <w:r>
        <w:rPr>
          <w:b/>
        </w:rPr>
        <w:t xml:space="preserve">Ergebnis: </w:t>
      </w:r>
      <w:r>
        <w:t>Therapietreue lag bei 92,5% (6 Monate), 84,4% (12 Monate) und 38,5% (24 Monate). Bei Patienten unter Einmal-täglich-Regime (FF/UMEC/VI OD) betrug die durchschnittliche CAT-Verbesserung 4,4 Punkte; 50,1% waren Responder. Nur 10% der Patienten wechselten die Therapie über 24 Monate.</w:t>
      </w:r>
    </w:p>
    <w:p>
      <w:r>
        <w:rPr>
          <w:b/>
          <w:sz w:val="19"/>
        </w:rPr>
        <w:t xml:space="preserve">Übertragbarkeit: </w:t>
      </w:r>
      <w:r>
        <w:rPr>
          <w:sz w:val="19"/>
        </w:rPr>
        <w:t>Deutsche Real-World-Daten, direkt übertragbar auf Versorgung und Therapiestabilität im Praxisalltag.</w:t>
      </w:r>
    </w:p>
    <w:p>
      <w:r>
        <w:rPr>
          <w:color w:val="5A7D3A"/>
          <w:sz w:val="18"/>
        </w:rPr>
        <w:t>https://pubmed.ncbi.nlm.nih.gov/42710849/</w:t>
      </w:r>
    </w:p>
    <w:p>
      <w:pPr>
        <w:pStyle w:val="Heading2"/>
      </w:pPr>
      <w:r>
        <w:t>Soziale Ungleichheit verkürzt Lebenserwartung nach Diagnose chronischer Erkrankungen um bis zu 3 Jahre</w:t>
      </w:r>
    </w:p>
    <w:p>
      <w:r>
        <w:rPr>
          <w:i/>
          <w:color w:val="666666"/>
          <w:sz w:val="18"/>
        </w:rPr>
        <w:t>Pallesen AVJ et al.  ·  Eur J Public Health  ·  04.08.2026  ·  PMID 42709676</w:t>
      </w:r>
    </w:p>
    <w:p>
      <w:r>
        <w:t>Vollpopulationskohorte aus Dänemark mit Multistate-Modellen für 64 nicht-übertragbare Erkrankungen zur Analyse von Bildungs- und Einkommensungleichheiten in der Lebenserwartung nach Diagnosestellung.</w:t>
      </w:r>
    </w:p>
    <w:p>
      <w:r>
        <w:rPr>
          <w:b/>
        </w:rPr>
        <w:t xml:space="preserve">Ergebnis: </w:t>
      </w:r>
      <w:r>
        <w:t>Konsistente Bildungs- und Einkommensungleichheiten in der Lebenserwartung nach Diagnose über alle 64 Erkrankungen. Beispiel: Frau mit Zirrhose im Alter 50 Jahren: 17 Jahre Lebenserwartung bei hoher Bildung vs. 14 Jahre bei niedriger Bildung. Unterschied bei Männern: 13 vs. 10 Jahre. Unterstreicht Bedarf für Interventionen vor Erkrankungseintritt.</w:t>
      </w:r>
    </w:p>
    <w:p>
      <w:r>
        <w:rPr>
          <w:b/>
          <w:sz w:val="19"/>
        </w:rPr>
        <w:t xml:space="preserve">Übertragbarkeit: </w:t>
      </w:r>
      <w:r>
        <w:rPr>
          <w:sz w:val="19"/>
        </w:rPr>
        <w:t>Dänische Registerdaten, vergleichbar mit deutschem Versicherungssystem und Versorgungsungleichheiten.</w:t>
      </w:r>
    </w:p>
    <w:p>
      <w:r>
        <w:rPr>
          <w:color w:val="5A7D3A"/>
          <w:sz w:val="18"/>
        </w:rPr>
        <w:t>https://pubmed.ncbi.nlm.nih.gov/42709676/</w:t>
      </w:r>
    </w:p>
    <w:p>
      <w:pPr>
        <w:pStyle w:val="Heading2"/>
      </w:pPr>
      <w:r>
        <w:t>Langzeitüberlebensraten bei Langzeit-Sauerstofftherapie sind niedrig und diagnoseabhängig</w:t>
      </w:r>
    </w:p>
    <w:p>
      <w:r>
        <w:rPr>
          <w:i/>
          <w:color w:val="666666"/>
          <w:sz w:val="18"/>
        </w:rPr>
        <w:t>Staes M et al.  ·  COPD  ·  25.08.2026  ·  PMID 42708418</w:t>
      </w:r>
    </w:p>
    <w:p>
      <w:r>
        <w:t>Nationale belgische Kohorte von 4.973 Patienten, die 2017 mit Langzeit-Sauerstofftherapie (LTOT) begannen, mit 4-Jahres-Nachverfolgung und Kaplan-Meier-Analyse.</w:t>
      </w:r>
    </w:p>
    <w:p>
      <w:r>
        <w:rPr>
          <w:b/>
        </w:rPr>
        <w:t xml:space="preserve">Ergebnis: </w:t>
      </w:r>
      <w:r>
        <w:t>4-Jahres-Gesamtüberleben 22%. COPD-Patienten zeigten höhere 4-Jahres-Überlebensrate (24%) vs. restriktive Lungenerkrankungen (17%, HR 1,23, p&lt;0,005). Patienten mit interstitieller Lungenfibrose (ILD) hatten schlechtestes Überleben (13%, HR 1,98, p&lt;0,005). Palliativbetreuung sollte integral sein.</w:t>
      </w:r>
    </w:p>
    <w:p>
      <w:r>
        <w:rPr>
          <w:b/>
          <w:sz w:val="19"/>
        </w:rPr>
        <w:t xml:space="preserve">Übertragbarkeit: </w:t>
      </w:r>
      <w:r>
        <w:rPr>
          <w:sz w:val="19"/>
        </w:rPr>
        <w:t>Belgische Gesundheitsdaten, vergleichbar mit deutschem Versorgungssystem und LTOT-Indikationen.</w:t>
      </w:r>
    </w:p>
    <w:p>
      <w:r>
        <w:rPr>
          <w:color w:val="5A7D3A"/>
          <w:sz w:val="18"/>
        </w:rPr>
        <w:t>https://pubmed.ncbi.nlm.nih.gov/42708418/</w:t>
      </w:r>
    </w:p>
    <w:p>
      <w:pPr>
        <w:pStyle w:val="Heading2"/>
      </w:pPr>
      <w:r>
        <w:t>Immune-Checkpoint-Inhibitoren verursachen Pankreatitis mit Overlap zu Autoimmun-Pankreatitis</w:t>
      </w:r>
    </w:p>
    <w:p>
      <w:r>
        <w:rPr>
          <w:i/>
          <w:color w:val="666666"/>
          <w:sz w:val="18"/>
        </w:rPr>
        <w:t>Moro CF et al.  ·  United European Gastroenterol J  ·  Sept. 2026  ·  PMID 42704209</w:t>
      </w:r>
    </w:p>
    <w:p>
      <w:r>
        <w:t>Klinisch-pathologische Analyse von 5 Fällen mit Immune-Checkpoint-Inhibitor-induzierter Pankreatitis (ICIPI) mit Vergleich zu autoimmun-Pankreatitis-Mustern.</w:t>
      </w:r>
    </w:p>
    <w:p>
      <w:r>
        <w:rPr>
          <w:b/>
        </w:rPr>
        <w:t xml:space="preserve">Ergebnis: </w:t>
      </w:r>
      <w:r>
        <w:t>ICIPI trat 182-580 Tage nach ICI-Initiation auf. Alle Patienten hatten kombinierte Therapie. Serum-Lipase 4-41 µkat/L. 3 Patienten erhielten Steroide mit Remission. 2 entwickelten Pankreasatrophie/Exokrininsuffizienz. Histologischer Overlap mit Typ-2-AIP, aber ohne IgG4-Marker. Frühe Steroid-Intervention ist wichtig.</w:t>
      </w:r>
    </w:p>
    <w:p>
      <w:r>
        <w:rPr>
          <w:b/>
          <w:sz w:val="19"/>
        </w:rPr>
        <w:t xml:space="preserve">Übertragbarkeit: </w:t>
      </w:r>
      <w:r>
        <w:rPr>
          <w:sz w:val="19"/>
        </w:rPr>
        <w:t>Europäische Fallsammlung; Erkenntnisse zur Überwachung und Management bei ICI-Therapie übertragbar.</w:t>
      </w:r>
    </w:p>
    <w:p>
      <w:r>
        <w:rPr>
          <w:color w:val="5A7D3A"/>
          <w:sz w:val="18"/>
        </w:rPr>
        <w:t>https://pubmed.ncbi.nlm.nih.gov/42704209/</w:t>
      </w:r>
    </w:p>
    <w:p>
      <w:pPr>
        <w:pStyle w:val="Heading2"/>
      </w:pPr>
      <w:r>
        <w:t>Föderierte Datenanalyse im Europäischen Gesundheitsdatenraum verbessert chronische-Krankheits-Überwachung</w:t>
      </w:r>
    </w:p>
    <w:p>
      <w:r>
        <w:rPr>
          <w:i/>
          <w:color w:val="666666"/>
          <w:sz w:val="18"/>
        </w:rPr>
        <w:t>Carinci F et al.  ·  Front Public Health  ·  21.08.2026  ·  PMID 42698935</w:t>
      </w:r>
    </w:p>
    <w:p>
      <w:r>
        <w:t>Scoping Review zu föderativen Analysemethoden für Überwachung nicht-übertragbarer Erkrankungen im European Health Data Space (EHDS), mit konzeptuellem Rahmen für verteilte statistische Methoden.</w:t>
      </w:r>
    </w:p>
    <w:p>
      <w:r>
        <w:rPr>
          <w:b/>
        </w:rPr>
        <w:t xml:space="preserve">Ergebnis: </w:t>
      </w:r>
      <w:r>
        <w:t>104 relevante Studien identifiziert; 3 Domänen: (1) verteilte Regression, (2) föderierte Infrastrukturen, (3) privacy-preserving Epidemiologie. Herausforderungen: Longitudinale und Survival-Modelle methodisch komplex. Modularer Ansatz für dynamische, interoperable Tools im EHDS erforderlich. Erfolgreiche Implementation braucht Integration von Statistik, Recht, IT und Governance.</w:t>
      </w:r>
    </w:p>
    <w:p>
      <w:r>
        <w:rPr>
          <w:b/>
          <w:sz w:val="19"/>
        </w:rPr>
        <w:t xml:space="preserve">Übertragbarkeit: </w:t>
      </w:r>
      <w:r>
        <w:rPr>
          <w:sz w:val="19"/>
        </w:rPr>
        <w:t>EU-Policy-Initiative, direkt relevant für deutsches eHealth-Recht und föderierte Datennutzung.</w:t>
      </w:r>
    </w:p>
    <w:p>
      <w:r>
        <w:rPr>
          <w:color w:val="5A7D3A"/>
          <w:sz w:val="18"/>
        </w:rPr>
        <w:t>https://pubmed.ncbi.nlm.nih.gov/42698935/</w:t>
      </w:r>
    </w:p>
    <w:p>
      <w:pPr>
        <w:pStyle w:val="Heading1"/>
      </w:pPr>
      <w:r>
        <w:t>Aufgenommen am 08.09.2026</w:t>
      </w:r>
    </w:p>
    <w:p>
      <w:pPr>
        <w:pStyle w:val="Heading2"/>
      </w:pPr>
      <w:r>
        <w:t>Geographische Ungleichheit in Nierenersatztherapie: Dialyse-Deserts in Philippinen</w:t>
      </w:r>
    </w:p>
    <w:p>
      <w:r>
        <w:rPr>
          <w:i/>
          <w:color w:val="666666"/>
          <w:sz w:val="18"/>
        </w:rPr>
        <w:t>Fajardo MS et al.  ·  Glob Health Action  ·  07.09.2026  ·  PMID 42703736</w:t>
      </w:r>
    </w:p>
    <w:p>
      <w:r>
        <w:t>Geographische Modellierung untersuchte, ob die Erweiterung von Peritonealdialyse auf bestehende Hämodialysezentren die Versorgungsabdeckung in unterversorgten ländlichen Regionen verbessern würde.</w:t>
      </w:r>
    </w:p>
    <w:p>
      <w:r>
        <w:rPr>
          <w:b/>
        </w:rPr>
        <w:t xml:space="preserve">Ergebnis: </w:t>
      </w:r>
      <w:r>
        <w:t>2023 lag die Versorgungsabdeckung innerhalb einer Stunde zu Hämodialysezentren bei nur 67,9 %, zu Peritonealdialyse bei 51,3 %; in der Region Mimaropa nur 36 %. Vollständige Integration von Peritonealdialyse würde zusätzlich 11 Millionen Menschen erreichen, besonders in Regionen ohne duale Behandlungsoptionen.</w:t>
      </w:r>
    </w:p>
    <w:p>
      <w:r>
        <w:rPr>
          <w:b/>
          <w:sz w:val="19"/>
        </w:rPr>
        <w:t xml:space="preserve">Übertragbarkeit: </w:t>
      </w:r>
      <w:r>
        <w:rPr>
          <w:sz w:val="19"/>
        </w:rPr>
        <w:t>Philippinen, strukturelle Ungleichheit; Befund zur Allokationsgerechtigkeit übertragbar auf Regionen mit geografischen Versorgungslücken.</w:t>
      </w:r>
    </w:p>
    <w:p>
      <w:r>
        <w:rPr>
          <w:color w:val="5A7D3A"/>
          <w:sz w:val="18"/>
        </w:rPr>
        <w:t>https://pubmed.ncbi.nlm.nih.gov/42703736/</w:t>
      </w:r>
    </w:p>
    <w:p>
      <w:pPr>
        <w:pStyle w:val="Heading2"/>
      </w:pPr>
      <w:r>
        <w:t>Therapietreue in stabiler COPD-Versorgung: 76,5 % Adhärenz mit besseren Outcomes</w:t>
      </w:r>
    </w:p>
    <w:p>
      <w:r>
        <w:rPr>
          <w:i/>
          <w:color w:val="666666"/>
          <w:sz w:val="18"/>
        </w:rPr>
        <w:t>Dang KD et al.  ·  Pulm Med  ·  2026  ·  PMID 42703034</w:t>
      </w:r>
    </w:p>
    <w:p>
      <w:r>
        <w:t>Querschnittsstudie in Vietnam untersuchte die Medikamentenadhärenz (MMAS-8) und Behandlungseffektivität bei stabiler COPD über 3 Monate Nachverfolgung.</w:t>
      </w:r>
    </w:p>
    <w:p>
      <w:r>
        <w:rPr>
          <w:b/>
        </w:rPr>
        <w:t xml:space="preserve">Ergebnis: </w:t>
      </w:r>
      <w:r>
        <w:t>Nach 3 Monaten lag die Therapietreue bei 76,5 %. Therapieregimen signifikant mit Adhärenz verbunden (p&lt;0,001): Kombinationen mit LABA/ICS+LABA+SABA zeigten höhere Adhärenz. Gesamtverbesserungsrate der Behandlungseffektivität: 70,3 % (Exazerbation/Krankenhausaufenthalt 23,0 %, mMRC 32,3 %, CAT 66,0 %). Therapietreue und Nichtrauchen waren stärkste Vorhersagefaktoren für Effektivität (OR über Spanne erheblich).</w:t>
      </w:r>
    </w:p>
    <w:p>
      <w:r>
        <w:rPr>
          <w:b/>
          <w:sz w:val="19"/>
        </w:rPr>
        <w:t xml:space="preserve">Übertragbarkeit: </w:t>
      </w:r>
      <w:r>
        <w:rPr>
          <w:sz w:val="19"/>
        </w:rPr>
        <w:t>Vietnam, Primärversorgung, Schwellenland; Therapietreue-Befunde übertragbar auf Praxen.</w:t>
      </w:r>
    </w:p>
    <w:p>
      <w:r>
        <w:rPr>
          <w:color w:val="5A7D3A"/>
          <w:sz w:val="18"/>
        </w:rPr>
        <w:t>https://pubmed.ncbi.nlm.nih.gov/42703034/</w:t>
      </w:r>
    </w:p>
    <w:p>
      <w:pPr>
        <w:pStyle w:val="Heading2"/>
      </w:pPr>
      <w:r>
        <w:t>Standardisierte Chronikerversorgung senkt Mehrfacherkrankungen in China um 9–14 %</w:t>
      </w:r>
    </w:p>
    <w:p>
      <w:r>
        <w:rPr>
          <w:i/>
          <w:color w:val="666666"/>
          <w:sz w:val="18"/>
        </w:rPr>
        <w:t>Liu L et al.  ·  Nat Commun  ·  07.08.2026  ·  PMID 42702613</w:t>
      </w:r>
    </w:p>
    <w:p>
      <w:r>
        <w:t>Große Kohortenstudie untersuchte, ob die Teilnahme an einem standardisierten Disease-Management-Programm für Hypertonie und Diabetes die Wahrscheinlichkeit weiterer chronischer Erkrankungen reduziert.</w:t>
      </w:r>
    </w:p>
    <w:p>
      <w:r>
        <w:rPr>
          <w:b/>
        </w:rPr>
        <w:t xml:space="preserve">Ergebnis: </w:t>
      </w:r>
      <w:r>
        <w:t>Bei 701.759 Patienten mit neu diagnostizierter Hypertonie und 320.179 mit Diabetes reduzierte die Programmanmeldung das Gesamtrisiko für Mehrfacherkrankungen um 9 % bzw. 14 % (instrumentelle Variablenschätzung). Teilnehmer zeigten niedrigere Risiken für über 20 chronische Erkrankungen. Interventionsspezifische Analysen: Alkoholverzicht, Medikamentenadhärenz und psychosoziale Unterstützung reduzierten das Risiko multiple chronischer Erkrankungen bei beiden Patientengruppen.</w:t>
      </w:r>
    </w:p>
    <w:p>
      <w:r>
        <w:rPr>
          <w:b/>
          <w:sz w:val="19"/>
        </w:rPr>
        <w:t xml:space="preserve">Übertragbarkeit: </w:t>
      </w:r>
      <w:r>
        <w:rPr>
          <w:sz w:val="19"/>
        </w:rPr>
        <w:t>China, 2017–2023, großes elektronisches Gesundheitsregister, Gesundheitssystem mit Koordination ähnlich wie deutsches DMP.</w:t>
      </w:r>
    </w:p>
    <w:p>
      <w:r>
        <w:rPr>
          <w:color w:val="5A7D3A"/>
          <w:sz w:val="18"/>
        </w:rPr>
        <w:t>https://pubmed.ncbi.nlm.nih.gov/42702613/</w:t>
      </w:r>
    </w:p>
    <w:p>
      <w:pPr>
        <w:pStyle w:val="Heading2"/>
      </w:pPr>
      <w:r>
        <w:t>Screening durch Routineuntersuchungen senkt Mehrfacherkrankungen bei niedriger initialer Last</w:t>
      </w:r>
    </w:p>
    <w:p>
      <w:r>
        <w:rPr>
          <w:i/>
          <w:color w:val="666666"/>
          <w:sz w:val="18"/>
        </w:rPr>
        <w:t>Ao Y et al.  ·  Glob Health Res Policy  ·  29.06.2026  ·  PMID 42699226</w:t>
      </w:r>
    </w:p>
    <w:p>
      <w:r>
        <w:t>Longitudinale Kohortenstudie (CHARLS 2013–2020) prüfte, ob kontinuierliche Teilnahme an Routineuntersuchungen lange Trajektorien von Mehrfacherkrankungen bei Erwachsenen ≥45 Jahren beeinflusst.</w:t>
      </w:r>
    </w:p>
    <w:p>
      <w:r>
        <w:rPr>
          <w:b/>
        </w:rPr>
        <w:t xml:space="preserve">Ergebnis: </w:t>
      </w:r>
      <w:r>
        <w:t>Von 12.510 Teilnehmern wurden 6 Trajektorie-Klassen identifiziert. Unadjustiert: Kontinuierliche Screening-Teilnehmende hatten höhere Wahrscheinlichkeit für ungünstige Trajektorien (RRR 2,249 bzw. 7,124). Nach Adjustierung für Baseline-Last: Teilnehmende mit niedriger initialer Last hatten niedrigere Wahrscheinlichkeit ungünstiger Trajektorien (RRR 0,456; 95 % CI 0,278–0,748; p&lt;0,01) vs. Nicht-Teilnehmende. Effekt moderiert durch Alter und Baseline-Krankheitslast.</w:t>
      </w:r>
    </w:p>
    <w:p>
      <w:r>
        <w:rPr>
          <w:b/>
          <w:sz w:val="19"/>
        </w:rPr>
        <w:t xml:space="preserve">Übertragbarkeit: </w:t>
      </w:r>
      <w:r>
        <w:rPr>
          <w:sz w:val="19"/>
        </w:rPr>
        <w:t>China, nationale Längsschnittstudie, kostenlose Screenings, vergleichbar mit DMP-Modellen.</w:t>
      </w:r>
    </w:p>
    <w:p>
      <w:r>
        <w:rPr>
          <w:color w:val="5A7D3A"/>
          <w:sz w:val="18"/>
        </w:rPr>
        <w:t>https://pubmed.ncbi.nlm.nih.gov/42699226/</w:t>
      </w:r>
    </w:p>
    <w:p>
      <w:pPr>
        <w:pStyle w:val="Heading2"/>
      </w:pPr>
      <w:r>
        <w:t>Neuer Risikoindex vorhersagt Mehrfacherkrankungen kardio-metabol. Systems</w:t>
      </w:r>
    </w:p>
    <w:p>
      <w:r>
        <w:rPr>
          <w:i/>
          <w:color w:val="666666"/>
          <w:sz w:val="18"/>
        </w:rPr>
        <w:t>Kunutsor SK et al.  ·  Prim Care Diabetes  ·  25.08.2026  ·  PMID 42642323</w:t>
      </w:r>
    </w:p>
    <w:p>
      <w:r>
        <w:t>Studie prüfte, ob ein neuer Blutfettindex (AIP, TyG-Index) das Risiko für Mehrfacherkrankungen (Hypertonie, Herzerkrankung, Diabetes) besser vorhersagt als konventionelle Lipidmarker.</w:t>
      </w:r>
    </w:p>
    <w:p>
      <w:r>
        <w:rPr>
          <w:b/>
        </w:rPr>
        <w:t xml:space="preserve">Ergebnis: </w:t>
      </w:r>
      <w:r>
        <w:t>Beide neuen Indizes zeigten positive Assoziationen mit kardiometabolischen Mehrfacherkrankungen (AIP: OR 1,41 pro SD, TyG: OR 1,51). Die Vorhersageverbesserung durch Einschluss dieser Indizes war bescheiden (Diskriminierungsverbesserung 0,029–0,038). Dies deutet auf klinische Relevanz, aber begrenzte zusätzliche Vorhersagekraft hin.</w:t>
      </w:r>
    </w:p>
    <w:p>
      <w:r>
        <w:rPr>
          <w:b/>
          <w:sz w:val="19"/>
        </w:rPr>
        <w:t xml:space="preserve">Übertragbarkeit: </w:t>
      </w:r>
      <w:r>
        <w:rPr>
          <w:sz w:val="19"/>
        </w:rPr>
        <w:t>England, 12–15 Jahre Nachbeobachtung, öffentliches Gesundheitssystem, vergleichbar.</w:t>
      </w:r>
    </w:p>
    <w:p>
      <w:r>
        <w:rPr>
          <w:color w:val="5A7D3A"/>
          <w:sz w:val="18"/>
        </w:rPr>
        <w:t>https://pubmed.ncbi.nlm.nih.gov/42642323/</w:t>
      </w:r>
    </w:p>
    <w:p>
      <w:pPr>
        <w:pStyle w:val="Heading2"/>
      </w:pPr>
      <w:r>
        <w:t>Leberstoffwechsel und frühe Nierenschädigung: Marker für kardio-renale Prävention</w:t>
      </w:r>
    </w:p>
    <w:p>
      <w:r>
        <w:rPr>
          <w:i/>
          <w:color w:val="666666"/>
          <w:sz w:val="18"/>
        </w:rPr>
        <w:t>Mungamba MM et al.  ·  J Glob Health  ·  24.07.2026  ·  PMID 42495747</w:t>
      </w:r>
    </w:p>
    <w:p>
      <w:r>
        <w:t>Prospektive Kohortenstudie prüfte, ob Leberfunktionsmarker (GGT, ALT, AST, Fatty-Liver-Index) mit dem Auftreten chronischer Nierenerkrankung über 6 Jahre korrelieren.</w:t>
      </w:r>
    </w:p>
    <w:p>
      <w:r>
        <w:rPr>
          <w:b/>
        </w:rPr>
        <w:t xml:space="preserve">Ergebnis: </w:t>
      </w:r>
      <w:r>
        <w:t>Von 1.832 Patienten ohne CKD bei Baseline entwickelten 11 % CKD, 9,7 % Albuminurie, 2,3 % eGFR-Abfall. Höhere GGT (aIRR 1,12; 95 % CI 1,01–1,23), ALT (aIRR 1,27; 95 % CI 1,04–1,50) und AST (aIRR 1,20; 95 % CI 1,04–1,34) assoziiert mit Inzidenz-CKD; primär über Albuminurie-Pfad. Erhöhter FLI mit CKD (aIRR 1,92; 95 % CI 1,14–3,18) und Albuminurie (aIRR 2,15; 95 % CI 1,24–3,68) verbunden. Stützt Leber-Nieren-Achse als potenziellen Präventionsziel.</w:t>
      </w:r>
    </w:p>
    <w:p>
      <w:r>
        <w:rPr>
          <w:b/>
          <w:sz w:val="19"/>
        </w:rPr>
        <w:t xml:space="preserve">Übertragbarkeit: </w:t>
      </w:r>
      <w:r>
        <w:rPr>
          <w:sz w:val="19"/>
        </w:rPr>
        <w:t>Ghana/Niederlande, transkontinentale Kohorte mit Mehrfacherkrankungs-Fokus; Befund zur kardiometabolischen Prävention übertragbar.</w:t>
      </w:r>
    </w:p>
    <w:p>
      <w:r>
        <w:rPr>
          <w:color w:val="5A7D3A"/>
          <w:sz w:val="18"/>
        </w:rPr>
        <w:t>https://pubmed.ncbi.nlm.nih.gov/42495747/</w:t>
      </w:r>
    </w:p>
    <w:p>
      <w:pPr>
        <w:pStyle w:val="Heading1"/>
      </w:pPr>
      <w:r>
        <w:t>Aufgenommen am 07.09.2026</w:t>
      </w:r>
    </w:p>
    <w:p>
      <w:pPr>
        <w:pStyle w:val="Heading2"/>
      </w:pPr>
      <w:r>
        <w:t>Mehrfacherkrankung reduziert Ansprechen auf Urticaria-Therapie um 50%</w:t>
      </w:r>
    </w:p>
    <w:p>
      <w:r>
        <w:rPr>
          <w:i/>
          <w:color w:val="666666"/>
          <w:sz w:val="18"/>
        </w:rPr>
        <w:t>Lapi F et al.  ·  Eur J Dermatol  ·  01.08.2026  ·  PMID 42702025</w:t>
      </w:r>
    </w:p>
    <w:p>
      <w:r>
        <w:t>Italienische Hausarztdaten von 7018 Patienten mit chronischer spontaner Urtikaria zeigten, welche Faktoren zum Therapieversagen führen.</w:t>
      </w:r>
    </w:p>
    <w:p>
      <w:r>
        <w:rPr>
          <w:b/>
        </w:rPr>
        <w:t xml:space="preserve">Ergebnis: </w:t>
      </w:r>
      <w:r>
        <w:t>50% der Patienten sprachen nicht auf H1-Antihistamine und/oder Steroide an. Risikofaktoren für Therapieversagen: Alter über 55 Jahre, Autoimmunthyreoiditis, Asthma/COPD, Allergien und Immunsuppressiva (HR 1,52). Patienten mit Therapieversagen wurden 52% häufiger an Fachärzte überwiesen.</w:t>
      </w:r>
    </w:p>
    <w:p>
      <w:r>
        <w:rPr>
          <w:b/>
          <w:sz w:val="19"/>
        </w:rPr>
        <w:t xml:space="preserve">Übertragbarkeit: </w:t>
      </w:r>
      <w:r>
        <w:rPr>
          <w:sz w:val="19"/>
        </w:rPr>
        <w:t>Italien, vergleichbare Primärversorgungsstruktur, großes epidemiologisches Register</w:t>
      </w:r>
    </w:p>
    <w:p>
      <w:r>
        <w:rPr>
          <w:color w:val="5A7D3A"/>
          <w:sz w:val="18"/>
        </w:rPr>
        <w:t>https://pubmed.ncbi.nlm.nih.gov/42702025/</w:t>
      </w:r>
    </w:p>
    <w:p>
      <w:pPr>
        <w:pStyle w:val="Heading2"/>
      </w:pPr>
      <w:r>
        <w:t>Web-gestützte Bewegungsintervention erhöht Aktivität bei COPD um 1410 Schritte pro Tag</w:t>
      </w:r>
    </w:p>
    <w:p>
      <w:r>
        <w:rPr>
          <w:i/>
          <w:color w:val="666666"/>
          <w:sz w:val="18"/>
        </w:rPr>
        <w:t>Bamonti PM et al.  ·  Int J Chron Obstruct Pulmon Dis  ·  01.09.2026  ·  PMID 42701779</w:t>
      </w:r>
    </w:p>
    <w:p>
      <w:r>
        <w:t>Randomisierte US-Studie mit 109 COPD-Patienten testete webgestützte Pedometer-Intervention zur Steigerung von Menge und Intensität physischer Aktivität.</w:t>
      </w:r>
    </w:p>
    <w:p>
      <w:r>
        <w:rPr>
          <w:b/>
        </w:rPr>
        <w:t xml:space="preserve">Ergebnis: </w:t>
      </w:r>
      <w:r>
        <w:t>Interventionsgruppe erhöhte durchschnittliche tägliche Schritte um 1410 mehr als Kontrolle (p=0,005). Übergänge von unteraktiv zu aktiv: 41% in der Interventionsgruppe (p=0,001 within-group). Einhaltung war über 12 Wochen gut, mit positiven Bewertungen für Vertrauen und Vergnügen.</w:t>
      </w:r>
    </w:p>
    <w:p>
      <w:r>
        <w:rPr>
          <w:b/>
          <w:sz w:val="19"/>
        </w:rPr>
        <w:t xml:space="preserve">Übertragbarkeit: </w:t>
      </w:r>
      <w:r>
        <w:rPr>
          <w:sz w:val="19"/>
        </w:rPr>
        <w:t>USA, Sicherheitsaspekte und Effektivität übertragbar, aber Umsetzung in Deutschland anders</w:t>
      </w:r>
    </w:p>
    <w:p>
      <w:r>
        <w:rPr>
          <w:color w:val="5A7D3A"/>
          <w:sz w:val="18"/>
        </w:rPr>
        <w:t>https://pubmed.ncbi.nlm.nih.gov/42701779/</w:t>
      </w:r>
    </w:p>
    <w:p>
      <w:pPr>
        <w:pStyle w:val="Heading2"/>
      </w:pPr>
      <w:r>
        <w:t>Zentrale Adipositas verdoppelt Mortalitätsrisiko bei chronischer Nierenerkrankung</w:t>
      </w:r>
    </w:p>
    <w:p>
      <w:r>
        <w:rPr>
          <w:i/>
          <w:color w:val="666666"/>
          <w:sz w:val="18"/>
        </w:rPr>
        <w:t>Zhou H et al.  ·  Medicine (Baltimore)  ·  04.09.2026  ·  PMID 42700084</w:t>
      </w:r>
    </w:p>
    <w:p>
      <w:r>
        <w:t>US-NHANES-Kohortenstudie mit 5582 CKD-Patienten (1999-2018) untersuchte, ob das weight-adjusted waist index (WWI) mit Gesamt- und kardiovaskulärer Mortalität assoziiert ist.</w:t>
      </w:r>
    </w:p>
    <w:p>
      <w:r>
        <w:rPr>
          <w:b/>
        </w:rPr>
        <w:t xml:space="preserve">Ergebnis: </w:t>
      </w:r>
      <w:r>
        <w:t>Erhöhtes WWI assoziiert mit höherem Gesamtmortalitätsrisiko (aHR 1,17, 95% CI 1,09-1,26, p&lt;0,001) und kardiovaskulärem Mortalitätsrisiko (aHR 1,24, 95% CI 1,09-1,41, p=0,001). Lineare positive Beziehung zu beiden Outcomes. Neutrophilen-Lymphozyten-Verhältnis vermittelte 6,66% des Effekts auf Gesamtmortalität.</w:t>
      </w:r>
    </w:p>
    <w:p>
      <w:r>
        <w:rPr>
          <w:b/>
          <w:sz w:val="19"/>
        </w:rPr>
        <w:t xml:space="preserve">Übertragbarkeit: </w:t>
      </w:r>
      <w:r>
        <w:rPr>
          <w:sz w:val="19"/>
        </w:rPr>
        <w:t>USA-Daten, aber zentrale Adipositas als Risikofaktor in allen Systemen relevant</w:t>
      </w:r>
    </w:p>
    <w:p>
      <w:r>
        <w:rPr>
          <w:color w:val="5A7D3A"/>
          <w:sz w:val="18"/>
        </w:rPr>
        <w:t>https://pubmed.ncbi.nlm.nih.gov/42700084/</w:t>
      </w:r>
    </w:p>
    <w:p>
      <w:pPr>
        <w:pStyle w:val="Heading2"/>
      </w:pPr>
      <w:r>
        <w:t>Minimalausstattungs-Zirkeltraining erreicht 72% trainings-wirksamer Intensität bei Atemwegserkrankungen</w:t>
      </w:r>
    </w:p>
    <w:p>
      <w:r>
        <w:rPr>
          <w:i/>
          <w:color w:val="666666"/>
          <w:sz w:val="18"/>
        </w:rPr>
        <w:t>Mellerick CR et al.  ·  Chron Respir Dis  ·  04.09.2026  ·  PMID 42696318</w:t>
      </w:r>
    </w:p>
    <w:p>
      <w:r>
        <w:t>Australische Studie mit 18 Patienten mit chronischen Atemwegserkrankungen evaluierte, ob Zirkeltraining ohne großes Equipment erforderliche Trainingsintensität (≥60% VO2peak) erreicht.</w:t>
      </w:r>
    </w:p>
    <w:p>
      <w:r>
        <w:rPr>
          <w:b/>
        </w:rPr>
        <w:t xml:space="preserve">Ergebnis: </w:t>
      </w:r>
      <w:r>
        <w:t>Durchschnittlich 72% (21%) der Sitzung erreichte ≥60% VO2peak; 40 [32-47] Minuten über diesem Schwellwert. 83% (15/18) erreichten Zielintensität für ≥30 Minuten. Teilnehmer berichteten hohe Bewertungen für Vertrauen, Komfort und Vergnügen.</w:t>
      </w:r>
    </w:p>
    <w:p>
      <w:r>
        <w:rPr>
          <w:b/>
          <w:sz w:val="19"/>
        </w:rPr>
        <w:t xml:space="preserve">Übertragbarkeit: </w:t>
      </w:r>
      <w:r>
        <w:rPr>
          <w:sz w:val="19"/>
        </w:rPr>
        <w:t>Australien, vergleichbare Rehabilitationsstruktur, aber Übertragbarkeit auf DMP-System zu prüfen</w:t>
      </w:r>
    </w:p>
    <w:p>
      <w:r>
        <w:rPr>
          <w:color w:val="5A7D3A"/>
          <w:sz w:val="18"/>
        </w:rPr>
        <w:t>https://pubmed.ncbi.nlm.nih.gov/42696318/</w:t>
      </w:r>
    </w:p>
    <w:p>
      <w:pPr>
        <w:pStyle w:val="Heading2"/>
      </w:pPr>
      <w:r>
        <w:t>Soziale Isolation erhöht Sedentarität bei schwerem COPD um 1,5 Stunden täglich</w:t>
      </w:r>
    </w:p>
    <w:p>
      <w:r>
        <w:rPr>
          <w:i/>
          <w:color w:val="666666"/>
          <w:sz w:val="18"/>
        </w:rPr>
        <w:t>Harding S et al.  ·  COPD  ·  02.08.2026  ·  PMID 42695939</w:t>
      </w:r>
    </w:p>
    <w:p>
      <w:r>
        <w:t>UK-Biobank-Studie mit 1558 COPD-Patienten untersuchte, wie Deprivation und Isolation mit Bewegungsmangel assoziiert sind.</w:t>
      </w:r>
    </w:p>
    <w:p>
      <w:r>
        <w:rPr>
          <w:b/>
        </w:rPr>
        <w:t xml:space="preserve">Ergebnis: </w:t>
      </w:r>
      <w:r>
        <w:t>Sedentarität stieg mit Schweregrad (GOLD 4 vs. GOLD 1: +19% pro Tag). Soziale Isolation führte zu zusätzlich 1,5 h Sedentarität täglich in schwererem COPD (GOLD 3-4, p=0,004). Deprivation wirkte stärker bei milder Erkrankung.</w:t>
      </w:r>
    </w:p>
    <w:p>
      <w:r>
        <w:rPr>
          <w:b/>
          <w:sz w:val="19"/>
        </w:rPr>
        <w:t xml:space="preserve">Übertragbarkeit: </w:t>
      </w:r>
      <w:r>
        <w:rPr>
          <w:sz w:val="19"/>
        </w:rPr>
        <w:t>Großbritannien, vergleichbares Versicherungssystem und epidemiologische Datenqualität</w:t>
      </w:r>
    </w:p>
    <w:p>
      <w:r>
        <w:rPr>
          <w:color w:val="5A7D3A"/>
          <w:sz w:val="18"/>
        </w:rPr>
        <w:t>https://pubmed.ncbi.nlm.nih.gov/42695939/</w:t>
      </w:r>
    </w:p>
    <w:p>
      <w:pPr>
        <w:pStyle w:val="Heading2"/>
      </w:pPr>
      <w:r>
        <w:t>Chronische Nierenschädigung bei 42% der Kinder nach Ifosfamid-Chemotherapie</w:t>
      </w:r>
    </w:p>
    <w:p>
      <w:r>
        <w:rPr>
          <w:i/>
          <w:color w:val="666666"/>
          <w:sz w:val="18"/>
        </w:rPr>
        <w:t>Pitlo L et al.  ·  Cancer Med  ·  Sept. 2026  ·  PMID 42670233</w:t>
      </w:r>
    </w:p>
    <w:p>
      <w:r>
        <w:t>Niederländische Kohorte von 292 Kindern untersuchte Häufigkeit und Determinanten chronischer Nierenerkrankung in den ersten 5 Jahren nach Ifosfamid-Chemotherapie.</w:t>
      </w:r>
    </w:p>
    <w:p>
      <w:r>
        <w:rPr>
          <w:b/>
        </w:rPr>
        <w:t xml:space="preserve">Ergebnis: </w:t>
      </w:r>
      <w:r>
        <w:t>Prävalenz chronischer Nierenschädigung: 42,1% (123/292 Patienten); 29 Patienten mit Risiko für Nierenversagen (eGFR &lt;60). Risikofaktoren: Ifosfamid-Dosis 30-59,9 g/m² (HR 1,95) oder &gt;60 g/m² (HR 4,09), Alter bei Diagnose (HR 1,12 pro Jahr), ≥2 akute Nierenversagen während Therapie (HR 3,81).</w:t>
      </w:r>
    </w:p>
    <w:p>
      <w:r>
        <w:rPr>
          <w:b/>
          <w:sz w:val="19"/>
        </w:rPr>
        <w:t xml:space="preserve">Übertragbarkeit: </w:t>
      </w:r>
      <w:r>
        <w:rPr>
          <w:sz w:val="19"/>
        </w:rPr>
        <w:t>Niederlande, vergleichbares Gesundheitssystem und Dokumentationsstandards</w:t>
      </w:r>
    </w:p>
    <w:p>
      <w:r>
        <w:rPr>
          <w:color w:val="5A7D3A"/>
          <w:sz w:val="18"/>
        </w:rPr>
        <w:t>https://pubmed.ncbi.nlm.nih.gov/42670233/</w:t>
      </w:r>
    </w:p>
    <w:p>
      <w:pPr>
        <w:pStyle w:val="Heading1"/>
      </w:pPr>
      <w:r>
        <w:t>Aufgenommen am 06.09.2026</w:t>
      </w:r>
    </w:p>
    <w:p>
      <w:pPr>
        <w:pStyle w:val="Heading2"/>
      </w:pPr>
      <w:r>
        <w:t>Probiotikum Lactobacillus plantarum stabilisiert Nierenfunktion bei CKD Stadium 3-4</w:t>
      </w:r>
    </w:p>
    <w:p>
      <w:r>
        <w:rPr>
          <w:i/>
          <w:color w:val="666666"/>
          <w:sz w:val="18"/>
        </w:rPr>
        <w:t>Saleh SE et al.  ·  Sci Rep  ·  04.09.2026  ·  PMID 42697907</w:t>
      </w:r>
    </w:p>
    <w:p>
      <w:r>
        <w:t>Doppelblinde, randomisierte, placebokontrollierte Studie an 72 Patienten mit CKD Stadium 3-4 (keine Hämodialyse) über 6 Monate: Lactobacillus plantarum 10¹⁰ CFU täglich versus Placebo, primärer Endpunkt Änderung der eGFR.</w:t>
      </w:r>
    </w:p>
    <w:p>
      <w:r>
        <w:rPr>
          <w:b/>
        </w:rPr>
        <w:t xml:space="preserve">Ergebnis: </w:t>
      </w:r>
      <w:r>
        <w:t>Probiotika-Gruppe zeigte signifikanten eGFR-Anstieg, Placebo-Gruppe Rückgang; 0 Probiotika-Patienten versus 8,6% Placebo zeigten CKD-Progression. Effekt war unabhängig von Diabetesstatus und CKD-Stadium. Kein signifikanter Unterschied in Indoxyl-Sulfat-Spiegeln zwischen den Gruppen.</w:t>
      </w:r>
    </w:p>
    <w:p>
      <w:r>
        <w:rPr>
          <w:b/>
          <w:sz w:val="19"/>
        </w:rPr>
        <w:t xml:space="preserve">Übertragbarkeit: </w:t>
      </w:r>
      <w:r>
        <w:rPr>
          <w:sz w:val="19"/>
        </w:rPr>
        <w:t>Ägyptisches Zentrum, Mechanismus unabhängig von Region, weitere Validierung nötig</w:t>
      </w:r>
    </w:p>
    <w:p>
      <w:r>
        <w:rPr>
          <w:color w:val="5A7D3A"/>
          <w:sz w:val="18"/>
        </w:rPr>
        <w:t>https://pubmed.ncbi.nlm.nih.gov/42697907/</w:t>
      </w:r>
    </w:p>
    <w:p>
      <w:pPr>
        <w:pStyle w:val="Heading2"/>
      </w:pPr>
      <w:r>
        <w:t>Antikoagulation bei Vorhofflimmern mit CKD Stadium 4-5: Apixaban senkt Schlaganfälle</w:t>
      </w:r>
    </w:p>
    <w:p>
      <w:r>
        <w:rPr>
          <w:i/>
          <w:color w:val="666666"/>
          <w:sz w:val="18"/>
        </w:rPr>
        <w:t>Chen Q et al.  ·  JAMA Netw Open  ·  01.09.2026  ·  PMID 42696280</w:t>
      </w:r>
    </w:p>
    <w:p>
      <w:r>
        <w:t>Retrospektive Kohortenstudie mit Zieltriallemulation an 42.052 Medicare- und Optum-Versicherten mit Vorhofflimmern und CKD Stadium 4-5 ohne Dialyse (Jan 2013–Feb 2025), Vergleich von Apixaban, Warfarin und Keine Antikoagulation.</w:t>
      </w:r>
    </w:p>
    <w:p>
      <w:r>
        <w:rPr>
          <w:b/>
        </w:rPr>
        <w:t xml:space="preserve">Ergebnis: </w:t>
      </w:r>
      <w:r>
        <w:t>Apixaban reduzierte Schlaganfallrate im Vergleich zu Kein-Antikoagulation (HR 0,46; 95%-KI 0,32–0,66), erhöhte aber Blutungsrate (HR 1,32; 95%-KI 1,11–1,58). Warfarin hatte höhere Blutungs- und Kompositrisiken. Apixaban versus Warfarin: HR 0,55 für schwere Blutungen (KI 0,46–0,65), HR 0,50 für Schlaganfall (KI 0,33–0,78).</w:t>
      </w:r>
    </w:p>
    <w:p>
      <w:r>
        <w:rPr>
          <w:b/>
          <w:sz w:val="19"/>
        </w:rPr>
        <w:t xml:space="preserve">Übertragbarkeit: </w:t>
      </w:r>
      <w:r>
        <w:rPr>
          <w:sz w:val="19"/>
        </w:rPr>
        <w:t>USA-Versichertendaten, Wirkmechanismus unabhängig von Gesundheitssystem übertragbar</w:t>
      </w:r>
    </w:p>
    <w:p>
      <w:r>
        <w:rPr>
          <w:color w:val="5A7D3A"/>
          <w:sz w:val="18"/>
        </w:rPr>
        <w:t>https://pubmed.ncbi.nlm.nih.gov/42696280/</w:t>
      </w:r>
    </w:p>
    <w:p>
      <w:pPr>
        <w:pStyle w:val="Heading2"/>
      </w:pPr>
      <w:r>
        <w:t>Nierenfunktion und Urämietoxine korrelieren mit kognitiven Defiziten bei CKD</w:t>
      </w:r>
    </w:p>
    <w:p>
      <w:r>
        <w:rPr>
          <w:i/>
          <w:color w:val="666666"/>
          <w:sz w:val="18"/>
        </w:rPr>
        <w:t>Cheng TW et al.  ·  Int J Med Sci  ·  30.07.2026  ·  PMID 42694884</w:t>
      </w:r>
    </w:p>
    <w:p>
      <w:r>
        <w:t>Pilot-Beobachtungsstudie an 12 Patienten mit CKD Stadium 3-5 und früher kognitiver Einschränkung: Messung von Serumindoxyl-Sulfat, Serum-p-Kresyl-Sulfat, Brain-MRI und kognitiver Funktion per CANTAB.</w:t>
      </w:r>
    </w:p>
    <w:p>
      <w:r>
        <w:rPr>
          <w:b/>
        </w:rPr>
        <w:t xml:space="preserve">Ergebnis: </w:t>
      </w:r>
      <w:r>
        <w:t>Höhere eGFR korrelierte mit besserer räumlicher Arbeitsgedächtnisleistung (r = 0,695, p = 0,012). Indoxyl-Sulfat und p-Kresyl-Sulfat zeigten inverse Korrelation mit eGFR (r = -0,301 bis -0,461), aber keine klare Assoziation mit kognitiven Testergebnissen. MRI-Läsionenlast war gering, strukturelle Abnormitäten aber vorhanden.</w:t>
      </w:r>
    </w:p>
    <w:p>
      <w:r>
        <w:rPr>
          <w:b/>
          <w:sz w:val="19"/>
        </w:rPr>
        <w:t xml:space="preserve">Übertragbarkeit: </w:t>
      </w:r>
      <w:r>
        <w:rPr>
          <w:sz w:val="19"/>
        </w:rPr>
        <w:t>Taiwan, kleine Pilotstichprobe, Konzept der Mehrfacherkrankung mit kognitiven Folgen zentral</w:t>
      </w:r>
    </w:p>
    <w:p>
      <w:r>
        <w:rPr>
          <w:color w:val="5A7D3A"/>
          <w:sz w:val="18"/>
        </w:rPr>
        <w:t>https://pubmed.ncbi.nlm.nih.gov/42694884/</w:t>
      </w:r>
    </w:p>
    <w:p>
      <w:pPr>
        <w:pStyle w:val="Heading2"/>
      </w:pPr>
      <w:r>
        <w:t>Behandlungslast verschlechtert Gesundheit bei Mehrfacherkrankung: Stressanpassung hilft</w:t>
      </w:r>
    </w:p>
    <w:p>
      <w:r>
        <w:rPr>
          <w:i/>
          <w:color w:val="666666"/>
          <w:sz w:val="18"/>
        </w:rPr>
        <w:t>Shi Y et al.  ·  Front Public Health  ·  20.08.2026  ·  PMID 42694161</w:t>
      </w:r>
    </w:p>
    <w:p>
      <w:r>
        <w:t>Querschnittsuntersuchung mit Mediationsanalyse an 507 älteren Patienten mit komplexer Mehrfacherkrankung in Zhejiang, China; Beziehung zwischen Behandlungslast und ganzheitlichem Gesundheitsstatus.</w:t>
      </w:r>
    </w:p>
    <w:p>
      <w:r>
        <w:rPr>
          <w:b/>
        </w:rPr>
        <w:t xml:space="preserve">Ergebnis: </w:t>
      </w:r>
      <w:r>
        <w:t>Behandlungslast hatte direkten negativen Effekt auf Gesundheitsstatus (B = -0,263; 95%-KI -0,357 bis -0,168), Gesamteffekt -0,449 (KI -0,538 bis -0,360). Depressive Symptome und Stressanpassungskapazität mediierten diesen Effekt partiell (jeweils ca. 10% indirekte Effekte).</w:t>
      </w:r>
    </w:p>
    <w:p>
      <w:r>
        <w:rPr>
          <w:b/>
          <w:sz w:val="19"/>
        </w:rPr>
        <w:t xml:space="preserve">Übertragbarkeit: </w:t>
      </w:r>
      <w:r>
        <w:rPr>
          <w:sz w:val="19"/>
        </w:rPr>
        <w:t>China, aber Konzept der Behandlungslast international anerkannt, Intervention skalierbar</w:t>
      </w:r>
    </w:p>
    <w:p>
      <w:r>
        <w:rPr>
          <w:color w:val="5A7D3A"/>
          <w:sz w:val="18"/>
        </w:rPr>
        <w:t>https://pubmed.ncbi.nlm.nih.gov/42694161/</w:t>
      </w:r>
    </w:p>
    <w:p>
      <w:pPr>
        <w:pStyle w:val="Heading2"/>
      </w:pPr>
      <w:r>
        <w:t>Nephrologen unterschätzen Symptombelastung bei CKD – Patientensicht zählt</w:t>
      </w:r>
    </w:p>
    <w:p>
      <w:r>
        <w:rPr>
          <w:i/>
          <w:color w:val="666666"/>
          <w:sz w:val="18"/>
        </w:rPr>
        <w:t>Jessen B et al.  ·  Inn Med (Heidelb)  ·  22.07.2026  ·  PMID 42484874</w:t>
      </w:r>
    </w:p>
    <w:p>
      <w:r>
        <w:t>Deutschlandweite Online-Befragung: 108 Nephrologen bewerteten durchschnittliche Symptombelastung bei CKD (Chronic Kidney Disease Symptom Burden Index, CKD-SBI), Vergleich mit Selbstangaben von 222 CKD-Patienten ohne Dialysepflicht.</w:t>
      </w:r>
    </w:p>
    <w:p>
      <w:r>
        <w:rPr>
          <w:b/>
        </w:rPr>
        <w:t xml:space="preserve">Ergebnis: </w:t>
      </w:r>
      <w:r>
        <w:t>Nephrologen nannten Fatigue (69,4%), Ödeme (38,9%), Hypertonie (35,2%) als häufigste; Patienten nannten Nykturie (74,3%), Fatigue (61,3%), Schlafstörungen (47,3%). Nephrologen überschätzten Gesamtbelastung und fünf Einzelsymptome signifikant, unterschätzten Belastung von 12 Symptomen.</w:t>
      </w:r>
    </w:p>
    <w:p>
      <w:r>
        <w:rPr>
          <w:b/>
          <w:sz w:val="19"/>
        </w:rPr>
        <w:t xml:space="preserve">Übertragbarkeit: </w:t>
      </w:r>
      <w:r>
        <w:rPr>
          <w:sz w:val="19"/>
        </w:rPr>
        <w:t>Deutschland, deutschsprachig, direkte Übertragbarkeit auf Praxis und Kliniken</w:t>
      </w:r>
    </w:p>
    <w:p>
      <w:r>
        <w:rPr>
          <w:color w:val="5A7D3A"/>
          <w:sz w:val="18"/>
        </w:rPr>
        <w:t>https://pubmed.ncbi.nlm.nih.gov/42484874/</w:t>
      </w:r>
    </w:p>
    <w:p>
      <w:pPr>
        <w:pStyle w:val="Heading2"/>
      </w:pPr>
      <w:r>
        <w:t>Wrist-Wearable Sensors erkennen COPD-Risiko früh durch digitale Gangmuster</w:t>
      </w:r>
    </w:p>
    <w:p>
      <w:r>
        <w:rPr>
          <w:i/>
          <w:color w:val="666666"/>
          <w:sz w:val="18"/>
        </w:rPr>
        <w:t>Fernandez N et al.  ·  Int J Chron Obstruct Pulmon Dis  ·  17.07.2026  ·  PMID 42482839</w:t>
      </w:r>
    </w:p>
    <w:p>
      <w:r>
        <w:t>Prospektive Kohortenstudie an 28.251 UK-Biobank-Teilnehmern (60-78 Jahre) mit Beschleunigungsmessern zur Prüfung, ob reale Mobilitätsmuster Hinweis auf künftiges COPD-Auftreten geben.</w:t>
      </w:r>
    </w:p>
    <w:p>
      <w:r>
        <w:rPr>
          <w:b/>
        </w:rPr>
        <w:t xml:space="preserve">Ergebnis: </w:t>
      </w:r>
      <w:r>
        <w:t>Bei 639 Teilnehmern (2,26%) trat COPD während des Beobachtungszeitraums von durchschnittlich 8,5 Jahren auf. Vier digitale Ganzbiomarker (niedrigere Laufdauer, langsamere maximale Gehgeschwindigkeit, kürzere Gehpausen, geringerer Anteil von Gängen länger als 8 Sekunden) waren unabhängig mit künftiger COPD assoziiert; ein Modell mit diesen vier Biomarkern plus Selbstangaben erreichte einen Konkordanzindex von 0,80 und ist damit vergleichbar mit klinischen Tests.</w:t>
      </w:r>
    </w:p>
    <w:p>
      <w:r>
        <w:rPr>
          <w:b/>
          <w:sz w:val="19"/>
        </w:rPr>
        <w:t xml:space="preserve">Übertragbarkeit: </w:t>
      </w:r>
      <w:r>
        <w:rPr>
          <w:sz w:val="19"/>
        </w:rPr>
        <w:t>UK-Biobank-Daten, digitale Biometrie auf Smartwatches übertragbar</w:t>
      </w:r>
    </w:p>
    <w:p>
      <w:r>
        <w:rPr>
          <w:color w:val="5A7D3A"/>
          <w:sz w:val="18"/>
        </w:rPr>
        <w:t>https://pubmed.ncbi.nlm.nih.gov/42482839/</w:t>
      </w:r>
    </w:p>
    <w:p>
      <w:pPr>
        <w:pStyle w:val="Heading1"/>
      </w:pPr>
      <w:r>
        <w:t>Aufgenommen am 05.09.2026</w:t>
      </w:r>
    </w:p>
    <w:p>
      <w:pPr>
        <w:pStyle w:val="Heading2"/>
      </w:pPr>
      <w:r>
        <w:t>Regionale Benachteiligung (nicht Einzelindividuum) prägte Leberfibrose bei HBV-Infektion</w:t>
      </w:r>
    </w:p>
    <w:p>
      <w:r>
        <w:rPr>
          <w:i/>
          <w:color w:val="666666"/>
          <w:sz w:val="18"/>
        </w:rPr>
        <w:t>Çiçek Y et al.  ·  Infect Dis Poverty  ·  03.09.2026  ·  PMID 42693478</w:t>
      </w:r>
    </w:p>
    <w:p>
      <w:r>
        <w:t>Nationale türkische Multicenterstudie (24 Zentren, n=956) zu Assoziation von Sozioökonomie (Individual- und Gebietsebene) mit Leberfibrosegrad bei CHB.</w:t>
      </w:r>
    </w:p>
    <w:p>
      <w:r>
        <w:rPr>
          <w:b/>
        </w:rPr>
        <w:t xml:space="preserve">Ergebnis: </w:t>
      </w:r>
      <w:r>
        <w:t>Leberfibrosegrad assoziiert mit älterem Alter (aOR 1,12 pro 10 Jahre), längerer Anfahrtszeit zu CHB-Fachzentrum (aOR 1,53 pro Kategorie, p&lt;0,001), aber vor allem mit niedriger Wohngebiets-Sozioökonomie (aOR 1,97 pro Stufe, p&lt;0,001); Vergleich höchste vs. niedrigste Stufe: aOR 26,00 (95%-KI 8,21–82,37).</w:t>
      </w:r>
    </w:p>
    <w:p>
      <w:r>
        <w:rPr>
          <w:b/>
          <w:sz w:val="19"/>
        </w:rPr>
        <w:t xml:space="preserve">Übertragbarkeit: </w:t>
      </w:r>
      <w:r>
        <w:rPr>
          <w:sz w:val="19"/>
        </w:rPr>
        <w:t>Türkei (vergleichbares Gesundheitswesen); regionale Ungleichheit oft unterschätzt, Koordinationszugang zentral für Prognose.</w:t>
      </w:r>
    </w:p>
    <w:p>
      <w:r>
        <w:rPr>
          <w:color w:val="5A7D3A"/>
          <w:sz w:val="18"/>
        </w:rPr>
        <w:t>https://pubmed.ncbi.nlm.nih.gov/42693478/</w:t>
      </w:r>
    </w:p>
    <w:p>
      <w:pPr>
        <w:pStyle w:val="Heading2"/>
      </w:pPr>
      <w:r>
        <w:t>Extracorporeal CO₂-Elimination verkürzte Beatmungsdauer bei schwerem COPD-Exazerbation</w:t>
      </w:r>
    </w:p>
    <w:p>
      <w:r>
        <w:rPr>
          <w:i/>
          <w:color w:val="666666"/>
          <w:sz w:val="18"/>
        </w:rPr>
        <w:t>Karagiannidis C et al.  ·  Crit Care  ·  03.09.2026  ·  PMID 42693471</w:t>
      </w:r>
    </w:p>
    <w:p>
      <w:r>
        <w:t>Randomisierte Studie zu ECCO₂R-gestützter Früh-Extubation vs. Standard-Beatmung bei invasiv beatmeten COPD-Patienten mit hypercapnischer Ateminsuffizienz.</w:t>
      </w:r>
    </w:p>
    <w:p>
      <w:r>
        <w:rPr>
          <w:b/>
        </w:rPr>
        <w:t xml:space="preserve">Ergebnis: </w:t>
      </w:r>
      <w:r>
        <w:t>ECCO₂R-Gruppe: Beatmungsdauer 7,1±2,0 Tage vs. Kontrolle 24,3±21,4 Tage (p=0,043); 0/8 vs. 3/9 (33 %) mit Tod/schwerer Behinderung; ventilatorassoziierte Pneumonie 0 vs. 37,5 %. Studie vorzeitig beendet (n=18, geplant 192), aber konsistente Trends für ECCO₂R.</w:t>
      </w:r>
    </w:p>
    <w:p>
      <w:r>
        <w:rPr>
          <w:b/>
          <w:sz w:val="19"/>
        </w:rPr>
        <w:t xml:space="preserve">Übertragbarkeit: </w:t>
      </w:r>
      <w:r>
        <w:rPr>
          <w:sz w:val="19"/>
        </w:rPr>
        <w:t>Deutschland: Spezialisierte Zentren, technische Verfügbarkeit und Kostenübernahme prüfen.</w:t>
      </w:r>
    </w:p>
    <w:p>
      <w:r>
        <w:rPr>
          <w:color w:val="5A7D3A"/>
          <w:sz w:val="18"/>
        </w:rPr>
        <w:t>https://pubmed.ncbi.nlm.nih.gov/42693471/</w:t>
      </w:r>
    </w:p>
    <w:p>
      <w:pPr>
        <w:pStyle w:val="Heading2"/>
      </w:pPr>
      <w:r>
        <w:t>Metabolisches Syndrom-Scoring sagte Mehrfacherkrankung voraus: 1,35-fache Risikoerhöhung</w:t>
      </w:r>
    </w:p>
    <w:p>
      <w:r>
        <w:rPr>
          <w:i/>
          <w:color w:val="666666"/>
          <w:sz w:val="18"/>
        </w:rPr>
        <w:t>Zhang W et al.  ·  Sci Rep  ·  24.07.2026  ·  PMID 42693153</w:t>
      </w:r>
    </w:p>
    <w:p>
      <w:r>
        <w:t>Prospektive Analyse von 17.894 Teilnehmern (China, USA, UK) zur Vorhersage kardiometabolischer Mehrfacherkrankung durch kontinuierliches Metabolisches-Syndrom-Score.</w:t>
      </w:r>
    </w:p>
    <w:p>
      <w:r>
        <w:rPr>
          <w:b/>
        </w:rPr>
        <w:t xml:space="preserve">Ergebnis: </w:t>
      </w:r>
      <w:r>
        <w:t>Über Medianfolgeup 4–7 Jahre: 1.061 Fälle kardiometabolischer Mehrfacherkrankung. Höchstes vs. niedriges Tertil des Score assoziiert mit HR 1,77–4,27 je nach Kohorte. Gepoolte HR pro 1-SD-Anstieg: 1,35 (95%-KI 1,17–1,56). Dosis-Wirkungs-Beziehung dosisabhängig oder linear.</w:t>
      </w:r>
    </w:p>
    <w:p>
      <w:r>
        <w:rPr>
          <w:b/>
          <w:sz w:val="19"/>
        </w:rPr>
        <w:t xml:space="preserve">Übertragbarkeit: </w:t>
      </w:r>
      <w:r>
        <w:rPr>
          <w:sz w:val="19"/>
        </w:rPr>
        <w:t>China, USA, UK; Risikostratifizierungsmodell universal anwendbar, aber externe Validierung ausstehend.</w:t>
      </w:r>
    </w:p>
    <w:p>
      <w:r>
        <w:rPr>
          <w:color w:val="5A7D3A"/>
          <w:sz w:val="18"/>
        </w:rPr>
        <w:t>https://pubmed.ncbi.nlm.nih.gov/42693153/</w:t>
      </w:r>
    </w:p>
    <w:p>
      <w:pPr>
        <w:pStyle w:val="Heading2"/>
      </w:pPr>
      <w:r>
        <w:t>ESA- und Eisenmanagement erforderte 1.093 Monats-Arbeitsstunden in französischen Dialysezentren</w:t>
      </w:r>
    </w:p>
    <w:p>
      <w:r>
        <w:rPr>
          <w:i/>
          <w:color w:val="666666"/>
          <w:sz w:val="18"/>
        </w:rPr>
        <w:t>El-Haik Y et al.  ·  Nephrol Ther  ·  01.08.2026  ·  PMID 42684151</w:t>
      </w:r>
    </w:p>
    <w:p>
      <w:r>
        <w:t>Organisatorische Belastungsanalyse von Erythropoese-Stimulatoren und intravenösem Eisen in 12 französischen Dialyseeinrichtungen.</w:t>
      </w:r>
    </w:p>
    <w:p>
      <w:r>
        <w:rPr>
          <w:b/>
        </w:rPr>
        <w:t xml:space="preserve">Ergebnis: </w:t>
      </w:r>
      <w:r>
        <w:t>ESA-Management 313,9 h/Monat pro Zentrum (davon 285,3 h Vorbereitung/Verabreichung/Monitoring); IV-Eisen-Management 779,3 h/Monat (664 h Verabreichung/Monitoring). 74,2 % der Kühllagerfläche für ESAs.</w:t>
      </w:r>
    </w:p>
    <w:p>
      <w:r>
        <w:rPr>
          <w:b/>
          <w:sz w:val="19"/>
        </w:rPr>
        <w:t xml:space="preserve">Übertragbarkeit: </w:t>
      </w:r>
      <w:r>
        <w:rPr>
          <w:sz w:val="19"/>
        </w:rPr>
        <w:t>Frankreich; direkte Übertragbarkeit auf deutsches Dialysesystem (DMP-ähnliche Strukturen, vergleichbare Dokumentation).</w:t>
      </w:r>
    </w:p>
    <w:p>
      <w:r>
        <w:rPr>
          <w:color w:val="5A7D3A"/>
          <w:sz w:val="18"/>
        </w:rPr>
        <w:t>https://pubmed.ncbi.nlm.nih.gov/42684151/</w:t>
      </w:r>
    </w:p>
    <w:p>
      <w:pPr>
        <w:pStyle w:val="Heading2"/>
      </w:pPr>
      <w:r>
        <w:t>Isoliert reduzierte Diffusionskapazität korrelierte mit Emphysem und Rauchen</w:t>
      </w:r>
    </w:p>
    <w:p>
      <w:r>
        <w:rPr>
          <w:i/>
          <w:color w:val="666666"/>
          <w:sz w:val="18"/>
        </w:rPr>
        <w:t>Hamrefors V et al.  ·  BMC Pulm Med  ·  31.08.2026  ·  PMID 42675482</w:t>
      </w:r>
    </w:p>
    <w:p>
      <w:r>
        <w:t>Große schwedische Querschnittsstudie (SCAPIS) zu Determinanten isoliert verminderter DLCO bei 24.261 Patienten mit normalen Spirometrieparametern.</w:t>
      </w:r>
    </w:p>
    <w:p>
      <w:r>
        <w:rPr>
          <w:b/>
        </w:rPr>
        <w:t xml:space="preserve">Ergebnis: </w:t>
      </w:r>
      <w:r>
        <w:t>DLCO unterhalb LLN (n=1.472; 6,1 %): unabhängig assoziiert mit Emphysem (OR 2,6), Lungenerkrankung außer Asthma/COPD (OR 1,8), Rauchen pro 10-Pack-Jahre (OR 1,6), interstitielle Lungenabnormitäten (OR 1,4), Belastungsbrust­schmerz (OR 1,6).</w:t>
      </w:r>
    </w:p>
    <w:p>
      <w:r>
        <w:rPr>
          <w:b/>
          <w:sz w:val="19"/>
        </w:rPr>
        <w:t xml:space="preserve">Übertragbarkeit: </w:t>
      </w:r>
      <w:r>
        <w:rPr>
          <w:sz w:val="19"/>
        </w:rPr>
        <w:t>Schweden; bevölkerungsbasiert, Screening-konzept übertragbar auf deutsches Präventiossystem.</w:t>
      </w:r>
    </w:p>
    <w:p>
      <w:r>
        <w:rPr>
          <w:color w:val="5A7D3A"/>
          <w:sz w:val="18"/>
        </w:rPr>
        <w:t>https://pubmed.ncbi.nlm.nih.gov/42675482/</w:t>
      </w:r>
    </w:p>
    <w:p>
      <w:pPr>
        <w:pStyle w:val="Heading2"/>
      </w:pPr>
      <w:r>
        <w:t>HBV-Genotyp-E-Infektionen: Resistenzmutationen unter Migration und schlechter Adhärenz</w:t>
      </w:r>
    </w:p>
    <w:p>
      <w:r>
        <w:rPr>
          <w:i/>
          <w:color w:val="666666"/>
          <w:sz w:val="18"/>
        </w:rPr>
        <w:t>Tiecco G et al.  ·  Infect Dis (Lond)  ·  03.08.2026  ·  PMID 42547309</w:t>
      </w:r>
    </w:p>
    <w:p>
      <w:r>
        <w:t>Retrospektive Fallserie (2015–2023) von 8 Patienten mit dokumentiertem HBV-Genotyp E und Resistenztest-Ergebnissen.</w:t>
      </w:r>
    </w:p>
    <w:p>
      <w:r>
        <w:rPr>
          <w:b/>
        </w:rPr>
        <w:t xml:space="preserve">Ergebnis: </w:t>
      </w:r>
      <w:r>
        <w:t>8 Patienten (62,5 % männlich, 87,5 % afrikanischer Herkunft); 75 % mit persistierender Virämie trotz Therapie; Lamivudin-Resistenz 12,5 %, Tenofovir-Resistenzmutationen 25 %, Immun-Escape-Mutationen 37,5 %; virologische Suppression nach Therapie­anpassung nur in 37,5 %.</w:t>
      </w:r>
    </w:p>
    <w:p>
      <w:r>
        <w:rPr>
          <w:b/>
          <w:sz w:val="19"/>
        </w:rPr>
        <w:t xml:space="preserve">Übertragbarkeit: </w:t>
      </w:r>
      <w:r>
        <w:rPr>
          <w:sz w:val="19"/>
        </w:rPr>
        <w:t>Italien (reales Patientenkollektiv); strukturelle Herausforderungen (Adhärenz, Migranten) in Deutschland ähnlich.</w:t>
      </w:r>
    </w:p>
    <w:p>
      <w:r>
        <w:rPr>
          <w:color w:val="5A7D3A"/>
          <w:sz w:val="18"/>
        </w:rPr>
        <w:t>https://pubmed.ncbi.nlm.nih.gov/42547309/</w:t>
      </w:r>
    </w:p>
    <w:p>
      <w:pPr>
        <w:pStyle w:val="Heading2"/>
      </w:pPr>
      <w:r>
        <w:t>HBV-assoziierte Stigmatisierung beeinträchtigte alle Lebensqualitäts-Domänen</w:t>
      </w:r>
    </w:p>
    <w:p>
      <w:r>
        <w:rPr>
          <w:i/>
          <w:color w:val="666666"/>
          <w:sz w:val="18"/>
        </w:rPr>
        <w:t>Smith V et al.  ·  J Viral Hepat  ·  Aug. 2026  ·  PMID 42499137</w:t>
      </w:r>
    </w:p>
    <w:p>
      <w:r>
        <w:t>Qualitative Studie (Concept-Elicitation-Interviews) mit 28 HBV-Patienten aus USA, China und Polen zur Erfahrung von Stigma.</w:t>
      </w:r>
    </w:p>
    <w:p>
      <w:r>
        <w:rPr>
          <w:b/>
        </w:rPr>
        <w:t xml:space="preserve">Ergebnis: </w:t>
      </w:r>
      <w:r>
        <w:t>Internalisiertes Stigma 100 %, soziales Stigma 79 %, institutionelles Stigma 57 %. Sieben Domänen identifiziert: soziale Funktion (100 %), emotionales Wohlbefinden (96 %), HBV-Transmission (96 %), körperliche Symptome, Arbeit, Beziehungen, Zugang zu Versorgung. Stigma stark mit Lebensqualitäts-Einschränkungen verwoben.</w:t>
      </w:r>
    </w:p>
    <w:p>
      <w:r>
        <w:rPr>
          <w:b/>
          <w:sz w:val="19"/>
        </w:rPr>
        <w:t xml:space="preserve">Übertragbarkeit: </w:t>
      </w:r>
      <w:r>
        <w:rPr>
          <w:sz w:val="19"/>
        </w:rPr>
        <w:t>Multinational (aber gering-Einkommens- und Mitteleinkommensländer überrepräsentiert); psychosoziale Versorgung in Deutschland unterbewertet.</w:t>
      </w:r>
    </w:p>
    <w:p>
      <w:r>
        <w:rPr>
          <w:color w:val="5A7D3A"/>
          <w:sz w:val="18"/>
        </w:rPr>
        <w:t>https://pubmed.ncbi.nlm.nih.gov/42499137/</w:t>
      </w:r>
    </w:p>
    <w:p>
      <w:pPr>
        <w:pStyle w:val="Heading1"/>
      </w:pPr>
      <w:r>
        <w:t>Aufgenommen am 04.09.2026</w:t>
      </w:r>
    </w:p>
    <w:p>
      <w:pPr>
        <w:pStyle w:val="Heading2"/>
      </w:pPr>
      <w:r>
        <w:t>Systemischer Immunentzündungs-Index sagte COPD-Wiederaufnahmen zu 90 Tagen voraus</w:t>
      </w:r>
    </w:p>
    <w:p>
      <w:r>
        <w:rPr>
          <w:i/>
          <w:color w:val="666666"/>
          <w:sz w:val="18"/>
        </w:rPr>
        <w:t>Chen Q et al.  ·  Int J Chron Obstruct Pulmon Dis  ·  28.08.2026  ·  PMID 42683431</w:t>
      </w:r>
    </w:p>
    <w:p>
      <w:r>
        <w:t>Chinesische Kohortenstudie mit 207 Patienten mit akuter COPD-Exazerbation zur prädiktiven Wertigkeit des systemischen Immunentzündungs-Index (SII) für ungeplante Wiederaufnahmen innerhalb von 90 Tagen.</w:t>
      </w:r>
    </w:p>
    <w:p>
      <w:r>
        <w:rPr>
          <w:b/>
        </w:rPr>
        <w:t xml:space="preserve">Ergebnis: </w:t>
      </w:r>
      <w:r>
        <w:t>37,7 % (78/207) erlebten Wiederaufnahmen; jede 500er-Steigerung des SII war mit erhöhtem Wiederaufnahmerisiko assoziiert (aOR 1,329, 95%-KI 1,153-1,530; p &lt; 0,001). Integriertes Modell mit SII erreichte AUC 0,809 (95%-KI 0,742-0,869) versus 0,752 für reines klinisches Modell. Nach Bootstrap-Validierung: optimismuskorrigiert 0,785; verbesserte Modellpassung (Likelihood-Ratio p &lt; 0,001).</w:t>
      </w:r>
    </w:p>
    <w:p>
      <w:r>
        <w:rPr>
          <w:b/>
          <w:sz w:val="19"/>
        </w:rPr>
        <w:t xml:space="preserve">Übertragbarkeit: </w:t>
      </w:r>
      <w:r>
        <w:rPr>
          <w:sz w:val="19"/>
        </w:rPr>
        <w:t>Chinesische Klinikdaten, Konzept übertragbar, externe Validierung erforderlich</w:t>
      </w:r>
    </w:p>
    <w:p>
      <w:r>
        <w:rPr>
          <w:color w:val="5A7D3A"/>
          <w:sz w:val="18"/>
        </w:rPr>
        <w:t>https://pubmed.ncbi.nlm.nih.gov/42683431/</w:t>
      </w:r>
    </w:p>
    <w:p>
      <w:pPr>
        <w:pStyle w:val="Heading2"/>
      </w:pPr>
      <w:r>
        <w:t>Schlechter Schlaf erhöhte Komplikationsrisiko bei chronischer Nierenkrankheit um 19-54 %</w:t>
      </w:r>
    </w:p>
    <w:p>
      <w:r>
        <w:rPr>
          <w:i/>
          <w:color w:val="666666"/>
          <w:sz w:val="18"/>
        </w:rPr>
        <w:t>Lei K et al.  ·  Front Public Health  ·  18.08.2026  ·  PMID 42682672</w:t>
      </w:r>
    </w:p>
    <w:p>
      <w:r>
        <w:t>Kohortenstudie mit 15.809 CKD-Patienten aus UK Biobank (2006-2010, Nachverfolgung bis 2022) zur Assoziation von multidimensionalen Schlafmustern mit Anämie, kardiovaskulären Ereignissen, kognitiven Beeinträchtigungen und Nebenschilddrüsenüberfunktion.</w:t>
      </w:r>
    </w:p>
    <w:p>
      <w:r>
        <w:rPr>
          <w:b/>
        </w:rPr>
        <w:t xml:space="preserve">Ergebnis: </w:t>
      </w:r>
      <w:r>
        <w:t>Schwere Insomnie mit kurzer oder langer Schlafdauer und schwer gestörter Schlaf waren mit 19-54 % höheren Risiken für Anämie, kardiovaskuläre Erkrankungen und Nebenschilddrüsenüberfunktion assoziiert (alle p &lt; 0,05). Höhere Schlafqualität war unabhängig mit reduzierten Risiken dieser Komplikationen verbunden. Schlafprofile zeigten Heterogenität in Assoziation mit Ergebnissen je nach Geschlecht und Nierenfunktion.</w:t>
      </w:r>
    </w:p>
    <w:p>
      <w:r>
        <w:rPr>
          <w:b/>
          <w:sz w:val="19"/>
        </w:rPr>
        <w:t xml:space="preserve">Übertragbarkeit: </w:t>
      </w:r>
      <w:r>
        <w:rPr>
          <w:sz w:val="19"/>
        </w:rPr>
        <w:t>UK-Biobank, vergleichbare europäische Systeme und Datenqualität</w:t>
      </w:r>
    </w:p>
    <w:p>
      <w:r>
        <w:rPr>
          <w:color w:val="5A7D3A"/>
          <w:sz w:val="18"/>
        </w:rPr>
        <w:t>https://pubmed.ncbi.nlm.nih.gov/42682672/</w:t>
      </w:r>
    </w:p>
    <w:p>
      <w:pPr>
        <w:pStyle w:val="Heading2"/>
      </w:pPr>
      <w:r>
        <w:t>Quantitative Hepatitis-B-Oberflächenantigen-Tests: nur 37,4 % spanischer Labore implementiert</w:t>
      </w:r>
    </w:p>
    <w:p>
      <w:r>
        <w:rPr>
          <w:i/>
          <w:color w:val="666666"/>
          <w:sz w:val="18"/>
        </w:rPr>
        <w:t>Chaves-Blanco L et al.  ·  Enferm Infecc Microbiol Clin (Engl Ed)  ·  Aug. 2026  ·  PMID 42542350</w:t>
      </w:r>
    </w:p>
    <w:p>
      <w:r>
        <w:t>Nationale spanische Querschnittsstudie von 91 klinisch-mikrobiologischen Laboren zur Implementierung und Praktiken von quantitativem HBsAg-Testing (qHBsAg) für das Chronic-Hepatitis-B-Management.</w:t>
      </w:r>
    </w:p>
    <w:p>
      <w:r>
        <w:rPr>
          <w:b/>
        </w:rPr>
        <w:t xml:space="preserve">Ergebnis: </w:t>
      </w:r>
      <w:r>
        <w:t>37,4 % (34/91) führten qHBsAg durch; 86 % der Nicht-Durchführer verwiesen Proben nicht wegen wahrgenommener geringer klinischer Nachfrage (57,1 %). Implementierung korrelierte mit Krankenhausgröße (p = 0,041): 0 % bei &lt;200 Betten, 23,3 % bei 200-500, 44,9 % bei 500-1000, 62,5 % bei ≥1000. Unter durchführenden Labs: 57,6 % quantifizierten nach positivem qualitativem Test, 27,3 % auf Anforderung, 15,2 % als initiales Screening. Heterogene Meldepraxis.</w:t>
      </w:r>
    </w:p>
    <w:p>
      <w:r>
        <w:rPr>
          <w:b/>
          <w:sz w:val="19"/>
        </w:rPr>
        <w:t xml:space="preserve">Übertragbarkeit: </w:t>
      </w:r>
      <w:r>
        <w:rPr>
          <w:sz w:val="19"/>
        </w:rPr>
        <w:t>Spanien, direkt auf Deutschland übertragbar für Implementierungs-Gaps</w:t>
      </w:r>
    </w:p>
    <w:p>
      <w:r>
        <w:rPr>
          <w:color w:val="5A7D3A"/>
          <w:sz w:val="18"/>
        </w:rPr>
        <w:t>https://pubmed.ncbi.nlm.nih.gov/42542350/</w:t>
      </w:r>
    </w:p>
    <w:p>
      <w:pPr>
        <w:pStyle w:val="Heading2"/>
      </w:pPr>
      <w:r>
        <w:t>Finerenone reduzierte Albuminurie bei Typ-2-Diabetes und CKD um 34,5 % in Routineversorgung</w:t>
      </w:r>
    </w:p>
    <w:p>
      <w:r>
        <w:rPr>
          <w:i/>
          <w:color w:val="666666"/>
          <w:sz w:val="18"/>
        </w:rPr>
        <w:t>Moreno-Pérez O et al.  ·  Diabetes Obes Metab  ·  30.07.2026  ·  PMID 42533276</w:t>
      </w:r>
    </w:p>
    <w:p>
      <w:r>
        <w:t>Spanische Multicenterstudie zur Effektivität und Sicherheit von Finerenon bei Patienten mit Typ-2-Diabetes und chronischer Nierenerkrankung in der Routineversorgung.</w:t>
      </w:r>
    </w:p>
    <w:p>
      <w:r>
        <w:rPr>
          <w:b/>
        </w:rPr>
        <w:t xml:space="preserve">Ergebnis: </w:t>
      </w:r>
      <w:r>
        <w:t>Bei 844 Patienten (Medianalter 72 Jahre, Median eGFR 49 mL/min/1,73 m²) reduzierte Finerenon die Albuminurie-zu-Kreatinin-Ratio (UACR) um Medianalter 34,5 % nach 6 Monaten (p &lt; 0,001), unabhängig von Hintergrundnephroprotektiva. 52,7 % erreichten die primäre Zielmarke von ≥30 % UACR-Reduktion; 89,5 % Persistenz der Therapie; Hyperkaliämie 4,8 %, Herz-Kreislauf-Ereignisse 1,1 %. Finerenon verbesserte albuminurische Marker auch bei intensiver Vormedikation.</w:t>
      </w:r>
    </w:p>
    <w:p>
      <w:r>
        <w:rPr>
          <w:b/>
          <w:sz w:val="19"/>
        </w:rPr>
        <w:t xml:space="preserve">Übertragbarkeit: </w:t>
      </w:r>
      <w:r>
        <w:rPr>
          <w:sz w:val="19"/>
        </w:rPr>
        <w:t>Spanische Routinedaten, vergleichbares Sozialversicherungssystem</w:t>
      </w:r>
    </w:p>
    <w:p>
      <w:r>
        <w:rPr>
          <w:color w:val="5A7D3A"/>
          <w:sz w:val="18"/>
        </w:rPr>
        <w:t>https://pubmed.ncbi.nlm.nih.gov/42533276/</w:t>
      </w:r>
    </w:p>
    <w:p>
      <w:pPr>
        <w:pStyle w:val="Heading2"/>
      </w:pPr>
      <w:r>
        <w:t>Integrierter Versorgungspfad bei Long COVID: alle Interventionen erzielten Fatigue-Reduktion</w:t>
      </w:r>
    </w:p>
    <w:p>
      <w:r>
        <w:rPr>
          <w:i/>
          <w:color w:val="666666"/>
          <w:sz w:val="18"/>
        </w:rPr>
        <w:t>STIMULATE-ICP Consortium  ·  Nat Med  ·  28.07.2026  ·  PMID 42521821</w:t>
      </w:r>
    </w:p>
    <w:p>
      <w:r>
        <w:t>Phase-3-Cluster-RCT mit 1.152 Teilnehmern aus 122 englischen Primary-Care-Netzwerken zum Effekt von Multi-Organ-MRI und/oder digitaler Rehabilitation im Rahmen strukturierter ICP-Interventionen auf Fatigue-Assessment-Scale nach 12 und 24 Wochen.</w:t>
      </w:r>
    </w:p>
    <w:p>
      <w:r>
        <w:rPr>
          <w:b/>
        </w:rPr>
        <w:t xml:space="preserve">Ergebnis: </w:t>
      </w:r>
      <w:r>
        <w:t>Fatigue-Assessment-Scale verbesserte sich in allen Armen um 4,5 Punkte von 35,8 auf 31,3 (nach 12 Wochen); zusätzliche Multi-Organ-MRI zeigte 0,18-Punkte-Vorteil (95%-KI -0,72 bis 1,09; p = 0,69), digitale Rehabilitation -0,53 Punkte (95%-KI -1,42 bis 0,36; p = 0,25). Multidisziplinäre holistische Versorgung allein war mit Verbesserungen verbunden. Keine schwerwiegenden unerwünschten Ereignisse.</w:t>
      </w:r>
    </w:p>
    <w:p>
      <w:r>
        <w:rPr>
          <w:b/>
          <w:sz w:val="19"/>
        </w:rPr>
        <w:t xml:space="preserve">Übertragbarkeit: </w:t>
      </w:r>
      <w:r>
        <w:rPr>
          <w:sz w:val="19"/>
        </w:rPr>
        <w:t>Englische NHS-Daten, vergleichbares Versicherungssystem und Zugangswege</w:t>
      </w:r>
    </w:p>
    <w:p>
      <w:r>
        <w:rPr>
          <w:color w:val="5A7D3A"/>
          <w:sz w:val="18"/>
        </w:rPr>
        <w:t>https://pubmed.ncbi.nlm.nih.gov/42521821/</w:t>
      </w:r>
    </w:p>
    <w:p>
      <w:pPr>
        <w:pStyle w:val="Heading1"/>
      </w:pPr>
      <w:r>
        <w:t>Aufgenommen am 03.09.2026</w:t>
      </w:r>
    </w:p>
    <w:p>
      <w:pPr>
        <w:pStyle w:val="Heading2"/>
      </w:pPr>
      <w:r>
        <w:t>Dysbiose und Obstipation bei Dialysepatienten: Mikrobiotargetierende Interventionen versprechen, aber evidenzlimitiert</w:t>
      </w:r>
    </w:p>
    <w:p>
      <w:r>
        <w:rPr>
          <w:i/>
          <w:color w:val="666666"/>
          <w:sz w:val="18"/>
        </w:rPr>
        <w:t>Shen Z et al.  ·  Front Cell Infect Microbiol  ·  18.08.2026  ·  PMID 42683184</w:t>
      </w:r>
    </w:p>
    <w:p>
      <w:r>
        <w:t>Narrativer Übersichtsartikel, der Veränderungen der Darmflora bei Patienten mit Nierenersatztherapie (ESRD) und Obstipation, ihre pathogenen Mechanismen und Therapieoptionen (Probiotika, Präbiotika, Ernährung) systematisch zusammenfasst.</w:t>
      </w:r>
    </w:p>
    <w:p>
      <w:r>
        <w:rPr>
          <w:b/>
        </w:rPr>
        <w:t xml:space="preserve">Ergebnis: </w:t>
      </w:r>
      <w:r>
        <w:t>Kernbefund: Dysbiose mit reduzierter kurzkettigen-Fettsäure-produzierenden Bakterien und erhöhten urease-positiven Spezies; bidirektionaler Mikrobiotagutkidney-Teufelskreis mit erhöhter intestinaler Permeabilität und Nierenschaden. Evidenz für Interventionen vorhanden, aber Sicherheitsaspekte und klinische Praktikabilität unklar.</w:t>
      </w:r>
    </w:p>
    <w:p>
      <w:r>
        <w:rPr>
          <w:b/>
          <w:sz w:val="19"/>
        </w:rPr>
        <w:t xml:space="preserve">Übertragbarkeit: </w:t>
      </w:r>
      <w:r>
        <w:rPr>
          <w:sz w:val="19"/>
        </w:rPr>
        <w:t>Pathophysiologie-Fokus, Interventionsevidenz zu fragmentarisch für direkte deutsche Implementierung</w:t>
      </w:r>
    </w:p>
    <w:p>
      <w:r>
        <w:rPr>
          <w:color w:val="5A7D3A"/>
          <w:sz w:val="18"/>
        </w:rPr>
        <w:t>https://pubmed.ncbi.nlm.nih.gov/42683184/</w:t>
      </w:r>
    </w:p>
    <w:p>
      <w:pPr>
        <w:pStyle w:val="Heading2"/>
      </w:pPr>
      <w:r>
        <w:t>Dapagliflozin und CKD-Progression: Effekt auf eGFR-Rückgang inkonsistent, aber Reduktion klinischer Nierenendpunkte</w:t>
      </w:r>
    </w:p>
    <w:p>
      <w:r>
        <w:rPr>
          <w:i/>
          <w:color w:val="666666"/>
          <w:sz w:val="18"/>
        </w:rPr>
        <w:t>Shadravan S et al.  ·  Iran J Kidney Dis  ·  31.07.2026  ·  PMID 42679368</w:t>
      </w:r>
    </w:p>
    <w:p>
      <w:r>
        <w:t>Systematische Übersicht von 15 Studien zur Wirkung von Dapagliflozin auf chronische Nierenerkrankung; 11 waren Sekundäranalysen der DAPA-CKD-Studie mit 4.304 Teilnehmern; nur vier unabhängige Studien nach Ausschluss von Doppeltgennung verfügbar.</w:t>
      </w:r>
    </w:p>
    <w:p>
      <w:r>
        <w:rPr>
          <w:b/>
        </w:rPr>
        <w:t xml:space="preserve">Ergebnis: </w:t>
      </w:r>
      <w:r>
        <w:t>eGFR-Effekte hochgradig heterogen (-6,6 bis +0,93 mL/min/1,73m²; I²=93,7 %); DAPA-CKD zeigte Reduktion ungünstiger klinischer renaler Ergebnisse. Heterogenität und begrenzte unabhängige Evidenz verhindern Metaanalyse; dapagliflozin erscheint nierenschützend und sicher für CKD.</w:t>
      </w:r>
    </w:p>
    <w:p>
      <w:r>
        <w:rPr>
          <w:b/>
          <w:sz w:val="19"/>
        </w:rPr>
        <w:t xml:space="preserve">Übertragbarkeit: </w:t>
      </w:r>
      <w:r>
        <w:rPr>
          <w:sz w:val="19"/>
        </w:rPr>
        <w:t>Internationale Evidenz, kardiorenales Konzept übertragbar; Datenstabilität limitiert</w:t>
      </w:r>
    </w:p>
    <w:p>
      <w:r>
        <w:rPr>
          <w:color w:val="5A7D3A"/>
          <w:sz w:val="18"/>
        </w:rPr>
        <w:t>https://pubmed.ncbi.nlm.nih.gov/42679368/</w:t>
      </w:r>
    </w:p>
    <w:p>
      <w:pPr>
        <w:pStyle w:val="Heading2"/>
      </w:pPr>
      <w:r>
        <w:t>COPD-Therapietreue: Nur 30–50 % erreichen optimale Adhärenz; COM-B-Modell identifiziert veränderbare Faktoren</w:t>
      </w:r>
    </w:p>
    <w:p>
      <w:r>
        <w:rPr>
          <w:i/>
          <w:color w:val="666666"/>
          <w:sz w:val="18"/>
        </w:rPr>
        <w:t>Zhang Y et al.  ·  Int J Chron Obstruct Pulmon Dis  ·  27.08.2026  ·  PMID 42677250</w:t>
      </w:r>
    </w:p>
    <w:p>
      <w:r>
        <w:t>Narrative Übersichtsarbeit, die Literatur zu Adhärenz-Messverfahren, Prävalenz (MPR ≥80 % bei nur 30–50 % der Patienten), Einflussfaktoren und Interventionsstrategien anhand des Capability-Opportunity-Motivation-Behaviour-Modells systematisiert.</w:t>
      </w:r>
    </w:p>
    <w:p>
      <w:r>
        <w:rPr>
          <w:b/>
        </w:rPr>
        <w:t xml:space="preserve">Ergebnis: </w:t>
      </w:r>
      <w:r>
        <w:t>Inhalationstechnikfehler 30–50 %, therapieverweigerung bei Depression/Angststörung ca. 20–25 % niedriger; Single-Inhaler-Triple-Therapie versus Multiple-Inhaler zeigte 18-Monats-Persistenz 16,5 % vs. 2,3 %. Höhere Adhärenz assoziiert mit 51 % Reduktion exazerbationsbedingter Hospitalisierung und Attenuation des FEV1-Rückgangs um ca. 21 mL/Jahr.</w:t>
      </w:r>
    </w:p>
    <w:p>
      <w:r>
        <w:rPr>
          <w:b/>
          <w:sz w:val="19"/>
        </w:rPr>
        <w:t xml:space="preserve">Übertragbarkeit: </w:t>
      </w:r>
      <w:r>
        <w:rPr>
          <w:sz w:val="19"/>
        </w:rPr>
        <w:t>Internationale Literatur, Adhärenz-Muster ähnlich wie Deutschland; länderspezifische Zahlen begrenzt</w:t>
      </w:r>
    </w:p>
    <w:p>
      <w:r>
        <w:rPr>
          <w:color w:val="5A7D3A"/>
          <w:sz w:val="18"/>
        </w:rPr>
        <w:t>https://pubmed.ncbi.nlm.nih.gov/42677250/</w:t>
      </w:r>
    </w:p>
    <w:p>
      <w:pPr>
        <w:pStyle w:val="Heading2"/>
      </w:pPr>
      <w:r>
        <w:t>COPD-Verhalten: Vier Phänotypen kombinieren Inhalationstechnik und Adhärenz; Wissenslücken zielbar</w:t>
      </w:r>
    </w:p>
    <w:p>
      <w:r>
        <w:rPr>
          <w:i/>
          <w:color w:val="666666"/>
          <w:sz w:val="18"/>
        </w:rPr>
        <w:t>Xiang J et al.  ·  Int J Chron Obstruct Pulmon Dis  ·  27.08.2026  ·  PMID 42677230</w:t>
      </w:r>
    </w:p>
    <w:p>
      <w:r>
        <w:t>Querschnittsstudie mit 700 COPD-Patienten in Peking 2025, die kombinierte Inhalationstechnik und Therapietreue zur Klassifizierung in vier Verhaltenphänotypen nutzten; Assoziationen mit Patientenmerkmalen berechnet.</w:t>
      </w:r>
    </w:p>
    <w:p>
      <w:r>
        <w:rPr>
          <w:b/>
        </w:rPr>
        <w:t xml:space="preserve">Ergebnis: </w:t>
      </w:r>
      <w:r>
        <w:t>Nur 25,3 % zeigten perfekte Inhalationstechnik, 59,0 % gute Adhärenz. Vier Phänotypen: Standard+Adhärent (20,7 %), Nicht-adhärent+Standard (4,6 %), Adhärent+Nicht-standard (38,3 %), Nicht-standard+Nicht-adhärent (36,4 %). Krankheitswissen stärkster Prädiktor: korrekte vs. fehlerhafte Technik OR 0,30–0,35 (p&lt;0,001). Krankheitsdauer assoziiert mit unterschiedlichen Adhärenzmustern.</w:t>
      </w:r>
    </w:p>
    <w:p>
      <w:r>
        <w:rPr>
          <w:b/>
          <w:sz w:val="19"/>
        </w:rPr>
        <w:t xml:space="preserve">Übertragbarkeit: </w:t>
      </w:r>
      <w:r>
        <w:rPr>
          <w:sz w:val="19"/>
        </w:rPr>
        <w:t>China, hoher Techniktransferpotential, Wissenslückenmodell auch für Deutschland prädiktiv</w:t>
      </w:r>
    </w:p>
    <w:p>
      <w:r>
        <w:rPr>
          <w:color w:val="5A7D3A"/>
          <w:sz w:val="18"/>
        </w:rPr>
        <w:t>https://pubmed.ncbi.nlm.nih.gov/42677230/</w:t>
      </w:r>
    </w:p>
    <w:p>
      <w:pPr>
        <w:pStyle w:val="Heading2"/>
      </w:pPr>
      <w:r>
        <w:t>Pädiatrische Notfallverstärkung bei komplexen Erkrankungen: Zentrale Konzentration in Seoul, Reisedistanz erhöht Mortalität</w:t>
      </w:r>
    </w:p>
    <w:p>
      <w:r>
        <w:rPr>
          <w:i/>
          <w:color w:val="666666"/>
          <w:sz w:val="18"/>
        </w:rPr>
        <w:t>Choi YY et al.  ·  J Korean Med Sci  ·  31.08.2026  ·  PMID 42676071</w:t>
      </w:r>
    </w:p>
    <w:p>
      <w:r>
        <w:t>Nationale Analyse südkoreanischer Notfallbesuche 2016–2022 (7,76 Millionen Fälle), davon 149.306 (1,9 %) mit komplexen chronischen Erkrankungen (CCCs); Reisedistanz und regionale Unterschiede in Versorgungsergebnissen untersucht.</w:t>
      </w:r>
    </w:p>
    <w:p>
      <w:r>
        <w:rPr>
          <w:b/>
        </w:rPr>
        <w:t xml:space="preserve">Ergebnis: </w:t>
      </w:r>
      <w:r>
        <w:t>CCC-Patienten: höhere Akuität (16,5 % vs. 3,1 %), längere Anfahrt (11,2 vs. 6,2 km), ICU-Admission 4,4 % vs. 0,3 %, ED-Todesfälle 0,2 % vs. 0,04 %. 47,9 % aller CCC-Fälle in Seoul; längere Reise unabhängig mit Mortalität assoziiert: OR 1,3 (15–59,9 km), 1,6 (60–99,9 km), 1,3 (≥100 km). Zentrale Konzentration (40,7 % in 5 Krankenhäusern) zeigt Gesamtfehler in Ressourcenallokation.</w:t>
      </w:r>
    </w:p>
    <w:p>
      <w:r>
        <w:rPr>
          <w:b/>
          <w:sz w:val="19"/>
        </w:rPr>
        <w:t xml:space="preserve">Übertragbarkeit: </w:t>
      </w:r>
      <w:r>
        <w:rPr>
          <w:sz w:val="19"/>
        </w:rPr>
        <w:t>Südkorea, Zentrailisierungsproblem relevant für deutsche Flächenländer; Mortalitäts-Distanz-Beziehung übertragbar</w:t>
      </w:r>
    </w:p>
    <w:p>
      <w:r>
        <w:rPr>
          <w:color w:val="5A7D3A"/>
          <w:sz w:val="18"/>
        </w:rPr>
        <w:t>https://pubmed.ncbi.nlm.nih.gov/42676071/</w:t>
      </w:r>
    </w:p>
    <w:p>
      <w:pPr>
        <w:pStyle w:val="Heading2"/>
      </w:pPr>
      <w:r>
        <w:t>Lebensbedrohliche Erkrankungen bei Kindern in Irland: Prävalenz 34,8–50,0 pro 10.000; Datendefizite erfordern sichere ID</w:t>
      </w:r>
    </w:p>
    <w:p>
      <w:r>
        <w:rPr>
          <w:i/>
          <w:color w:val="666666"/>
          <w:sz w:val="18"/>
        </w:rPr>
        <w:t>Smith S et al.  ·  BMC Pediatr  ·  28.07.2026  ·  PMID 42509542</w:t>
      </w:r>
    </w:p>
    <w:p>
      <w:r>
        <w:t>Querschnittsanalyse irischer Spitaldaten 2019 und 2024, um Prävalenz lebensbedrohlicher Zustände bei 0–19-Jährigen unter fehlender eindeutiger Patientenkennung zu schätzen; drei Schätzszenarien mit Sensitivitätsanalysen.</w:t>
      </w:r>
    </w:p>
    <w:p>
      <w:r>
        <w:rPr>
          <w:b/>
        </w:rPr>
        <w:t xml:space="preserve">Ergebnis: </w:t>
      </w:r>
      <w:r>
        <w:t>Baseline-Prävalenz 34,8–50,0 pro 10.000 (2019) und 32,3–44,5 pro 10.000 (2024); mit Adjustierung für Untererfassung: 46,4–66,6 (2019) und 43,0–59,3 pro 10.000 (2024). Höher bei Männern, größte Gruppe &lt;1 Jahr. Schätzungen konsistent mit ähnlich-wohlhabenden Ländern; Methodentransparenz ermöglicht Vergleiche trotz Datenlimitationen.</w:t>
      </w:r>
    </w:p>
    <w:p>
      <w:r>
        <w:rPr>
          <w:b/>
          <w:sz w:val="19"/>
        </w:rPr>
        <w:t xml:space="preserve">Übertragbarkeit: </w:t>
      </w:r>
      <w:r>
        <w:rPr>
          <w:sz w:val="19"/>
        </w:rPr>
        <w:t>Irland, administratives Datensystem ohne eindeutige ID vergleichbar mit Teilen deutscher Krankenhauslandschaft</w:t>
      </w:r>
    </w:p>
    <w:p>
      <w:r>
        <w:rPr>
          <w:color w:val="5A7D3A"/>
          <w:sz w:val="18"/>
        </w:rPr>
        <w:t>https://pubmed.ncbi.nlm.nih.gov/42509542/</w:t>
      </w:r>
    </w:p>
    <w:p>
      <w:pPr>
        <w:pStyle w:val="Heading2"/>
      </w:pPr>
      <w:r>
        <w:t>Sarcoidosis-Trajektorien: Chronische Erkrankung tritt bei 28,5 % auf, mit erhöhtem Infekt- und Depressionsrisiko</w:t>
      </w:r>
    </w:p>
    <w:p>
      <w:r>
        <w:rPr>
          <w:i/>
          <w:color w:val="666666"/>
          <w:sz w:val="18"/>
        </w:rPr>
        <w:t>Rossides M et al.  ·  Respir Res  ·  24.07.2026  ·  PMID 42498935</w:t>
      </w:r>
    </w:p>
    <w:p>
      <w:r>
        <w:t>Prospektive Kohortenstudie mit 9.665 Patienten, die neue Sarcoidose-Diagnosen zwischen 2006 und 2018 im schwedischen Register identifizierte und über fünf Jahre verfolgte; zwei längerfristige Verlaufsmuster wurden mittels statistischer Modellierung der Arztbesuche ermittelt.</w:t>
      </w:r>
    </w:p>
    <w:p>
      <w:r>
        <w:rPr>
          <w:b/>
        </w:rPr>
        <w:t xml:space="preserve">Ergebnis: </w:t>
      </w:r>
      <w:r>
        <w:t>71,5 % zeigten selbstlimitierten Verlauf mit Remission in zwei Jahren, 28,5 % chronischen Verlauf mit persistenten Besuchen; chronisches Sarcoidosis war assoziiert mit: eGFR Krankheit (Hoehn und Yahr ≥ 2 vs. 1), erhöhtem Infektrisiko, Herzinsuffizienz, Diabetes, Depression, Angststörung und früherem Tod. Immunosuppressive Therapie bei Diagnose erhöhte Chronizitätsrisiko um Faktor 2,18 (95%-KI 2,04–2,33).</w:t>
      </w:r>
    </w:p>
    <w:p>
      <w:r>
        <w:rPr>
          <w:b/>
          <w:sz w:val="19"/>
        </w:rPr>
        <w:t xml:space="preserve">Übertragbarkeit: </w:t>
      </w:r>
      <w:r>
        <w:rPr>
          <w:sz w:val="19"/>
        </w:rPr>
        <w:t>Schweden, nationale Patientenregister, vergleichbare Gesundheitssysteme</w:t>
      </w:r>
    </w:p>
    <w:p>
      <w:r>
        <w:rPr>
          <w:color w:val="5A7D3A"/>
          <w:sz w:val="18"/>
        </w:rPr>
        <w:t>https://pubmed.ncbi.nlm.nih.gov/42498935/</w:t>
      </w:r>
    </w:p>
    <w:p>
      <w:pPr>
        <w:pStyle w:val="Heading1"/>
      </w:pPr>
      <w:r>
        <w:t>Aufgenommen am 02.09.2026</w:t>
      </w:r>
    </w:p>
    <w:p>
      <w:pPr>
        <w:pStyle w:val="Heading2"/>
      </w:pPr>
      <w:r>
        <w:t>Albuminoxidation verzögert sich nach Nierentransplantation trotz Funktionsrestitution</w:t>
      </w:r>
    </w:p>
    <w:p>
      <w:r>
        <w:rPr>
          <w:i/>
          <w:color w:val="666666"/>
          <w:sz w:val="18"/>
        </w:rPr>
        <w:t>Berntsen LM et al.  ·  BMC Nephrol  ·  28.08.2026  ·  PMID 42665799</w:t>
      </w:r>
    </w:p>
    <w:p>
      <w:r>
        <w:t>Observationsstudie, die die Albumin-Redoxstatus (ARS) vor und nach Nierentransplantation (KTX) gemessen hat, um zu zeigen, ob die Verbesserung der Nierenfunktion die Oxidation verringert.</w:t>
      </w:r>
    </w:p>
    <w:p>
      <w:r>
        <w:rPr>
          <w:b/>
        </w:rPr>
        <w:t xml:space="preserve">Ergebnis: </w:t>
      </w:r>
      <w:r>
        <w:t>Vor KTX waren HMA-Werte reduziert (Median 63,5%), HNA-1 und HNA-2 erhöht. Eine Woche nach KTX verschlechterte sich HMA weiter (57,9%), HNA-2 stieg auf 9,2%. Trotz rascher Funktionserholung war die ARS-Normalisierung langsam und variabel; 180 Tage post-KTX zeigten 31 % der Patienten noch erhöhte Oxidationssignale, was nahelegt, dass Faktoren jenseits der Nierenfunktion die ARS beeinflussen.</w:t>
      </w:r>
    </w:p>
    <w:p>
      <w:r>
        <w:rPr>
          <w:b/>
          <w:sz w:val="19"/>
        </w:rPr>
        <w:t xml:space="preserve">Übertragbarkeit: </w:t>
      </w:r>
      <w:r>
        <w:rPr>
          <w:sz w:val="19"/>
        </w:rPr>
        <w:t>Deutschland/Österreich, vergleichbare Transplantationsverfahren und -strukturen</w:t>
      </w:r>
    </w:p>
    <w:p>
      <w:r>
        <w:rPr>
          <w:color w:val="5A7D3A"/>
          <w:sz w:val="18"/>
        </w:rPr>
        <w:t>https://pubmed.ncbi.nlm.nih.gov/42665799/</w:t>
      </w:r>
    </w:p>
    <w:p>
      <w:pPr>
        <w:pStyle w:val="Heading2"/>
      </w:pPr>
      <w:r>
        <w:t>Muskelzell-Veränderungen bei Long COVID/ME-CFS unterscheiden sich grundlegend von Bettlägerigkeit</w:t>
      </w:r>
    </w:p>
    <w:p>
      <w:r>
        <w:rPr>
          <w:i/>
          <w:color w:val="666666"/>
          <w:sz w:val="18"/>
        </w:rPr>
        <w:t>Charlton BT et al.  ·  Nat Commun  ·  28.07.2026  ·  PMID 42649155</w:t>
      </w:r>
    </w:p>
    <w:p>
      <w:r>
        <w:t>Vergleichende Myofaser-Analyse nach 60-Tage-Bettruhe bei Gesunden versus Long COVID/ME-CFS-Patienten, um zu zeigen, dass Inaktivität allein nicht die Muskeldefekte erklärt.</w:t>
      </w:r>
    </w:p>
    <w:p>
      <w:r>
        <w:rPr>
          <w:b/>
        </w:rPr>
        <w:t xml:space="preserve">Ergebnis: </w:t>
      </w:r>
      <w:r>
        <w:t>Gesunde zeigen nach Bettruhe Muskelatrophie ohne Fasetyp-Verschiebung; beide Patientengruppen haben mehr glykolytische Fasern und ME/CFS-Patienten zeigen zusätzliche Typ-I-spezifische Atrophie. Nur nach Bettruhe war oxidative Phosphorylierungskapazität mit VO₂max korreliert. Die Muskelmerkmale unterscheiden sich fundamental zwischen Patienten und Bettruhe-Kontrollen, was zeigt, dass Inaktivität nicht die metabolischen Abnormitäten erklärt.</w:t>
      </w:r>
    </w:p>
    <w:p>
      <w:r>
        <w:rPr>
          <w:b/>
          <w:sz w:val="19"/>
        </w:rPr>
        <w:t xml:space="preserve">Übertragbarkeit: </w:t>
      </w:r>
      <w:r>
        <w:rPr>
          <w:sz w:val="19"/>
        </w:rPr>
        <w:t>Niederlande, vergleichbare Versorgungsbedingungen für chronische Erkrankungen</w:t>
      </w:r>
    </w:p>
    <w:p>
      <w:r>
        <w:rPr>
          <w:color w:val="5A7D3A"/>
          <w:sz w:val="18"/>
        </w:rPr>
        <w:t>https://pubmed.ncbi.nlm.nih.gov/42649155/</w:t>
      </w:r>
    </w:p>
    <w:p>
      <w:pPr>
        <w:pStyle w:val="Heading2"/>
      </w:pPr>
      <w:r>
        <w:t>Qualitätsindikatoren für Mehrfacherkrankung in der Hausarztpraxis – Protokoll einer partizipativen Entwicklung</w:t>
      </w:r>
    </w:p>
    <w:p>
      <w:r>
        <w:rPr>
          <w:i/>
          <w:color w:val="666666"/>
          <w:sz w:val="18"/>
        </w:rPr>
        <w:t>Tavares S et al.  ·  JMIR Res Protoc  ·  07.08.2026  ·  PMID 42567680</w:t>
      </w:r>
    </w:p>
    <w:p>
      <w:r>
        <w:t>Protokoll einer modifizierten RAND/UCLA-Studie zur Co-Entwicklung von nicht-diagnose-spezifischen Qualitätsindikatoren für Patienten mit Mehrfacherkrankungen (MLTC) mit Patienten, Angehörigen und Fachpersonen in England.</w:t>
      </w:r>
    </w:p>
    <w:p>
      <w:r>
        <w:rPr>
          <w:b/>
        </w:rPr>
        <w:t xml:space="preserve">Ergebnis: </w:t>
      </w:r>
      <w:r>
        <w:t>10 Patienten/Angehörige und 12 Fachpersonen konsentierten bis Juli 2026; 54 Kandidaten-Indikatoren aus Scoping Review und qualitativen Interviews mit 21 Patienten generiert. RAMStudie mit drei Runden geplant (Completion Anfang 2027). Indikatoren in Struktur-Prozess-Ergebnis-Qualitätsrahmen gemappt. Patient und Public Involvement mit vier Community-Partnern laufend. Ziel: umsetzungsorientiertes, primär-versorgungsgerechtes Indikator-Set für Mehrfacherkrankungen.</w:t>
      </w:r>
    </w:p>
    <w:p>
      <w:r>
        <w:rPr>
          <w:b/>
          <w:sz w:val="19"/>
        </w:rPr>
        <w:t xml:space="preserve">Übertragbarkeit: </w:t>
      </w:r>
      <w:r>
        <w:rPr>
          <w:sz w:val="19"/>
        </w:rPr>
        <w:t>Großbritannien/NHS, vergleichbarer Versorgungsauftrag und Gate-Keeper-Modell</w:t>
      </w:r>
    </w:p>
    <w:p>
      <w:r>
        <w:rPr>
          <w:color w:val="5A7D3A"/>
          <w:sz w:val="18"/>
        </w:rPr>
        <w:t>https://pubmed.ncbi.nlm.nih.gov/42567680/</w:t>
      </w:r>
    </w:p>
    <w:p>
      <w:pPr>
        <w:pStyle w:val="Heading2"/>
      </w:pPr>
      <w:r>
        <w:t>Migranten-Jugendliche zeigen hohe Mehrfacherkrankung; unbegleitete haben 4-fach erhöhtes Trauma-Risiko</w:t>
      </w:r>
    </w:p>
    <w:p>
      <w:r>
        <w:rPr>
          <w:i/>
          <w:color w:val="666666"/>
          <w:sz w:val="18"/>
        </w:rPr>
        <w:t>Ngom L et al.  ·  J Adolesc Health  ·  04.08.2026  ·  PMID 42554533</w:t>
      </w:r>
    </w:p>
    <w:p>
      <w:r>
        <w:t>Observationskohort von 384 Migranten-Jugendlichen (10–17 J., Ankunft &lt;5 Jahre) in Marseille 2019–2024, die multimorbidität (CIRS) und psychisches Trauma-Risiko (Protect) misst.</w:t>
      </w:r>
    </w:p>
    <w:p>
      <w:r>
        <w:rPr>
          <w:b/>
        </w:rPr>
        <w:t xml:space="preserve">Ergebnis: </w:t>
      </w:r>
      <w:r>
        <w:t>Mittleres CIRS 3,98; 35,4 % hatten ≥3 Organ-System-Beeinträchtigungen. Häufigste: HNO/Zähne (48,7%), Muskel-Skelett (46,4%), psychische Störungen (25,3%). Multimorbidität assoziiert mit chronischer Vorgeschichte vor Migration (adj. OR 1,40; p&lt;0,0005) und während Migration (adj. OR 1,94; p=0,005). Trauma-Risiko erhöht bei unbegleiteten Jugendlichen (adj. OR 4,27; p&lt;0,05) und höherer physischer Morbidität (OR 1,18; p&lt;0,05). ED-Besuche sanken während und nach Versorgung im Unit. Vulnerable Population erfordert umfassenden Versorgungspfad.</w:t>
      </w:r>
    </w:p>
    <w:p>
      <w:r>
        <w:rPr>
          <w:b/>
          <w:sz w:val="19"/>
        </w:rPr>
        <w:t xml:space="preserve">Übertragbarkeit: </w:t>
      </w:r>
      <w:r>
        <w:rPr>
          <w:sz w:val="19"/>
        </w:rPr>
        <w:t>Frankreich, vergleichbare EU-Versorgungsstruktur; Übertragbarkeit hängt an kultursensibler Ausgestaltung</w:t>
      </w:r>
    </w:p>
    <w:p>
      <w:r>
        <w:rPr>
          <w:color w:val="5A7D3A"/>
          <w:sz w:val="18"/>
        </w:rPr>
        <w:t>https://pubmed.ncbi.nlm.nih.gov/42554533/</w:t>
      </w:r>
    </w:p>
    <w:p>
      <w:pPr>
        <w:pStyle w:val="Heading2"/>
      </w:pPr>
      <w:r>
        <w:t>Aktualisierte CIDP-Leitlinie (2021) zeigt höhere Spezifität, aber niedrigere Sensitivität</w:t>
      </w:r>
    </w:p>
    <w:p>
      <w:r>
        <w:rPr>
          <w:i/>
          <w:color w:val="666666"/>
          <w:sz w:val="18"/>
        </w:rPr>
        <w:t>van Doorn IN et al.  ·  Eur J Neurol  ·  Aug. 2026  ·  PMID 42549490</w:t>
      </w:r>
    </w:p>
    <w:p>
      <w:r>
        <w:t>Vergleich der diagnostischen Genauigkeit der 2010 EFNS/PNS und der 2021 EAN/PNS Richtlinien für CIDP anhand von 339 Patienten und 339 Kontrollen mit vermuteter chronischer Neuropathie.</w:t>
      </w:r>
    </w:p>
    <w:p>
      <w:r>
        <w:rPr>
          <w:b/>
        </w:rPr>
        <w:t xml:space="preserve">Ergebnis: </w:t>
      </w:r>
      <w:r>
        <w:t>Die 2010-Richtlinie erzielte 92 % Sensitivität und 67 % Spezifität (möglich CIDP) bzw. 91 % und 78 % (wahrscheinlich/definit). Die 2021-Richtlinie zeigte 94 % Sensitivität und 66 % Spezifität (möglich) bzw. 83 % und 86 % (CIDP). Unterschiede entstanden durch geänderte Sensory-Kriterien und Leitfähigkeits-Schwellwerte. Unilaterale NCS hätte 77 mögliche CIDP-Diagnosen übersehen.</w:t>
      </w:r>
    </w:p>
    <w:p>
      <w:r>
        <w:rPr>
          <w:b/>
          <w:sz w:val="19"/>
        </w:rPr>
        <w:t xml:space="preserve">Übertragbarkeit: </w:t>
      </w:r>
      <w:r>
        <w:rPr>
          <w:sz w:val="19"/>
        </w:rPr>
        <w:t>Niederlande, europäische Versorgungsstandards und Leitlinienimplement ierung</w:t>
      </w:r>
    </w:p>
    <w:p>
      <w:r>
        <w:rPr>
          <w:color w:val="5A7D3A"/>
          <w:sz w:val="18"/>
        </w:rPr>
        <w:t>https://pubmed.ncbi.nlm.nih.gov/42549490/</w:t>
      </w:r>
    </w:p>
    <w:p>
      <w:pPr>
        <w:pStyle w:val="Heading2"/>
      </w:pPr>
      <w:r>
        <w:t>HDV-Infektionen schwächen Lebensqualität und Fatigue mit Krankheitsprogress massiv</w:t>
      </w:r>
    </w:p>
    <w:p>
      <w:r>
        <w:rPr>
          <w:i/>
          <w:color w:val="666666"/>
          <w:sz w:val="18"/>
        </w:rPr>
        <w:t>Lampertico P et al.  ·  J Viral Hepat  ·  Sept. 2026  ·  PMID 42538645</w:t>
      </w:r>
    </w:p>
    <w:p>
      <w:r>
        <w:t>Internationale Real-World-Querschnittstudie (Deutschland, Italien, Spanien, USA) zu Lebensqualität (EQ-5D-3L, HepQoL v2) und Fatigue (FSS) in verschiedenen HDV-Erkrankungsstadien bei 211 Patienten.</w:t>
      </w:r>
    </w:p>
    <w:p>
      <w:r>
        <w:rPr>
          <w:b/>
        </w:rPr>
        <w:t xml:space="preserve">Ergebnis: </w:t>
      </w:r>
      <w:r>
        <w:t>EQ-5D-VAS-Scores sanken mit höherer Krankheitsschwere signifikant (p&lt;0,0001): von kompensiert zu dekompensiert zu HCC zeigte kontinuierliche Verschlechterung. Alle HepQoL-Domänen verschlechterten sich mit Progression (p≤0,0001). Mittlere FSS-Scores stiegen mit Krankheitsschwere (p&lt;0,0001). HDV belastet Patienten massiv, besonders in fortgeschrittenen Stadien; Therapien zur Krankheitsverzögerung sind dringend erforderlich.</w:t>
      </w:r>
    </w:p>
    <w:p>
      <w:r>
        <w:rPr>
          <w:b/>
          <w:sz w:val="19"/>
        </w:rPr>
        <w:t xml:space="preserve">Übertragbarkeit: </w:t>
      </w:r>
      <w:r>
        <w:rPr>
          <w:sz w:val="19"/>
        </w:rPr>
        <w:t>Deutschland/Italien/Spanien, vergleichbare Sozialversicherungssysteme und Versorgungsstrukturen</w:t>
      </w:r>
    </w:p>
    <w:p>
      <w:r>
        <w:rPr>
          <w:color w:val="5A7D3A"/>
          <w:sz w:val="18"/>
        </w:rPr>
        <w:t>https://pubmed.ncbi.nlm.nih.gov/42538645/</w:t>
      </w:r>
    </w:p>
    <w:p>
      <w:pPr>
        <w:pStyle w:val="Heading1"/>
      </w:pPr>
      <w:r>
        <w:t>Aufgenommen am 01.09.2026</w:t>
      </w:r>
    </w:p>
    <w:p>
      <w:pPr>
        <w:pStyle w:val="Heading2"/>
      </w:pPr>
      <w:r>
        <w:t>ICS/LAMA/LABA senkte kardiovaskuläre Ereignisse bei COPD um 52 % gegenüber LAMA/LABA</w:t>
      </w:r>
    </w:p>
    <w:p>
      <w:r>
        <w:rPr>
          <w:i/>
          <w:color w:val="666666"/>
          <w:sz w:val="18"/>
        </w:rPr>
        <w:t>Wang YQ et al.  ·  Int J Chron Obstruct Pulmon Dis  ·  26.08.2026  ·  PMID 42670477</w:t>
      </w:r>
    </w:p>
    <w:p>
      <w:r>
        <w:t>Retrospektive Kohortenstudie mit deutschen Krankenkassendaten untersuchte, ob Triple-Therapie (ICS/LAMA/LABA) gegenüber Doppel-Therapie (LAMA/LABA) bei COPD-Patienten major adverse cardiovascular events (MACEs) reduziert.</w:t>
      </w:r>
    </w:p>
    <w:p>
      <w:r>
        <w:rPr>
          <w:b/>
        </w:rPr>
        <w:t xml:space="preserve">Ergebnis: </w:t>
      </w:r>
      <w:r>
        <w:t>Über 20,5 Monate: 102 MACEs insgesamt (19,2 %); LAMA/LABA 22 % vs. ICS/LAMA/LABA 17 % (adjustierte HR 0,481; 95%-KI 0,302–0,766; p=0,002). Bei hohem kardiovaskulärem Risiko war die Risikoreduktion noch stärker (HR 0,435; p&lt;0,001). Das Ergebnis unterstreicht den kardioprotektiven Zusatzeffekt von ICS in der Erhaltungstherapie.</w:t>
      </w:r>
    </w:p>
    <w:p>
      <w:r>
        <w:rPr>
          <w:b/>
          <w:sz w:val="19"/>
        </w:rPr>
        <w:t xml:space="preserve">Übertragbarkeit: </w:t>
      </w:r>
      <w:r>
        <w:rPr>
          <w:sz w:val="19"/>
        </w:rPr>
        <w:t>Deutsche Routinedaten, Versicherungssystem und COPD-Patient:innen vergleichbar mit Gesundheitssystem</w:t>
      </w:r>
    </w:p>
    <w:p>
      <w:r>
        <w:rPr>
          <w:color w:val="5A7D3A"/>
          <w:sz w:val="18"/>
        </w:rPr>
        <w:t>https://pubmed.ncbi.nlm.nih.gov/42670477/</w:t>
      </w:r>
    </w:p>
    <w:p>
      <w:pPr>
        <w:pStyle w:val="Heading2"/>
      </w:pPr>
      <w:r>
        <w:t>GLP-1-Rezeptoragonisten senken kardiovaskuläre Ereignisse bei Dialysepatienten mit Herzinsuffizienz um 28 %</w:t>
      </w:r>
    </w:p>
    <w:p>
      <w:r>
        <w:rPr>
          <w:i/>
          <w:color w:val="666666"/>
          <w:sz w:val="18"/>
        </w:rPr>
        <w:t>Liu PY et al.  ·  Nat Commun  ·  30.07.2026  ·  PMID 42669711</w:t>
      </w:r>
    </w:p>
    <w:p>
      <w:r>
        <w:t>Emulierte Zielstudie mit US-amerikanischem elektronischem Gesundheitsaktenverbund (TriNetX) verglich GLP-1-Rezeptoragonisten (GLP-1RA) versus DPP-4-Inhibitoren (DPP-4i) bei dialysepflichtigen Diabetespatienten mit Herzinsuffizienz hinsichtlich ischämischer kardiovaskulärer Ereignisse und Herzinsuffizienzexazerbationen.</w:t>
      </w:r>
    </w:p>
    <w:p>
      <w:r>
        <w:rPr>
          <w:b/>
        </w:rPr>
        <w:t xml:space="preserve">Ergebnis: </w:t>
      </w:r>
      <w:r>
        <w:t>GLP-1RA vs. DPP-4i: Primärer kombinierter Outcome (ischämische Events + HF-Exazerbationen) 31,7 % vs. 41,4 % (HR 0,72; 95%-KI 0,64–0,82; p&lt;0,0001). Konsistente Reduktionen bei ischämischen Events (HR 0,74), HF-Exazerbationen (HR 0,76), Gesamtmortalität (HR 0,68). Ergebnis in Sensitivitätsanalysen und Subgruppen stabil.</w:t>
      </w:r>
    </w:p>
    <w:p>
      <w:r>
        <w:rPr>
          <w:b/>
          <w:sz w:val="19"/>
        </w:rPr>
        <w:t xml:space="preserve">Übertragbarkeit: </w:t>
      </w:r>
      <w:r>
        <w:rPr>
          <w:sz w:val="19"/>
        </w:rPr>
        <w:t>USA-Daten aus elektronischen Akten; Übertragbarkeit auf Deutschland begrenzt durch andere Versorgungsstrukturen</w:t>
      </w:r>
    </w:p>
    <w:p>
      <w:r>
        <w:rPr>
          <w:color w:val="5A7D3A"/>
          <w:sz w:val="18"/>
        </w:rPr>
        <w:t>https://pubmed.ncbi.nlm.nih.gov/42669711/</w:t>
      </w:r>
    </w:p>
    <w:p>
      <w:pPr>
        <w:pStyle w:val="Heading2"/>
      </w:pPr>
      <w:r>
        <w:t>FGF-23 als Prognosemarker für CKD-Progression und kardiovaskuläre Ereignisse validiert</w:t>
      </w:r>
    </w:p>
    <w:p>
      <w:r>
        <w:rPr>
          <w:i/>
          <w:color w:val="666666"/>
          <w:sz w:val="18"/>
        </w:rPr>
        <w:t>Hsu JW et al.  ·  PeerJ  ·  24.08.2026  ·  PMID 42668972</w:t>
      </w:r>
    </w:p>
    <w:p>
      <w:r>
        <w:t>Systematische Übersichtsarbeit und Metaanalyse von 12 prospektiven Kohortenstudien (21.042 Patienten mit CKD Stadium 1–5) untersuchte die Vorhersagekraft von Fibroblast-Growth-Factor-23 (FGF-23) für Nierenfunktionsverschlechterung, Nierenversagen, kardiovaskuläre Ereignisse und Sterblichkeit.</w:t>
      </w:r>
    </w:p>
    <w:p>
      <w:r>
        <w:rPr>
          <w:b/>
        </w:rPr>
        <w:t xml:space="preserve">Ergebnis: </w:t>
      </w:r>
      <w:r>
        <w:t>Erhöhte FGF-23-Spiegel assoziiert mit eGFR-Rückgang (Mittelwertdifferenz −17,83 mL/min/1,73m²). Bei leichter bis mittelschwerer CKD: Jede 10 RU/mL FGF-23-Steigerung erhöhte Nierenversagensrisiko um 1,7 % (HR 1,01; 95%-KI 1,01–1,02). Bei fortgeschrittener CKD (höchstes vs. niedrigstes Quartil): 2,32-fach erhöhtes Nierenversagensrisiko (95%-KI 1,80–2,98). Kardiovaskuläre Events (HR 1,72), Herzinsuffizienz (HR 2,14), Gesamtmortalität (HR 1,61) signifikant erhöht.</w:t>
      </w:r>
    </w:p>
    <w:p>
      <w:r>
        <w:rPr>
          <w:b/>
          <w:sz w:val="19"/>
        </w:rPr>
        <w:t xml:space="preserve">Übertragbarkeit: </w:t>
      </w:r>
      <w:r>
        <w:rPr>
          <w:sz w:val="19"/>
        </w:rPr>
        <w:t>Metaanalyse mit internationalen Studien; Biomarker-Stratifizierung ist international anwendbar</w:t>
      </w:r>
    </w:p>
    <w:p>
      <w:r>
        <w:rPr>
          <w:color w:val="5A7D3A"/>
          <w:sz w:val="18"/>
        </w:rPr>
        <w:t>https://pubmed.ncbi.nlm.nih.gov/42668972/</w:t>
      </w:r>
    </w:p>
    <w:p>
      <w:pPr>
        <w:pStyle w:val="Heading2"/>
      </w:pPr>
      <w:r>
        <w:t>Bessere Schlafqualität assoziiert mit 36 % weniger Müdigkeit bei Hämodialysepatienten</w:t>
      </w:r>
    </w:p>
    <w:p>
      <w:r>
        <w:rPr>
          <w:i/>
          <w:color w:val="666666"/>
          <w:sz w:val="18"/>
        </w:rPr>
        <w:t>Chen G et al.  ·  Sleep Breath  ·  29.08.2026  ·  PMID 42667469</w:t>
      </w:r>
    </w:p>
    <w:p>
      <w:r>
        <w:t>Querschnittstudie bei 249 Hämodialysepatienten in China untersuchte die Assoziation multidimensionaler Schlafgesundheit (RU_SATED 2.0) mit Müdigkeit (Fatigue Scale-14) unter Adjustierung für Alter, Lebensstil und laborchemische Marker.</w:t>
      </w:r>
    </w:p>
    <w:p>
      <w:r>
        <w:rPr>
          <w:b/>
        </w:rPr>
        <w:t xml:space="preserve">Ergebnis: </w:t>
      </w:r>
      <w:r>
        <w:t>Multidimensionale Schlafgesundheit signifikant assoziiert mit Gesamtmüdigkeit (B = −0,36; 95%-KI −0,50 bis −0,21; p&lt;0,001), körperliche Müdigkeit (B = −0,22; p&lt;0,001), mentale Müdigkeit (B = −0,13; p&lt;0,001). Altersmoderation signifikant (B = 0,02; p=0,017). Bessere Schlafgesundheit war mit niedrigeren Müdigkeitswerten assoziiert; älter Patienten zeigten schwächere Assoziationen.</w:t>
      </w:r>
    </w:p>
    <w:p>
      <w:r>
        <w:rPr>
          <w:b/>
          <w:sz w:val="19"/>
        </w:rPr>
        <w:t xml:space="preserve">Übertragbarkeit: </w:t>
      </w:r>
      <w:r>
        <w:rPr>
          <w:sz w:val="19"/>
        </w:rPr>
        <w:t>China-Daten; Schlaf-Müdigkeit-Assoziation dialysepflicht-spezifisch, international relevant für Patient:innen-zentierte Ergebnisse</w:t>
      </w:r>
    </w:p>
    <w:p>
      <w:r>
        <w:rPr>
          <w:color w:val="5A7D3A"/>
          <w:sz w:val="18"/>
        </w:rPr>
        <w:t>https://pubmed.ncbi.nlm.nih.gov/42667469/</w:t>
      </w:r>
    </w:p>
    <w:p>
      <w:pPr>
        <w:pStyle w:val="Heading2"/>
      </w:pPr>
      <w:r>
        <w:t>Pharmakogenetisches Tacrolimus-Dosierungsmanagement bei Nierenhochrisikopatienten im Spanienverfügbar (TRANSPGx-Studie)</w:t>
      </w:r>
    </w:p>
    <w:p>
      <w:r>
        <w:rPr>
          <w:i/>
          <w:color w:val="666666"/>
          <w:sz w:val="18"/>
        </w:rPr>
        <w:t>Seco-Meseguer E et al.  ·  BMJ Open  ·  03.08.2026  ·  PMID 42547238</w:t>
      </w:r>
    </w:p>
    <w:p>
      <w:r>
        <w:t>Multizentrisches, adaptives Phase-IV-Protokoll in Spanien prüft, ob präemptive Genotypisierung für Tacrolimus-Dosierung versus Standardversorgung bei Patienten mit chronischer Nierenerkrankung vor Nierentransplantation die Erreichung von Tacrolimus-Zielplasmakonzentrationen verbessert.</w:t>
      </w:r>
    </w:p>
    <w:p>
      <w:r>
        <w:rPr>
          <w:b/>
        </w:rPr>
        <w:t xml:space="preserve">Ergebnis: </w:t>
      </w:r>
      <w:r>
        <w:t>Laufendes RCT mit Zielgröße 114 Patienten; Primärer Endpunkt: Erreichen von Tacrolimus-Zielkonzentrationen nach Transplantation. Rekrutierung geplant über 12 Monate mit 6-monatiger Nachverfolgung. Studie ist ethisch genehmigt (La Paz 2024.740) und registriert (EU CT 2024-516596-32-00).</w:t>
      </w:r>
    </w:p>
    <w:p>
      <w:r>
        <w:rPr>
          <w:b/>
          <w:sz w:val="19"/>
        </w:rPr>
        <w:t xml:space="preserve">Übertragbarkeit: </w:t>
      </w:r>
      <w:r>
        <w:rPr>
          <w:sz w:val="19"/>
        </w:rPr>
        <w:t>Spanisches Gesundheitssystem, vergleichbar mit Deutschland in Koordination und sozialer Krankenversicherung</w:t>
      </w:r>
    </w:p>
    <w:p>
      <w:r>
        <w:rPr>
          <w:color w:val="5A7D3A"/>
          <w:sz w:val="18"/>
        </w:rPr>
        <w:t>https://pubmed.ncbi.nlm.nih.gov/42547238/</w:t>
      </w:r>
    </w:p>
    <w:p>
      <w:pPr>
        <w:pStyle w:val="Heading2"/>
      </w:pPr>
      <w:r>
        <w:t>ME/CFS zeigt geschlechtsspezifische Unterschiede in Immun- und Darmsymptomen, Menopause moduliert Immunantwort</w:t>
      </w:r>
    </w:p>
    <w:p>
      <w:r>
        <w:rPr>
          <w:i/>
          <w:color w:val="666666"/>
          <w:sz w:val="18"/>
        </w:rPr>
        <w:t>Habermann-Horstmeier L et al.  ·  J Transl Med  ·  27.07.2026  ·  PMID 42522006</w:t>
      </w:r>
    </w:p>
    <w:p>
      <w:r>
        <w:t>Querschnittsstudie mit 748 Erwachsenen (608 Frauen, 137 Männer) mit medizinischer ME/CFS-Diagnose untersuchte mittels Faktorenanalyse und Strukturgleichungsmodellierung die Latentstruktur von Immun- und Darmsymptomen nach Geschlecht und Menopausenstatus.</w:t>
      </w:r>
    </w:p>
    <w:p>
      <w:r>
        <w:rPr>
          <w:b/>
        </w:rPr>
        <w:t xml:space="preserve">Ergebnis: </w:t>
      </w:r>
      <w:r>
        <w:t>Frauen: Immun- und Darmsymptome bilden zwei distinkte aber korrelierte Cluster (tetrachorische ρ = 0,47–0,60), EFA unterstützt Zwei-Faktor-Lösung. Männer: Alle vier Symptome laden auf einen integrierten Gut/Immun-Faktor (ρ = 0,43–0,68; one-factor-Modell CFI = 0,981, RMSEA = 0,074). Frauen: Prämenopausale berichten häufiger Grippesymptome als postmenopausale (Unterschied signifikant); Darmsymptome und Lebensmittelintoleranzen bleiben stabil. Empfinden von Infektionsanfälligkeit dominantester Prädiktor.</w:t>
      </w:r>
    </w:p>
    <w:p>
      <w:r>
        <w:rPr>
          <w:b/>
          <w:sz w:val="19"/>
        </w:rPr>
        <w:t xml:space="preserve">Übertragbarkeit: </w:t>
      </w:r>
      <w:r>
        <w:rPr>
          <w:sz w:val="19"/>
        </w:rPr>
        <w:t>Deutsche und internationale Patient:innen; Geschlechtsabhängige Phänotypisierung relevant für ME/CFS-Management</w:t>
      </w:r>
    </w:p>
    <w:p>
      <w:r>
        <w:rPr>
          <w:color w:val="5A7D3A"/>
          <w:sz w:val="18"/>
        </w:rPr>
        <w:t>https://pubmed.ncbi.nlm.nih.gov/42522006/</w:t>
      </w:r>
    </w:p>
    <w:p>
      <w:pPr>
        <w:pStyle w:val="Heading1"/>
      </w:pPr>
      <w:r>
        <w:t>Aufgenommen am 31.08.2026</w:t>
      </w:r>
    </w:p>
    <w:p>
      <w:pPr>
        <w:pStyle w:val="Heading2"/>
      </w:pPr>
      <w:r>
        <w:t>Inhalationstechnik bei COPD: 96% der Patienten könnten DPIs nutzen</w:t>
      </w:r>
    </w:p>
    <w:p>
      <w:r>
        <w:rPr>
          <w:i/>
          <w:color w:val="666666"/>
          <w:sz w:val="18"/>
        </w:rPr>
        <w:t>Bravo Quiroga L et al.  ·  Int J Chron Obstruct Pulmon Dis  ·  25.08.2026  ·  PMID 42668822</w:t>
      </w:r>
    </w:p>
    <w:p>
      <w:r>
        <w:t>Querschnittstudie an 273 stabilen COPD-Patienten mit pMDI+Spacer in 70 spanischen Zentren zur Messung der Inspirationskraft und Eignung für Pulvertrockner.</w:t>
      </w:r>
    </w:p>
    <w:p>
      <w:r>
        <w:rPr>
          <w:b/>
        </w:rPr>
        <w:t xml:space="preserve">Ergebnis: </w:t>
      </w:r>
      <w:r>
        <w:t>96% erreichten PIF ≥30 L/min bei mittlerer-hoher Resistance, 61,9% ≥60 L/min. Unvollständige Exhalation hatte nur begrenzte Auswirkungen. Spacer-Verschreibung erfolgte selten auf Basis objektiver PIF-Messung.</w:t>
      </w:r>
    </w:p>
    <w:p>
      <w:r>
        <w:rPr>
          <w:b/>
          <w:sz w:val="19"/>
        </w:rPr>
        <w:t xml:space="preserve">Übertragbarkeit: </w:t>
      </w:r>
      <w:r>
        <w:rPr>
          <w:sz w:val="19"/>
        </w:rPr>
        <w:t>Spanien, vergleichbares Gesundheitssystem, direkt anwendbar für deutsche COPD-Versorgung.</w:t>
      </w:r>
    </w:p>
    <w:p>
      <w:r>
        <w:rPr>
          <w:color w:val="5A7D3A"/>
          <w:sz w:val="18"/>
        </w:rPr>
        <w:t>https://pubmed.ncbi.nlm.nih.gov/42668822/</w:t>
      </w:r>
    </w:p>
    <w:p>
      <w:pPr>
        <w:pStyle w:val="Heading2"/>
      </w:pPr>
      <w:r>
        <w:t>Soziales Kapital und Selbstwirksamkeit verbessern Lebensqualität älterer chronisch Kranker</w:t>
      </w:r>
    </w:p>
    <w:p>
      <w:r>
        <w:rPr>
          <w:i/>
          <w:color w:val="666666"/>
          <w:sz w:val="18"/>
        </w:rPr>
        <w:t>Wang Y et al.  ·  Front Public Health  ·  21.08.2026  ·  PMID 42666637</w:t>
      </w:r>
    </w:p>
    <w:p>
      <w:r>
        <w:t>Latente Profilanalyse an 425 ländlichen älteren Erwachsenen mit chronischen Erkrankungen (Ningxia, China) zu Effekt von Sozialkapital auf Lebensqualität via Selbstwirksamkeit.</w:t>
      </w:r>
    </w:p>
    <w:p>
      <w:r>
        <w:rPr>
          <w:b/>
        </w:rPr>
        <w:t xml:space="preserve">Ergebnis: </w:t>
      </w:r>
      <w:r>
        <w:t>Drei Profile: niedrig (29,9%), moderat (49,4%), hoch (20,7%). Lebensqualität und Selbstwirksamkeit unterschieden sich signifikant (p&lt;0,001). Indirekter Effekt via Selbstwirksamkeit nur im hohen Profil signifikant (21,2% des Gesamteffekts), nicht im moderaten.</w:t>
      </w:r>
    </w:p>
    <w:p>
      <w:r>
        <w:rPr>
          <w:b/>
          <w:sz w:val="19"/>
        </w:rPr>
        <w:t xml:space="preserve">Übertragbarkeit: </w:t>
      </w:r>
      <w:r>
        <w:rPr>
          <w:sz w:val="19"/>
        </w:rPr>
        <w:t>China, aber Mehrfacherkrankung und psycho-soziale Mechanismen generalisierbar auf deutsche vulnerable Populationen.</w:t>
      </w:r>
    </w:p>
    <w:p>
      <w:r>
        <w:rPr>
          <w:color w:val="5A7D3A"/>
          <w:sz w:val="18"/>
        </w:rPr>
        <w:t>https://pubmed.ncbi.nlm.nih.gov/42666637/</w:t>
      </w:r>
    </w:p>
    <w:p>
      <w:pPr>
        <w:pStyle w:val="Heading2"/>
      </w:pPr>
      <w:r>
        <w:t>Kombinierte Inflammations- und Adipositäts-Indizes zeigen erhöhtes Multimorbidität-Risiko</w:t>
      </w:r>
    </w:p>
    <w:p>
      <w:r>
        <w:rPr>
          <w:i/>
          <w:color w:val="666666"/>
          <w:sz w:val="18"/>
        </w:rPr>
        <w:t>Chen J et al.  ·  Cardiovasc Diabetol  ·  26.08.2026  ·  PMID 42665793</w:t>
      </w:r>
    </w:p>
    <w:p>
      <w:r>
        <w:t>Prospektive Kohorte (n=6534, China Health and Retirement Longitudinal Study) zu Assoziation von CTI-Adipositäts-Indizes mit kardiovaskulär-hepatischen-metabolischen Multimorbidität über 4 Jahre.</w:t>
      </w:r>
    </w:p>
    <w:p>
      <w:r>
        <w:rPr>
          <w:b/>
        </w:rPr>
        <w:t xml:space="preserve">Ergebnis: </w:t>
      </w:r>
      <w:r>
        <w:t>CTI-BMI zeigte stärkste Assoziation (OR 3,46 in Quartil 4, p&lt;0,001), aber nur modest Diskriminationsfähigkeit (AUC 0,638). Effekt modifiziert durch Geschlecht und Raucherstatus, keine signifikante Interaktion zwischen CTI und BMI.</w:t>
      </w:r>
    </w:p>
    <w:p>
      <w:r>
        <w:rPr>
          <w:b/>
          <w:sz w:val="19"/>
        </w:rPr>
        <w:t xml:space="preserve">Übertragbarkeit: </w:t>
      </w:r>
      <w:r>
        <w:rPr>
          <w:sz w:val="19"/>
        </w:rPr>
        <w:t>China, aber Multimorbidität-Fokus und Methodologie relevant für deutsches Versorgungssetting mit mehreren Erkrankungen.</w:t>
      </w:r>
    </w:p>
    <w:p>
      <w:r>
        <w:rPr>
          <w:color w:val="5A7D3A"/>
          <w:sz w:val="18"/>
        </w:rPr>
        <w:t>https://pubmed.ncbi.nlm.nih.gov/42665793/</w:t>
      </w:r>
    </w:p>
    <w:p>
      <w:pPr>
        <w:pStyle w:val="Heading2"/>
      </w:pPr>
      <w:r>
        <w:t>CKD-assoziierter Pruritus bei 60,3% der Dialysepatienten, wenig Behandlung</w:t>
      </w:r>
    </w:p>
    <w:p>
      <w:r>
        <w:rPr>
          <w:i/>
          <w:color w:val="666666"/>
          <w:sz w:val="18"/>
        </w:rPr>
        <w:t>Yao X et al.  ·  Ren Fail  ·  27.08.2026  ·  PMID 42661327</w:t>
      </w:r>
    </w:p>
    <w:p>
      <w:r>
        <w:t>Multizentrisches Cross-sectional-Screening an 9.589 chinesischen Dialysepatienten (Mai–Dezember 2022) zur Prävalenz und Risikofaktoren von CKD-Pruritus.</w:t>
      </w:r>
    </w:p>
    <w:p>
      <w:r>
        <w:rPr>
          <w:b/>
        </w:rPr>
        <w:t xml:space="preserve">Ergebnis: </w:t>
      </w:r>
      <w:r>
        <w:t>Pruritus-Prävalenz 60,3% (mild 44,4%, moderat 12,5%, schwer 3,3%), HD vs. PD ähnlich (59,9% vs. 61,8%). Nur 2,9% erhielten potenziell wirksame Therapie (Gabapentinoide 2,8%). Assoziierte Faktoren: Rauchen, diabetische Nephropathie, kardiovaskuläre Erkrankung, Dialysedauer, Eosinophile, Kalzium, Phosphor.</w:t>
      </w:r>
    </w:p>
    <w:p>
      <w:r>
        <w:rPr>
          <w:b/>
          <w:sz w:val="19"/>
        </w:rPr>
        <w:t xml:space="preserve">Übertragbarkeit: </w:t>
      </w:r>
      <w:r>
        <w:rPr>
          <w:sz w:val="19"/>
        </w:rPr>
        <w:t>China, aber großes Problem auch in Deutschland; Versorgungsqualität und Symptommanagement messbar.</w:t>
      </w:r>
    </w:p>
    <w:p>
      <w:r>
        <w:rPr>
          <w:color w:val="5A7D3A"/>
          <w:sz w:val="18"/>
        </w:rPr>
        <w:t>https://pubmed.ncbi.nlm.nih.gov/42661327/</w:t>
      </w:r>
    </w:p>
    <w:p>
      <w:pPr>
        <w:pStyle w:val="Heading2"/>
      </w:pPr>
      <w:r>
        <w:t>Rauchen vor Alter 24 verdoppelt COPD-Risiko und Multimorbidität</w:t>
      </w:r>
    </w:p>
    <w:p>
      <w:r>
        <w:rPr>
          <w:i/>
          <w:color w:val="666666"/>
          <w:sz w:val="18"/>
        </w:rPr>
        <w:t>Liu Z et al.  ·  J Glob Health  ·  28.08.2026  ·  PMID 42659031</w:t>
      </w:r>
    </w:p>
    <w:p>
      <w:r>
        <w:t>Analyse von 15.077 US-Teilnehmern und zwei UK Biobank-Kohorten (n=258.380) zu Effekt des Rauchbeginns während Alveolus-Reifung (≤24 Jahre) auf Cardiopulmonal-Erkrankung.</w:t>
      </w:r>
    </w:p>
    <w:p>
      <w:r>
        <w:rPr>
          <w:b/>
        </w:rPr>
        <w:t xml:space="preserve">Ergebnis: </w:t>
      </w:r>
      <w:r>
        <w:t>Frühe Raucher mit hohem Konsum: COPD HR 3,45 (95% KI 3,29–3,62) vs. spät Raucher 2,33 (1,91–2,83, p&lt;0,001). Multimorbidität-freie Wahrscheinlichkeit 0,55 vs. 0,65. Rauchentwöhnung zeigte stärkere relative Risikoreduktion bei frühen Rauchern.</w:t>
      </w:r>
    </w:p>
    <w:p>
      <w:r>
        <w:rPr>
          <w:b/>
          <w:sz w:val="19"/>
        </w:rPr>
        <w:t xml:space="preserve">Übertragbarkeit: </w:t>
      </w:r>
      <w:r>
        <w:rPr>
          <w:sz w:val="19"/>
        </w:rPr>
        <w:t>USA und UK, Präventions-fokussiert; Altersabhängigkeit relevant für deutsches Screening und Aufklärung.</w:t>
      </w:r>
    </w:p>
    <w:p>
      <w:r>
        <w:rPr>
          <w:color w:val="5A7D3A"/>
          <w:sz w:val="18"/>
        </w:rPr>
        <w:t>https://pubmed.ncbi.nlm.nih.gov/42659031/</w:t>
      </w:r>
    </w:p>
    <w:p>
      <w:pPr>
        <w:pStyle w:val="Heading2"/>
      </w:pPr>
      <w:r>
        <w:t>Neue Risikogene für Emphysem in Rauchern identifiziert</w:t>
      </w:r>
    </w:p>
    <w:p>
      <w:r>
        <w:rPr>
          <w:i/>
          <w:color w:val="666666"/>
          <w:sz w:val="18"/>
        </w:rPr>
        <w:t>Nyberg F et al.  ·  Respir Res  ·  08.08.2026  ·  PMID 42634071</w:t>
      </w:r>
    </w:p>
    <w:p>
      <w:r>
        <w:t>Genomweite Assoziationsstudie an 25.639 schwedischen Erwachsenen zur Identifikation genetischer Faktoren für Emphysem.</w:t>
      </w:r>
    </w:p>
    <w:p>
      <w:r>
        <w:rPr>
          <w:b/>
        </w:rPr>
        <w:t xml:space="preserve">Ergebnis: </w:t>
      </w:r>
      <w:r>
        <w:t>Bei Rauchern wurden drei unabhängige genetische Loci identifiziert (CHRNA5-A3-B4, DYSF, Chromosom 3), bei Nichtrauchern trotz großer Stichprobe keine Signale (niedriges Emphysemprävalenz 2,0% vs. 18,2% bei aktiven Rauchern).</w:t>
      </w:r>
    </w:p>
    <w:p>
      <w:r>
        <w:rPr>
          <w:b/>
          <w:sz w:val="19"/>
        </w:rPr>
        <w:t xml:space="preserve">Übertragbarkeit: </w:t>
      </w:r>
      <w:r>
        <w:rPr>
          <w:sz w:val="19"/>
        </w:rPr>
        <w:t>Schweden, populationsbasierte Studie, vergleichbar mit deutschem Versorgungskontext für Risikoidentifikation.</w:t>
      </w:r>
    </w:p>
    <w:p>
      <w:r>
        <w:rPr>
          <w:color w:val="5A7D3A"/>
          <w:sz w:val="18"/>
        </w:rPr>
        <w:t>https://pubmed.ncbi.nlm.nih.gov/42634071/</w:t>
      </w:r>
    </w:p>
    <w:p>
      <w:pPr>
        <w:pStyle w:val="Heading1"/>
      </w:pPr>
      <w:r>
        <w:t>Aufgenommen am 30.08.2026</w:t>
      </w:r>
    </w:p>
    <w:p>
      <w:pPr>
        <w:pStyle w:val="Heading2"/>
      </w:pPr>
      <w:r>
        <w:t>Eosinophil-gesteuerte COPD-Therapie: Guideline-Adherence fehlt bei 86% der Patienten</w:t>
      </w:r>
    </w:p>
    <w:p>
      <w:r>
        <w:rPr>
          <w:i/>
          <w:color w:val="666666"/>
          <w:sz w:val="18"/>
        </w:rPr>
        <w:t>Hester J et al.  ·  Lung  ·  29.08.2026  ·  PMID 42667442</w:t>
      </w:r>
    </w:p>
    <w:p>
      <w:r>
        <w:t>Retrospektive Kohortenstudie mit 688 COPD-Patienten in Cleveland-Kliniken evaluierte die Einhaltung GOLD-basierter Eosinophil-Kriterien für Inhalative Steroide (ICS) und klinische Ergebnisse.</w:t>
      </w:r>
    </w:p>
    <w:p>
      <w:r>
        <w:rPr>
          <w:b/>
        </w:rPr>
        <w:t xml:space="preserve">Ergebnis: </w:t>
      </w:r>
      <w:r>
        <w:t>589 von 688 Patienten (86%) erhielten ICS außerhalb von GOLD-Empfehlungen. Baseline-Eosinophil-Testing wurde nur in 15% durchgeführt. Pneumonie-Inzidenz war identisch (15% vs. 16%, p=0,686); ICS-Deeskalation erfolgte selten (7%) und gleichmäßig in beiden Gruppen. Exazerbation-Anamnese assoziiert mit guideline-konformer Verordnung.</w:t>
      </w:r>
    </w:p>
    <w:p>
      <w:r>
        <w:rPr>
          <w:b/>
          <w:sz w:val="19"/>
        </w:rPr>
        <w:t xml:space="preserve">Übertragbarkeit: </w:t>
      </w:r>
      <w:r>
        <w:rPr>
          <w:sz w:val="19"/>
        </w:rPr>
        <w:t>USA-basiert; Befund zur Guideline-Adherence ist übertragbar unabhängig vom Finanzierungssystem</w:t>
      </w:r>
    </w:p>
    <w:p>
      <w:r>
        <w:rPr>
          <w:color w:val="5A7D3A"/>
          <w:sz w:val="18"/>
        </w:rPr>
        <w:t>https://pubmed.ncbi.nlm.nih.gov/42667442/</w:t>
      </w:r>
    </w:p>
    <w:p>
      <w:pPr>
        <w:pStyle w:val="Heading2"/>
      </w:pPr>
      <w:r>
        <w:t>Triple-Therapie bei COPD: minimale Lebensqualitäts-Verbesserung, erhöhtes Pneumonie-Risiko</w:t>
      </w:r>
    </w:p>
    <w:p>
      <w:r>
        <w:rPr>
          <w:i/>
          <w:color w:val="666666"/>
          <w:sz w:val="18"/>
        </w:rPr>
        <w:t>Jiang J et al.  ·  Int J Chron Obstruct Pulmon Dis  ·  24.08.2026  ·  PMID 42666989</w:t>
      </w:r>
    </w:p>
    <w:p>
      <w:r>
        <w:t>Bayesian Network Meta-Analyse von 14 randomisierten Studien zu inhalativen Erhaltungstherapien und Auswirkungen auf St. George's Respiratory Questionnaire (SGRQ)-Scores bei stabiler COPD.</w:t>
      </w:r>
    </w:p>
    <w:p>
      <w:r>
        <w:rPr>
          <w:b/>
        </w:rPr>
        <w:t xml:space="preserve">Ergebnis: </w:t>
      </w:r>
      <w:r>
        <w:t>Triple-Therapie zeigte größte SGRQ-Verbesserung vs. Placebo (MD -3,99; 95% CrI -5,86 bis -2,16). Verglichen mit LABA+LAMA war triple Therapie marginal besser (MD -1,42; CrI -2,62 bis -0,16), unter minimaler klinisch bedeutsamer Differenz. Pneumonie-Risiko erhöht (OR 1,50; 95% CI 1,16-1,93). Andere aktive Regime unterschieden sich gering voneinander.</w:t>
      </w:r>
    </w:p>
    <w:p>
      <w:r>
        <w:rPr>
          <w:b/>
          <w:sz w:val="19"/>
        </w:rPr>
        <w:t xml:space="preserve">Übertragbarkeit: </w:t>
      </w:r>
      <w:r>
        <w:rPr>
          <w:sz w:val="19"/>
        </w:rPr>
        <w:t>Internationale RCT-Daten, Ergebnisse gelten für COPD-Management in Deutschland unabhängig vom System</w:t>
      </w:r>
    </w:p>
    <w:p>
      <w:r>
        <w:rPr>
          <w:color w:val="5A7D3A"/>
          <w:sz w:val="18"/>
        </w:rPr>
        <w:t>https://pubmed.ncbi.nlm.nih.gov/42666989/</w:t>
      </w:r>
    </w:p>
    <w:p>
      <w:pPr>
        <w:pStyle w:val="Heading2"/>
      </w:pPr>
      <w:r>
        <w:t>Geschlechts-Disparitäten in der Nierenkranken-Versorgung: Frauen unterdiagnostiziert und unterbehandelt</w:t>
      </w:r>
    </w:p>
    <w:p>
      <w:r>
        <w:rPr>
          <w:i/>
          <w:color w:val="666666"/>
          <w:sz w:val="18"/>
        </w:rPr>
        <w:t>Vidanapathirana M et al.  ·  BMC Nephrol  ·  19.08.2026  ·  PMID 42665802</w:t>
      </w:r>
    </w:p>
    <w:p>
      <w:r>
        <w:t>Systematische Übersichtsarbeit von 35 Studien (2000-Juli 2026) zu geschlechtsspezifischen Ungleichheiten im Versorgungszugang entlang der gesamten CKD-Betreuungskontinuum.</w:t>
      </w:r>
    </w:p>
    <w:p>
      <w:r>
        <w:rPr>
          <w:b/>
        </w:rPr>
        <w:t xml:space="preserve">Ergebnis: </w:t>
      </w:r>
      <w:r>
        <w:t>Frauen hatten niedrigere Chancen für CKD-Diagnose und Nephologie-Überweisung, weniger häufige Nierenfunktions-Kontrollen und niedrigere Verschreibungsraten guideline-empfohlener Medikamente. Unter Dialysepatienten: Frauen 38-41% Anteil mit späterem eGFR-Start (8,1-10,1 vs. 10,6 mL/min/1,73m²). Weniger Hämodialyse mit arteriovenöser Fistel; weniger Transplantationsreferral/-Evaluation/-Wartelisting. Systemische und sozioökonomische Mechanismen identifiziert.</w:t>
      </w:r>
    </w:p>
    <w:p>
      <w:r>
        <w:rPr>
          <w:b/>
          <w:sz w:val="19"/>
        </w:rPr>
        <w:t xml:space="preserve">Übertragbarkeit: </w:t>
      </w:r>
      <w:r>
        <w:rPr>
          <w:sz w:val="19"/>
        </w:rPr>
        <w:t>Globale Evidenz; Muster geschlechtsbasierter Ungleichheit ist kontextübergreifend relevant</w:t>
      </w:r>
    </w:p>
    <w:p>
      <w:r>
        <w:rPr>
          <w:color w:val="5A7D3A"/>
          <w:sz w:val="18"/>
        </w:rPr>
        <w:t>https://pubmed.ncbi.nlm.nih.gov/42665802/</w:t>
      </w:r>
    </w:p>
    <w:p>
      <w:pPr>
        <w:pStyle w:val="Heading2"/>
      </w:pPr>
      <w:r>
        <w:t>Hemodiafiltration versus Hemodialysis: Mortalität und Hospitalisierungsrisiko</w:t>
      </w:r>
    </w:p>
    <w:p>
      <w:r>
        <w:rPr>
          <w:i/>
          <w:color w:val="666666"/>
          <w:sz w:val="18"/>
        </w:rPr>
        <w:t>Roos S et al.  ·  BMC Nephrol  ·  28.08.2026  ·  PMID 42665796</w:t>
      </w:r>
    </w:p>
    <w:p>
      <w:r>
        <w:t>Zielgerichtete Studienprotokolle analysieren Routinedaten von über 1000 Dialysepatienten in Europa, um Unterschiede in Mortalität und Krankenhausaufenthalten zwischen Hemodiafiltration und konventionellem Hemodialysis zu untersuchen.</w:t>
      </w:r>
    </w:p>
    <w:p>
      <w:r>
        <w:rPr>
          <w:b/>
        </w:rPr>
        <w:t xml:space="preserve">Ergebnis: </w:t>
      </w:r>
      <w:r>
        <w:t>Geplante Erhebung mit Fokus auf Gesamtsterblichkeit und ursachenspezifische Hospitalisierungen; Hochvolumen-Hemodiafiltration (≥23 L Konvektionsvolumen) wird analysiert als primärer Vergleich. Randomisierte Studien zeigten bereits Mortalitätsvorteil; diese Realweltdaten sollen Generalisierbarkeit klären.</w:t>
      </w:r>
    </w:p>
    <w:p>
      <w:r>
        <w:rPr>
          <w:b/>
          <w:sz w:val="19"/>
        </w:rPr>
        <w:t xml:space="preserve">Übertragbarkeit: </w:t>
      </w:r>
      <w:r>
        <w:rPr>
          <w:sz w:val="19"/>
        </w:rPr>
        <w:t>Europäische Kohorte, deutsche Zentren beteiligt, vergleichbar mit deutschem Versorgungssystem</w:t>
      </w:r>
    </w:p>
    <w:p>
      <w:r>
        <w:rPr>
          <w:color w:val="5A7D3A"/>
          <w:sz w:val="18"/>
        </w:rPr>
        <w:t>https://pubmed.ncbi.nlm.nih.gov/42665796/</w:t>
      </w:r>
    </w:p>
    <w:p>
      <w:pPr>
        <w:pStyle w:val="Heading2"/>
      </w:pPr>
      <w:r>
        <w:t>Cardiometabolic Profile bei Diabetes und BMI: Adipositas erhöht Herzinsuffizienz und CKD-Risiko</w:t>
      </w:r>
    </w:p>
    <w:p>
      <w:r>
        <w:rPr>
          <w:i/>
          <w:color w:val="666666"/>
          <w:sz w:val="18"/>
        </w:rPr>
        <w:t>Ponzani P et al.  ·  Diabetes Res Clin Pract  ·  29.07.2026  ·  PMID 42526840</w:t>
      </w:r>
    </w:p>
    <w:p>
      <w:r>
        <w:t>Querschnittsanalyse von über 500.000 Patienten mit Typ-2-Diabetes aus 296 italienischen Diabeteszentren untersuchte Cardiometabolische Profile und Komplikationen über BMI-Kategorien.</w:t>
      </w:r>
    </w:p>
    <w:p>
      <w:r>
        <w:rPr>
          <w:b/>
        </w:rPr>
        <w:t xml:space="preserve">Ergebnis: </w:t>
      </w:r>
      <w:r>
        <w:t>Herzinsuffizienz-Prävalenzrate: PR 1,41 (p&lt;0,001) bei Adipositas vs. Normalgewicht; CKD: PR 1,13 (p&lt;0,001). Trotz ähnlicher HbA1c-Werte verschlechterten sich Risikofaktoren progressiv mit BMI. Adipöse Patienten waren jünger, mit kürzerer Diabetesdauer und niedrigeren Atherosklerose-Raten.</w:t>
      </w:r>
    </w:p>
    <w:p>
      <w:r>
        <w:rPr>
          <w:b/>
          <w:sz w:val="19"/>
        </w:rPr>
        <w:t xml:space="preserve">Übertragbarkeit: </w:t>
      </w:r>
      <w:r>
        <w:rPr>
          <w:sz w:val="19"/>
        </w:rPr>
        <w:t>Italienische Routinedaten vergleichbar mit deutschem ambulanten Diabetesmanagement in der Primärversorgung</w:t>
      </w:r>
    </w:p>
    <w:p>
      <w:r>
        <w:rPr>
          <w:color w:val="5A7D3A"/>
          <w:sz w:val="18"/>
        </w:rPr>
        <w:t>https://pubmed.ncbi.nlm.nih.gov/42526840/</w:t>
      </w:r>
    </w:p>
    <w:p>
      <w:pPr>
        <w:pStyle w:val="Heading2"/>
      </w:pPr>
      <w:r>
        <w:t>Inhalative Steroide bei COPD senken Lungenkrebsrisiko um 23-39% trotz Immortal-Time-Bias</w:t>
      </w:r>
    </w:p>
    <w:p>
      <w:r>
        <w:rPr>
          <w:i/>
          <w:color w:val="666666"/>
          <w:sz w:val="18"/>
        </w:rPr>
        <w:t>Santa B et al.  ·  Int J Chron Obstruct Pulmon Dis  ·  14.07.2026  ·  PMID 42518632</w:t>
      </w:r>
    </w:p>
    <w:p>
      <w:r>
        <w:t>Retrospektive Analyse von 96.686 bis 196.560 COPD-Patienten aus der ungarischen Nationalen Krankenversicherungsdatenbank (2009-2019) reproduzierte widersprechende frühere Studien zu ICS und Lungenkrebsinzidenz.</w:t>
      </w:r>
    </w:p>
    <w:p>
      <w:r>
        <w:rPr>
          <w:b/>
        </w:rPr>
        <w:t xml:space="preserve">Ergebnis: </w:t>
      </w:r>
      <w:r>
        <w:t>ICS-Nutzer &gt;1 Jahr: 26,2-60,8% der Population. Lungenkrebsfälle: 4.941-8.969 Fälle. Adjustierte Cox-Modelle zeigten konsistent protective effect: HR 0,77 (0,63-0,94) bzw. 0,61 (0,53-0,70). Trend trotz beider methodologischer Ansätze konsistent. Limitation: Rauchen nicht im Datensatz enthalten; höherer Asthma-Code-Anteil in ICS-Gruppe Cohort 2.</w:t>
      </w:r>
    </w:p>
    <w:p>
      <w:r>
        <w:rPr>
          <w:b/>
          <w:sz w:val="19"/>
        </w:rPr>
        <w:t xml:space="preserve">Übertragbarkeit: </w:t>
      </w:r>
      <w:r>
        <w:rPr>
          <w:sz w:val="19"/>
        </w:rPr>
        <w:t>Ungarische Routinedaten mit vergleichbarem Sozialversicherungssystem wie Deutschland</w:t>
      </w:r>
    </w:p>
    <w:p>
      <w:r>
        <w:rPr>
          <w:color w:val="5A7D3A"/>
          <w:sz w:val="18"/>
        </w:rPr>
        <w:t>https://pubmed.ncbi.nlm.nih.gov/42518632/</w:t>
      </w:r>
    </w:p>
    <w:p>
      <w:pPr>
        <w:pStyle w:val="Heading1"/>
      </w:pPr>
      <w:r>
        <w:t>Aufgenommen am 29.08.2026</w:t>
      </w:r>
    </w:p>
    <w:p>
      <w:pPr>
        <w:pStyle w:val="Heading2"/>
      </w:pPr>
      <w:r>
        <w:t>Rassen-freie Nierenfunktionsformel ändert Risikostratifizierung nicht</w:t>
      </w:r>
    </w:p>
    <w:p>
      <w:r>
        <w:rPr>
          <w:i/>
          <w:color w:val="666666"/>
          <w:sz w:val="18"/>
        </w:rPr>
        <w:t>Huisman BJMV et al.  ·  Glob Heart  ·  21.08.2026  ·  PMID 42631246</w:t>
      </w:r>
    </w:p>
    <w:p>
      <w:r>
        <w:t>HELIUS-Studie mit 21.617 Erwachsenen aus Amsterdam vergleicht alte (2009) und neue rassen-freie (2021) CKD-EPI-Formeln zur Nierenfunktion und kardiovaskulärem Risiko.</w:t>
      </w:r>
    </w:p>
    <w:p>
      <w:r>
        <w:rPr>
          <w:b/>
        </w:rPr>
        <w:t xml:space="preserve">Ergebnis: </w:t>
      </w:r>
      <w:r>
        <w:t>Die neue Formel zeigte bei Afrikanern leicht niedrigere eGFR-Werte, aber CKD-Klassifikation (κ=0,94-0,99) und kardiovaskuläre Risikostratifizierung waren nahezu identisch; Befund bestätigt klinische Austauschbarkeit.</w:t>
      </w:r>
    </w:p>
    <w:p>
      <w:r>
        <w:rPr>
          <w:b/>
          <w:sz w:val="19"/>
        </w:rPr>
        <w:t xml:space="preserve">Übertragbarkeit: </w:t>
      </w:r>
      <w:r>
        <w:rPr>
          <w:sz w:val="19"/>
        </w:rPr>
        <w:t>Niederlande, vergleichbares europäisches Sozialversicherungssystem</w:t>
      </w:r>
    </w:p>
    <w:p>
      <w:r>
        <w:rPr>
          <w:color w:val="5A7D3A"/>
          <w:sz w:val="18"/>
        </w:rPr>
        <w:t>https://pubmed.ncbi.nlm.nih.gov/42631246/</w:t>
      </w:r>
    </w:p>
    <w:p>
      <w:pPr>
        <w:pStyle w:val="Heading2"/>
      </w:pPr>
      <w:r>
        <w:t>Chronisches Pruritus bei Dialysepatienten: Häufigkeit und Belastung deutlich unterschätzt</w:t>
      </w:r>
    </w:p>
    <w:p>
      <w:r>
        <w:rPr>
          <w:i/>
          <w:color w:val="666666"/>
          <w:sz w:val="18"/>
        </w:rPr>
        <w:t>Downey C et al.  ·  J Ren Care  ·  Sept. 2026  ·  PMID 42554232</w:t>
      </w:r>
    </w:p>
    <w:p>
      <w:r>
        <w:t>Nationale Umfrage an 689 irischen Dialysepatienten zur Häufigkeit, Schweregrad und Erlebnis von dialyse-assoziiertem Juckreiz.</w:t>
      </w:r>
    </w:p>
    <w:p>
      <w:r>
        <w:rPr>
          <w:b/>
        </w:rPr>
        <w:t xml:space="preserve">Ergebnis: </w:t>
      </w:r>
      <w:r>
        <w:t>62% erlebten Pruritus, 66% davon moderat-schwer; Kopf/Gesicht am stärksten assoziiert mit Schweregrad (OR 2,08). Psychische Belastung erheblich: Schlafstörungen, Infektionsrisiko. Nur wenig Behandlung.</w:t>
      </w:r>
    </w:p>
    <w:p>
      <w:r>
        <w:rPr>
          <w:b/>
          <w:sz w:val="19"/>
        </w:rPr>
        <w:t xml:space="preserve">Übertragbarkeit: </w:t>
      </w:r>
      <w:r>
        <w:rPr>
          <w:sz w:val="19"/>
        </w:rPr>
        <w:t>Irland, NHS-Dialysezentren, europäische Strukturen</w:t>
      </w:r>
    </w:p>
    <w:p>
      <w:r>
        <w:rPr>
          <w:color w:val="5A7D3A"/>
          <w:sz w:val="18"/>
        </w:rPr>
        <w:t>https://pubmed.ncbi.nlm.nih.gov/42554232/</w:t>
      </w:r>
    </w:p>
    <w:p>
      <w:pPr>
        <w:pStyle w:val="Heading2"/>
      </w:pPr>
      <w:r>
        <w:t>Aminosäure-Dialysatlösungen verbessern Ernährungsstatus bei Peritonealdialyse</w:t>
      </w:r>
    </w:p>
    <w:p>
      <w:r>
        <w:rPr>
          <w:i/>
          <w:color w:val="666666"/>
          <w:sz w:val="18"/>
        </w:rPr>
        <w:t>Lindholm B et al.  ·  BMC Nephrol  ·  30.07.2026  ·  PMID 42538540</w:t>
      </w:r>
    </w:p>
    <w:p>
      <w:r>
        <w:t>Systematischer Review zu klinischen Studien mit 1,1%-Aminosäure-basierten Peritonealdialysatlösungen statt Glucose zur Reduktion der Glukoseexposition.</w:t>
      </w:r>
    </w:p>
    <w:p>
      <w:r>
        <w:rPr>
          <w:b/>
        </w:rPr>
        <w:t xml:space="preserve">Ergebnis: </w:t>
      </w:r>
      <w:r>
        <w:t>Aminosäure-Lösungen verbessern Serumalbumin und Stickstoffbilanz bei tolerabler Verträglichkeit; reduzieren Glukosebelastung. Langzeitdaten zu Technik-Überleben und Mortalität fehlen noch, aber Evidenz unterstützt gezielten Einsatz bei mangelernährten Hochrisikopatienten.</w:t>
      </w:r>
    </w:p>
    <w:p>
      <w:r>
        <w:rPr>
          <w:b/>
          <w:sz w:val="19"/>
        </w:rPr>
        <w:t xml:space="preserve">Übertragbarkeit: </w:t>
      </w:r>
      <w:r>
        <w:rPr>
          <w:sz w:val="19"/>
        </w:rPr>
        <w:t>Schweden, Europa, Peritonealdialyse-Standard</w:t>
      </w:r>
    </w:p>
    <w:p>
      <w:r>
        <w:rPr>
          <w:color w:val="5A7D3A"/>
          <w:sz w:val="18"/>
        </w:rPr>
        <w:t>https://pubmed.ncbi.nlm.nih.gov/42538540/</w:t>
      </w:r>
    </w:p>
    <w:p>
      <w:pPr>
        <w:pStyle w:val="Heading2"/>
      </w:pPr>
      <w:r>
        <w:t>Long COVID erhöht Risiko für neue chronische Erkrankungen deutlich</w:t>
      </w:r>
    </w:p>
    <w:p>
      <w:r>
        <w:rPr>
          <w:i/>
          <w:color w:val="666666"/>
          <w:sz w:val="18"/>
        </w:rPr>
        <w:t>Sõnajalg H et al.  ·  Front Public Health  ·  16.07.2026  ·  PMID 42534966</w:t>
      </w:r>
    </w:p>
    <w:p>
      <w:r>
        <w:t>Bevölkerungsbasierte estnische Kohorte (N=2.639 Long-COVID-Patienten, 199.171 Kontrollen) zur Assoziation zwischen Long COVID und Neuauftreten chronischer Erkrankungen.</w:t>
      </w:r>
    </w:p>
    <w:p>
      <w:r>
        <w:rPr>
          <w:b/>
        </w:rPr>
        <w:t xml:space="preserve">Ergebnis: </w:t>
      </w:r>
      <w:r>
        <w:t>Long COVID assoziiert mit erhöhtem Risiko für Asthma (OR 5,12), COPD (OR 4,08), Schlafapnoe (OR 3,05). Type-2-Diabetes-Inzidenz stieg nach März 2020 über erwartete Trends (p=1,84×10-80).</w:t>
      </w:r>
    </w:p>
    <w:p>
      <w:r>
        <w:rPr>
          <w:b/>
          <w:sz w:val="19"/>
        </w:rPr>
        <w:t xml:space="preserve">Übertragbarkeit: </w:t>
      </w:r>
      <w:r>
        <w:rPr>
          <w:sz w:val="19"/>
        </w:rPr>
        <w:t>Estland, nationale Gesundheitsdaten, europäisches System</w:t>
      </w:r>
    </w:p>
    <w:p>
      <w:r>
        <w:rPr>
          <w:color w:val="5A7D3A"/>
          <w:sz w:val="18"/>
        </w:rPr>
        <w:t>https://pubmed.ncbi.nlm.nih.gov/42534966/</w:t>
      </w:r>
    </w:p>
    <w:p>
      <w:pPr>
        <w:pStyle w:val="Heading2"/>
      </w:pPr>
      <w:r>
        <w:t>Endostatin zeigt Anämierisiko bei älteren Nierenpatienten an</w:t>
      </w:r>
    </w:p>
    <w:p>
      <w:r>
        <w:rPr>
          <w:i/>
          <w:color w:val="666666"/>
          <w:sz w:val="18"/>
        </w:rPr>
        <w:t>Corsonello A et al.  ·  J Transl Med  ·  24.07.2026  ·  PMID 42533353</w:t>
      </w:r>
    </w:p>
    <w:p>
      <w:r>
        <w:t>SCOPE-Studie (2.008 Erwachsene ≥75 Jahre) zur Assoziation zwischen zirkulierendem Endostatin und prävalenter/inzidenter Anämie bei CKD.</w:t>
      </w:r>
    </w:p>
    <w:p>
      <w:r>
        <w:rPr>
          <w:b/>
        </w:rPr>
        <w:t xml:space="preserve">Ergebnis: </w:t>
      </w:r>
      <w:r>
        <w:t>Höhere Endostatin-Level unabhängig assoziiert mit niedrigerem Hämoglobin (β -0,21) und prävalenter Anämie (OR 1,38). Bei Zwei-Jahres-Nachverfolgung: 11,4% Neuauftreten von Anämie, höhere Endostatin-Level erhöhten Risiko (sHR 1,40); Assoziation stärker bei CKD.</w:t>
      </w:r>
    </w:p>
    <w:p>
      <w:r>
        <w:rPr>
          <w:b/>
          <w:sz w:val="19"/>
        </w:rPr>
        <w:t xml:space="preserve">Übertragbarkeit: </w:t>
      </w:r>
      <w:r>
        <w:rPr>
          <w:sz w:val="19"/>
        </w:rPr>
        <w:t>Europäische Multizenterstudie (Schweden, Österreich, Niederlande, Spanien, Polen)</w:t>
      </w:r>
    </w:p>
    <w:p>
      <w:r>
        <w:rPr>
          <w:color w:val="5A7D3A"/>
          <w:sz w:val="18"/>
        </w:rPr>
        <w:t>https://pubmed.ncbi.nlm.nih.gov/42533353/</w:t>
      </w:r>
    </w:p>
    <w:p>
      <w:pPr>
        <w:pStyle w:val="Heading2"/>
      </w:pPr>
      <w:r>
        <w:t>Inhaled corticosteroids senken kardiovaskuläres Risiko bei COPD nicht</w:t>
      </w:r>
    </w:p>
    <w:p>
      <w:r>
        <w:rPr>
          <w:i/>
          <w:color w:val="666666"/>
          <w:sz w:val="18"/>
        </w:rPr>
        <w:t>Nielsen MRI et al.  ·  BMJ Open  ·  29.07.2026  ·  PMID 42526931</w:t>
      </w:r>
    </w:p>
    <w:p>
      <w:r>
        <w:t>Registerbasierte Kohortenstudie mit 82.327 COPD-Patienten in Dänemark zu kardiovaskulären Ereignissen unter ICS-Therapie in verschiedenen Dosen.</w:t>
      </w:r>
    </w:p>
    <w:p>
      <w:r>
        <w:rPr>
          <w:b/>
        </w:rPr>
        <w:t xml:space="preserve">Ergebnis: </w:t>
      </w:r>
      <w:r>
        <w:t>ICS waren bei keiner Dosis mit erhöhtem kardiovaskulärem Risiko assoziiert; moderate Dosen zeigten sogar modeste Risikoreduktion (HR 0,89, p&lt;0,05). Befund widerlegt Safety-Bedenken gegen ICS.</w:t>
      </w:r>
    </w:p>
    <w:p>
      <w:r>
        <w:rPr>
          <w:b/>
          <w:sz w:val="19"/>
        </w:rPr>
        <w:t xml:space="preserve">Übertragbarkeit: </w:t>
      </w:r>
      <w:r>
        <w:rPr>
          <w:sz w:val="19"/>
        </w:rPr>
        <w:t>Dänemark, nationale Registerdaten, vergleichbares Nordeuropa-System</w:t>
      </w:r>
    </w:p>
    <w:p>
      <w:r>
        <w:rPr>
          <w:color w:val="5A7D3A"/>
          <w:sz w:val="18"/>
        </w:rPr>
        <w:t>https://pubmed.ncbi.nlm.nih.gov/42526931/</w:t>
      </w:r>
    </w:p>
    <w:p>
      <w:pPr>
        <w:pStyle w:val="Heading1"/>
      </w:pPr>
      <w:r>
        <w:t>Aufgenommen am 28.08.2026</w:t>
      </w:r>
    </w:p>
    <w:p>
      <w:pPr>
        <w:pStyle w:val="Heading2"/>
      </w:pPr>
      <w:r>
        <w:t>Berufliche Expositionen und COPD-Neuerkrankungen: Exposom-Analyse in zwei europäischen Kohorten</w:t>
      </w:r>
    </w:p>
    <w:p>
      <w:r>
        <w:rPr>
          <w:i/>
          <w:color w:val="666666"/>
          <w:sz w:val="18"/>
        </w:rPr>
        <w:t>Kynde T et al.  ·  Ann Work Expo Health  ·  26.08.2026  ·  PMID 42658646</w:t>
      </w:r>
    </w:p>
    <w:p>
      <w:r>
        <w:t>Die Studie untersuchte in zwei europäischen Bevölkerungskohorten (ECRHS, CONSTANCES), welche beruflichen Expositionen mit Neuauftreten von COPD assoziiert sind – über Job-Expositions-Matrizen und moderne statistische Methoden (ExWAS, LASSO, Boruta Random Forest).</w:t>
      </w:r>
    </w:p>
    <w:p>
      <w:r>
        <w:rPr>
          <w:b/>
        </w:rPr>
        <w:t xml:space="preserve">Ergebnis: </w:t>
      </w:r>
      <w:r>
        <w:t>Wichtigste Risiko-Expositionen variieren zwischen Kohorten: In ECRHS waren Heben, Vorneigebewegungen, Gase/Dämpfe und Mineralstaub prädiktiv; in CONSTANCES Dieselabgase, kristallines Quarzmehl und Lösungsmittel. Beide Kohorten bestätigen bekannte chemische Gefahrstoffe und identifizieren neue Assoziationen zwischen ergonomischen/physischen Belastungen und COPD-Risiko.</w:t>
      </w:r>
    </w:p>
    <w:p>
      <w:r>
        <w:rPr>
          <w:b/>
          <w:sz w:val="19"/>
        </w:rPr>
        <w:t xml:space="preserve">Übertragbarkeit: </w:t>
      </w:r>
      <w:r>
        <w:rPr>
          <w:sz w:val="19"/>
        </w:rPr>
        <w:t>Europäische Kohorten mit strukturierter Expositionserfassung; Ergebnisse direkt auf deutsche Berufsgruppen übertragbar.</w:t>
      </w:r>
    </w:p>
    <w:p>
      <w:r>
        <w:rPr>
          <w:color w:val="5A7D3A"/>
          <w:sz w:val="18"/>
        </w:rPr>
        <w:t>https://pubmed.ncbi.nlm.nih.gov/42658646/</w:t>
      </w:r>
    </w:p>
    <w:p>
      <w:pPr>
        <w:pStyle w:val="Heading2"/>
      </w:pPr>
      <w:r>
        <w:t>Transdisziplinäres Rahmenwerk für chronische Erkrankung und chronischen Schmerz aus qualitativer Synthese</w:t>
      </w:r>
    </w:p>
    <w:p>
      <w:r>
        <w:rPr>
          <w:i/>
          <w:color w:val="666666"/>
          <w:sz w:val="18"/>
        </w:rPr>
        <w:t>Safavi-Abbasi S et al.  ·  Front Public Health  ·  12.08.2026  ·  PMID 42656526</w:t>
      </w:r>
    </w:p>
    <w:p>
      <w:r>
        <w:t>Systematische qualitative Metasynopse von 104 Primärstudien (2009–2025) zu Patientenerfahrungen chronischer Erkrankung und Schmerz; Integration von 52 weiteren Studien zu transdisziplinären Prinzipien zur Entwicklung eines klinisch anwendbaren Rahmenwerks.</w:t>
      </w:r>
    </w:p>
    <w:p>
      <w:r>
        <w:rPr>
          <w:b/>
        </w:rPr>
        <w:t xml:space="preserve">Ergebnis: </w:t>
      </w:r>
      <w:r>
        <w:t>Identifiziert sieben zentrale Erfahrungsdomänen (soziale Isolation, Identitätsverlust, körperliche Debilitation, emotionale Belastung, kognitive Überlastung, Unsicherheit, Kampf um Legitimität im System) und verknüpft sie mit fünf transdisziplinären Prinzipien (Kommunikation, Zusammenarbeit, Partizipation, Reflexivität, Systemdenken). Das Rahmenwerk strukturiert personenzentrierte Versorgung, interdisziplinäre Kooperation und koordiniertes Management.</w:t>
      </w:r>
    </w:p>
    <w:p>
      <w:r>
        <w:rPr>
          <w:b/>
          <w:sz w:val="19"/>
        </w:rPr>
        <w:t xml:space="preserve">Übertragbarkeit: </w:t>
      </w:r>
      <w:r>
        <w:rPr>
          <w:sz w:val="19"/>
        </w:rPr>
        <w:t>Qualitative Synthese aus international vergleichbaren Studien; Versorgungsansätze gelten über Grenzen hinweg.</w:t>
      </w:r>
    </w:p>
    <w:p>
      <w:r>
        <w:rPr>
          <w:color w:val="5A7D3A"/>
          <w:sz w:val="18"/>
        </w:rPr>
        <w:t>https://pubmed.ncbi.nlm.nih.gov/42656526/</w:t>
      </w:r>
    </w:p>
    <w:p>
      <w:pPr>
        <w:pStyle w:val="Heading2"/>
      </w:pPr>
      <w:r>
        <w:t>Ländliche Versorgung chronischer Erkrankungen: Von Gesundheitssystem zu gesellschaftlichen Determinanten</w:t>
      </w:r>
    </w:p>
    <w:p>
      <w:r>
        <w:rPr>
          <w:i/>
          <w:color w:val="666666"/>
          <w:sz w:val="18"/>
        </w:rPr>
        <w:t>Kuwayama T et al.  ·  Int J Environ Res Public Health  ·  27.07.2026  ·  PMID 42652287</w:t>
      </w:r>
    </w:p>
    <w:p>
      <w:r>
        <w:t>Scoping Review (23 Studien: 12 vor, 11 nach COVID-19) zu Themen ländlicher Versorgungsprobleme bei chronischen Krankheiten; thematischer Vergleich prä- und post-pandemisch.</w:t>
      </w:r>
    </w:p>
    <w:p>
      <w:r>
        <w:rPr>
          <w:b/>
        </w:rPr>
        <w:t xml:space="preserve">Ergebnis: </w:t>
      </w:r>
      <w:r>
        <w:t>Vor Pandemie dominierten Themen: niedrige Managementraten (Hypertonie, Diabetes), Arzneimittelversorgung, unzureichendes Fachpersonal (Thema: Gesundheitssystem). Nach Pandemie zusätzlich: psychische Gesundheit, Ernährung, Mehrfacherkrankung, sozioökonomische Disparitäten (Thema: Gesellschaft). Verschiebung zeigt: Pandemie hat Debatte von technischen auf ganzheitliche Determinanten ausgeweitet.</w:t>
      </w:r>
    </w:p>
    <w:p>
      <w:r>
        <w:rPr>
          <w:b/>
          <w:sz w:val="19"/>
        </w:rPr>
        <w:t xml:space="preserve">Übertragbarkeit: </w:t>
      </w:r>
      <w:r>
        <w:rPr>
          <w:sz w:val="19"/>
        </w:rPr>
        <w:t>Japan/Ländervergleich; Systematik der ländlichen Versorgungshürden auch für deutsche Flächenländer relevant.</w:t>
      </w:r>
    </w:p>
    <w:p>
      <w:r>
        <w:rPr>
          <w:color w:val="5A7D3A"/>
          <w:sz w:val="18"/>
        </w:rPr>
        <w:t>https://pubmed.ncbi.nlm.nih.gov/42652287/</w:t>
      </w:r>
    </w:p>
    <w:p>
      <w:pPr>
        <w:pStyle w:val="Heading2"/>
      </w:pPr>
      <w:r>
        <w:t>Funktionale Lungen-MRT zeigt Verbesserung der Hyperinflation nach Doppel-Bronchodilator bei COPD</w:t>
      </w:r>
    </w:p>
    <w:p>
      <w:r>
        <w:rPr>
          <w:i/>
          <w:color w:val="666666"/>
          <w:sz w:val="18"/>
        </w:rPr>
        <w:t>Müller RA et al.  ·  COPD  ·  12.08.2026  ·  PMID 42584170</w:t>
      </w:r>
    </w:p>
    <w:p>
      <w:r>
        <w:t>Randomisierte Crossover-Studie (n=29 COPD-Patienten) zur Wirkung einer Einzeldosis Doppel-Bronchodilator auf ventilationsdynamische Parameter mittels funktioneller Lungen-MRT während kontrollierter schneller Atmung (Metronom-gesteuert).</w:t>
      </w:r>
    </w:p>
    <w:p>
      <w:r>
        <w:rPr>
          <w:b/>
        </w:rPr>
        <w:t xml:space="preserve">Ergebnis: </w:t>
      </w:r>
      <w:r>
        <w:t>In Ruhe keine signifikanten FEV1-Verbesserungen; unter beschleunigter Atmung jedoch signifikante Reduktion der Funktionalen Residualkapazität (FRC: Kontrollgruppe −0,1 L vs. Interventionsgruppe −0,4 L, p&lt;0,05), verbesserte Ventilationshomogenität und Durchfluss-Volumen-Korrelation. Nach Mehrfach-Dosierung zeigten 5 von 6 Parametern Besserungen (alle p&lt;0,03).</w:t>
      </w:r>
    </w:p>
    <w:p>
      <w:r>
        <w:rPr>
          <w:b/>
          <w:sz w:val="19"/>
        </w:rPr>
        <w:t xml:space="preserve">Übertragbarkeit: </w:t>
      </w:r>
      <w:r>
        <w:rPr>
          <w:sz w:val="19"/>
        </w:rPr>
        <w:t>Deutsche Klinikdaten verfügbar; Methode für Monitoring strukturierter COPD-Programme geeignet.</w:t>
      </w:r>
    </w:p>
    <w:p>
      <w:r>
        <w:rPr>
          <w:color w:val="5A7D3A"/>
          <w:sz w:val="18"/>
        </w:rPr>
        <w:t>https://pubmed.ncbi.nlm.nih.gov/42584170/</w:t>
      </w:r>
    </w:p>
    <w:p>
      <w:pPr>
        <w:pStyle w:val="Heading2"/>
      </w:pPr>
      <w:r>
        <w:t>Nicht-Teilnahme an Hepatitis-B-Versorgung: Barrieren und Interventionen in UK-Sekundärversorgung</w:t>
      </w:r>
    </w:p>
    <w:p>
      <w:r>
        <w:rPr>
          <w:i/>
          <w:color w:val="666666"/>
          <w:sz w:val="18"/>
        </w:rPr>
        <w:t>Shiel EV et al.  ·  J Viral Hepat  ·  Sept. 2026  ·  PMID 42583956</w:t>
      </w:r>
    </w:p>
    <w:p>
      <w:r>
        <w:t>Scoping Review von 11 Studien zu Faktoren, die Nicht-Teilnahme an Sekundärversorgung-Terminen bei chronischer Hepatitis B in Großbritannien erklären, und identifizierten Strategien zur Verbesserung der Adhärenz.</w:t>
      </w:r>
    </w:p>
    <w:p>
      <w:r>
        <w:rPr>
          <w:b/>
        </w:rPr>
        <w:t xml:space="preserve">Ergebnis: </w:t>
      </w:r>
      <w:r>
        <w:t>Barrieren: patientenseitig (Gesundheitskompetenz, Stigma, konkurrierende Prioritäten), systemisch (Terminvergabe, Erreichbarkeit), psychologisch (Angst vor Diagnose, Nebenwirkungen); kulturelle und Sprachbarrieren. Wirksame Interventionen: Patienten-Edukation, kulturell angepasste Ansätze, Erinnerungssysteme (SMS, Telefon), integrierte Care-Modelle mit Community Outreach.</w:t>
      </w:r>
    </w:p>
    <w:p>
      <w:r>
        <w:rPr>
          <w:b/>
          <w:sz w:val="19"/>
        </w:rPr>
        <w:t xml:space="preserve">Übertragbarkeit: </w:t>
      </w:r>
      <w:r>
        <w:rPr>
          <w:sz w:val="19"/>
        </w:rPr>
        <w:t>Britisches Versorgungssystem mit vergleichbarem NHS-Zugang; Interventionsdesign auf deutsche Sprechstunden-Logistik adaptierbar.</w:t>
      </w:r>
    </w:p>
    <w:p>
      <w:r>
        <w:rPr>
          <w:color w:val="5A7D3A"/>
          <w:sz w:val="18"/>
        </w:rPr>
        <w:t>https://pubmed.ncbi.nlm.nih.gov/42583956/</w:t>
      </w:r>
    </w:p>
    <w:p>
      <w:pPr>
        <w:pStyle w:val="Heading2"/>
      </w:pPr>
      <w:r>
        <w:t>Vegetarische Ernährung reduziert CKD-Risiko: Prospektive UK-Biobank-Kohorte</w:t>
      </w:r>
    </w:p>
    <w:p>
      <w:r>
        <w:rPr>
          <w:i/>
          <w:color w:val="666666"/>
          <w:sz w:val="18"/>
        </w:rPr>
        <w:t>Candussi CJ et al.  ·  Sci Rep  ·  03.08.2026  ·  PMID 42547796</w:t>
      </w:r>
    </w:p>
    <w:p>
      <w:r>
        <w:t>Prospektive Kohortenstudie (n=416.584, Alter 40–69 Jahre) zur Assoziation fünf verschiedener Ernährungsmuster (hochfleischreich bis vegetarisch) mit chronischer Nierenerkrankung (CKD) über 12,9 Jahre Follow-up.</w:t>
      </w:r>
    </w:p>
    <w:p>
      <w:r>
        <w:rPr>
          <w:b/>
        </w:rPr>
        <w:t xml:space="preserve">Ergebnis: </w:t>
      </w:r>
      <w:r>
        <w:t>Bei 23.084 CKD-Neuerkrankungen zeigte sich: Vegetarier hatten das niedrigste Risiko im Vergleich zu hochfleischessern (HR=0,81, 95%-KI 0,71–0,93). Risikoreduktion war statistisch signifikant und konsistent über verschiedene Analysen; die Effektstärke ist klinisch bedeutsam für Prävention.</w:t>
      </w:r>
    </w:p>
    <w:p>
      <w:r>
        <w:rPr>
          <w:b/>
          <w:sz w:val="19"/>
        </w:rPr>
        <w:t xml:space="preserve">Übertragbarkeit: </w:t>
      </w:r>
      <w:r>
        <w:rPr>
          <w:sz w:val="19"/>
        </w:rPr>
        <w:t>UK-Biobank mit vergleichbarer Dokumentation; Präventionsempfehlung auf Deutschland übertragbar.</w:t>
      </w:r>
    </w:p>
    <w:p>
      <w:r>
        <w:rPr>
          <w:color w:val="5A7D3A"/>
          <w:sz w:val="18"/>
        </w:rPr>
        <w:t>https://pubmed.ncbi.nlm.nih.gov/42547796/</w:t>
      </w:r>
    </w:p>
    <w:p>
      <w:pPr>
        <w:pStyle w:val="Heading1"/>
      </w:pPr>
      <w:r>
        <w:t>Aufgenommen am 27.08.2026</w:t>
      </w:r>
    </w:p>
    <w:p>
      <w:pPr>
        <w:pStyle w:val="Heading2"/>
      </w:pPr>
      <w:r>
        <w:t>Mehrfacherkrankung und Krankenhausaufenthalt bei Herzinsuffizienz in Indonesien</w:t>
      </w:r>
    </w:p>
    <w:p>
      <w:r>
        <w:rPr>
          <w:i/>
          <w:color w:val="666666"/>
          <w:sz w:val="18"/>
        </w:rPr>
        <w:t>Yolanda G et al.  ·  Open Heart  ·  26.08.2026  ·  PMID 42648742</w:t>
      </w:r>
    </w:p>
    <w:p>
      <w:r>
        <w:t>Bevölkerungsbasierte retrospektive Kohorte von 9.018 Patienten (12.461 Aufenthalte) mit Herzinsuffizienz aus indonesischer Krankenversicherung zu Einfluss von Mehrfacherkrankung auf Liegedauer und Wiederaufnahme.</w:t>
      </w:r>
    </w:p>
    <w:p>
      <w:r>
        <w:rPr>
          <w:b/>
        </w:rPr>
        <w:t xml:space="preserve">Ergebnis: </w:t>
      </w:r>
      <w:r>
        <w:t>Mehrfacherkrankung in 72,4%, jede zusätzliche Komorbidität assoziiert mit: längerer Liegedauer (+0,13 Tage), höherer 30-Tage-Wiederaufnahmequote (OR 1,22) und höherer 90-Tage-Wiederaufnahme (OR 1,27). Spezifische Muster: Anämie stärkste Assoziation mit Liegedauer, ischämische Herzerkrankung, CKD, COPD und Klappenvitium mit Wiederaufnahme.</w:t>
      </w:r>
    </w:p>
    <w:p>
      <w:r>
        <w:rPr>
          <w:b/>
          <w:sz w:val="19"/>
        </w:rPr>
        <w:t xml:space="preserve">Übertragbarkeit: </w:t>
      </w:r>
      <w:r>
        <w:rPr>
          <w:sz w:val="19"/>
        </w:rPr>
        <w:t>Indonesien mit universeller Krankenversicherung, begrenzte Ressourcen, Mehrfacherkrankungslast auch in deutschem System relevant.</w:t>
      </w:r>
    </w:p>
    <w:p>
      <w:r>
        <w:rPr>
          <w:color w:val="5A7D3A"/>
          <w:sz w:val="18"/>
        </w:rPr>
        <w:t>https://pubmed.ncbi.nlm.nih.gov/42648742/</w:t>
      </w:r>
    </w:p>
    <w:p>
      <w:pPr>
        <w:pStyle w:val="Heading2"/>
      </w:pPr>
      <w:r>
        <w:t>Ungleiche Versorgung nach Transplantatversagen: Ethnizität und Deprivation beeinflussen Retransplantation</w:t>
      </w:r>
    </w:p>
    <w:p>
      <w:r>
        <w:rPr>
          <w:i/>
          <w:color w:val="666666"/>
          <w:sz w:val="18"/>
        </w:rPr>
        <w:t>Westaway S et al.  ·  PLoS One  ·  26.08.2026  ·  PMID 42647538</w:t>
      </w:r>
    </w:p>
    <w:p>
      <w:r>
        <w:t>Analyse von 5.447 Patienten mit Transplantatversagen in Großbritannien zum Zusammenhang von Patientenmerkmalen mit Versorgungsergebnissen (Retransplantation, Dialyseverfahren, Mortalität).</w:t>
      </w:r>
    </w:p>
    <w:p>
      <w:r>
        <w:rPr>
          <w:b/>
        </w:rPr>
        <w:t xml:space="preserve">Ergebnis: </w:t>
      </w:r>
      <w:r>
        <w:t>Schwarze und asiatische Patienten erhielten deutlich seltener Retransplantationen (RRR 0,41 bzw. 0,57), ebenso Personen in deprivierteren Gegenden (RRR 0,78 pro Deprivationsquintil). Männer wurden häufiger retransplantiert und an Hämodialyse angeschlossen. Diese Ungleichheiten sind versorgungsrelevant und beeinflussen das Überleben.</w:t>
      </w:r>
    </w:p>
    <w:p>
      <w:r>
        <w:rPr>
          <w:b/>
          <w:sz w:val="19"/>
        </w:rPr>
        <w:t xml:space="preserve">Übertragbarkeit: </w:t>
      </w:r>
      <w:r>
        <w:rPr>
          <w:sz w:val="19"/>
        </w:rPr>
        <w:t>Britisches Gesundheitssystem mit elektronischen Registerdaten, teilweise vergleichbar mit deutschem Organtransplantationssystem.</w:t>
      </w:r>
    </w:p>
    <w:p>
      <w:r>
        <w:rPr>
          <w:color w:val="5A7D3A"/>
          <w:sz w:val="18"/>
        </w:rPr>
        <w:t>https://pubmed.ncbi.nlm.nih.gov/42647538/</w:t>
      </w:r>
    </w:p>
    <w:p>
      <w:pPr>
        <w:pStyle w:val="Heading2"/>
      </w:pPr>
      <w:r>
        <w:t>Kompetenzen für personenzentrierte Versorgung bei Mehrfacherkrankung: Fokusgruppen mit Patienten und Fachkräften</w:t>
      </w:r>
    </w:p>
    <w:p>
      <w:r>
        <w:rPr>
          <w:i/>
          <w:color w:val="666666"/>
          <w:sz w:val="18"/>
        </w:rPr>
        <w:t>Michielsen LJ et al.  ·  Eur J Gen Pract  ·  26.08.2026  ·  PMID 42647104</w:t>
      </w:r>
    </w:p>
    <w:p>
      <w:r>
        <w:t>Qualitative Fokusgruppenstudie mit 14 Hausarztfachkräften und 10 Patienten mit chronischen Erkrankungen zu essentiellen Kompetenzen für personenzentrierte integrierte Versorgung.</w:t>
      </w:r>
    </w:p>
    <w:p>
      <w:r>
        <w:rPr>
          <w:b/>
        </w:rPr>
        <w:t xml:space="preserve">Ergebnis: </w:t>
      </w:r>
      <w:r>
        <w:t>Fachkräfte benannten: personenzentrierte Einstellung, Kommunikationsfähigkeiten, Interprofessionelles Zusammenarbeiten. Patienten werteten zusätzlich Kontinuität und designierten Ansprechpartner. Fachkräfte nannten Schulung, Reflektionszirkel und Fallbesprechungen als nötig. Kernaussage: Erfolgreiche Versorgung erfordert neben individuellen Kompetenzen Organisationsbedingungen für koordinierte, kontinuierliche Pflege.</w:t>
      </w:r>
    </w:p>
    <w:p>
      <w:r>
        <w:rPr>
          <w:b/>
          <w:sz w:val="19"/>
        </w:rPr>
        <w:t xml:space="preserve">Übertragbarkeit: </w:t>
      </w:r>
      <w:r>
        <w:rPr>
          <w:sz w:val="19"/>
        </w:rPr>
        <w:t>Niederlande, vergleichbare Primärversorgungsstrukturen und DMPs wie Deutschland.</w:t>
      </w:r>
    </w:p>
    <w:p>
      <w:r>
        <w:rPr>
          <w:color w:val="5A7D3A"/>
          <w:sz w:val="18"/>
        </w:rPr>
        <w:t>https://pubmed.ncbi.nlm.nih.gov/42647104/</w:t>
      </w:r>
    </w:p>
    <w:p>
      <w:pPr>
        <w:pStyle w:val="Heading2"/>
      </w:pPr>
      <w:r>
        <w:t>Soziale Risikofaktoren verbessern Vorhersage von kardiometabolischer Mehrfacherkrankung</w:t>
      </w:r>
    </w:p>
    <w:p>
      <w:r>
        <w:rPr>
          <w:i/>
          <w:color w:val="666666"/>
          <w:sz w:val="18"/>
        </w:rPr>
        <w:t>Anindya K et al.  ·  Sci Rep  ·  25.08.2026  ·  PMID 42642546</w:t>
      </w:r>
    </w:p>
    <w:p>
      <w:r>
        <w:t>Entwicklung eines Bayesianischen Vorhersagemodells für kardiometabolische Mehrfacherkrankung unter Einbeziehung sozialer Determinanten in 11.964 schwedischen Erwachsenen ohne Vorerkrankungen.</w:t>
      </w:r>
    </w:p>
    <w:p>
      <w:r>
        <w:rPr>
          <w:b/>
        </w:rPr>
        <w:t xml:space="preserve">Ergebnis: </w:t>
      </w:r>
      <w:r>
        <w:t>Während die Vorhersage für mindestens eine kardiometabolische Erkrankung fair war (AUC 0,76), zeigte sich für Mehrfacherkrankung (≥2 Erkrankungen) gute Diskriminanz (AUC 0,89). Höchste Risiken bei älteren Migranten mit Hypertonie und niedriger HDL (34,7% für beliebige Erkrankung, 4,4% für Mehrfacherkrankung).</w:t>
      </w:r>
    </w:p>
    <w:p>
      <w:r>
        <w:rPr>
          <w:b/>
          <w:sz w:val="19"/>
        </w:rPr>
        <w:t xml:space="preserve">Übertragbarkeit: </w:t>
      </w:r>
      <w:r>
        <w:rPr>
          <w:sz w:val="19"/>
        </w:rPr>
        <w:t>Schweden, vergleichbare Sozialversicherung und Präventionsstrukturen wie Deutschland.</w:t>
      </w:r>
    </w:p>
    <w:p>
      <w:r>
        <w:rPr>
          <w:color w:val="5A7D3A"/>
          <w:sz w:val="18"/>
        </w:rPr>
        <w:t>https://pubmed.ncbi.nlm.nih.gov/42642546/</w:t>
      </w:r>
    </w:p>
    <w:p>
      <w:pPr>
        <w:pStyle w:val="Heading2"/>
      </w:pPr>
      <w:r>
        <w:t>Schluckstörungen bei COPD – zwei Jahre Stabilität und Symptombelastung</w:t>
      </w:r>
    </w:p>
    <w:p>
      <w:r>
        <w:rPr>
          <w:i/>
          <w:color w:val="666666"/>
          <w:sz w:val="18"/>
        </w:rPr>
        <w:t>Gonzalez Lindh M et al.  ·  COPD  ·  28.07.2026  ·  PMID 42557931</w:t>
      </w:r>
    </w:p>
    <w:p>
      <w:r>
        <w:t>Prospektive Kohortenstudie mit 438 COPD-Patienten zu Stabilitätsmuster selbstberichteter Schluckstörungen über zwei Jahre und Assoziationen mit klinischen Ergebnissen.</w:t>
      </w:r>
    </w:p>
    <w:p>
      <w:r>
        <w:rPr>
          <w:b/>
        </w:rPr>
        <w:t xml:space="preserve">Ergebnis: </w:t>
      </w:r>
      <w:r>
        <w:t>Schluckstörungsprävalenz blieb stabil (32% auf 33%), vier Verlaufsmuster identifiziert: keine (59%), neu aufgetreten (8%), remittiert (8%), persistent (25%). Persistente Schluckstörung assoziiert mit höherer Dyspnoe, schlechterer körperlicher Leistung und häufigeren Exazerbationen. CAT-Wert ≥10 unabhängig mit Schluckstörung verbunden.</w:t>
      </w:r>
    </w:p>
    <w:p>
      <w:r>
        <w:rPr>
          <w:b/>
          <w:sz w:val="19"/>
        </w:rPr>
        <w:t xml:space="preserve">Übertragbarkeit: </w:t>
      </w:r>
      <w:r>
        <w:rPr>
          <w:sz w:val="19"/>
        </w:rPr>
        <w:t>Schweden, vergleichbare Primärversorgungsstrukturen, Screening in COPD-Routinefolge übertragbar.</w:t>
      </w:r>
    </w:p>
    <w:p>
      <w:r>
        <w:rPr>
          <w:color w:val="5A7D3A"/>
          <w:sz w:val="18"/>
        </w:rPr>
        <w:t>https://pubmed.ncbi.nlm.nih.gov/42557931/</w:t>
      </w:r>
    </w:p>
    <w:p>
      <w:pPr>
        <w:pStyle w:val="Heading2"/>
      </w:pPr>
      <w:r>
        <w:t>Hyperkaliämie-Management: Ärzte bevorzugen RAASi-Erhalt trotz Barrieren</w:t>
      </w:r>
    </w:p>
    <w:p>
      <w:r>
        <w:rPr>
          <w:i/>
          <w:color w:val="666666"/>
          <w:sz w:val="18"/>
        </w:rPr>
        <w:t>Gimenez-Stamminger N et al.  ·  PLoS One  ·  30.07.2026  ·  PMID 42531230</w:t>
      </w:r>
    </w:p>
    <w:p>
      <w:r>
        <w:t>Qualitative Studie mit 12 spanischen Nephrologen zu Strategien der Hyperkaliämie-Behandlung unter Beibehaltung von Renin-Angiotensin-Aldosteron-Inhibitor-Therapie bei CKD-Stadien 3-5.</w:t>
      </w:r>
    </w:p>
    <w:p>
      <w:r>
        <w:rPr>
          <w:b/>
        </w:rPr>
        <w:t xml:space="preserve">Ergebnis: </w:t>
      </w:r>
      <w:r>
        <w:t>Fünf Themen identifiziert: (1) strukturierter Behandlungsalgorithmus für RAASi-Erhalt, (2) neue Kaliumbinder (Patiromer, Natriumzirkonium-Zykliosilikat) als effektiv und besser verträglich, (3) Systembarrieren (Visado-Anforderungen, regionale Formularvarianz) limitieren Zugang, (4) Patientenengagement durch Kommunikation und Pflege-Edukation fördert Adhärenz, (5) Lebensqualität wird selten formal erfasst. Kernempfehlung: Vereinfachte Zugangsswege und verbesserte Multidisziplinarität nötig.</w:t>
      </w:r>
    </w:p>
    <w:p>
      <w:r>
        <w:rPr>
          <w:b/>
          <w:sz w:val="19"/>
        </w:rPr>
        <w:t xml:space="preserve">Übertragbarkeit: </w:t>
      </w:r>
      <w:r>
        <w:rPr>
          <w:sz w:val="19"/>
        </w:rPr>
        <w:t>Spanien, vergleichbares öffentliches Gesundheitssystem, direkt übertragbar für deutsches CKD-Management.</w:t>
      </w:r>
    </w:p>
    <w:p>
      <w:r>
        <w:rPr>
          <w:color w:val="5A7D3A"/>
          <w:sz w:val="18"/>
        </w:rPr>
        <w:t>https://pubmed.ncbi.nlm.nih.gov/42531230/</w:t>
      </w:r>
    </w:p>
    <w:p>
      <w:pPr>
        <w:pStyle w:val="Heading1"/>
      </w:pPr>
      <w:r>
        <w:t>Aufgenommen am 26.08.2026</w:t>
      </w:r>
    </w:p>
    <w:p>
      <w:pPr>
        <w:pStyle w:val="Heading2"/>
      </w:pPr>
      <w:r>
        <w:t>Geschlechtsspezifische Trajectories bei Typ-2-Diabetes: Psychische Erkrankungen bei Frauen häufiger</w:t>
      </w:r>
    </w:p>
    <w:p>
      <w:r>
        <w:rPr>
          <w:i/>
          <w:color w:val="666666"/>
          <w:sz w:val="18"/>
        </w:rPr>
        <w:t>Eto F et al.  ·  PLoS Med  ·  25.08.2026  ·  PMID 42640878</w:t>
      </w:r>
    </w:p>
    <w:p>
      <w:r>
        <w:t>Kohortenstudie mit 28.720 Personen in Großbritannien untersucht unterschiedliche Krankheitsverlaufsmuster nach Typ-2-Diabetes-Diagnose, unterschieden nach Geschlecht.</w:t>
      </w:r>
    </w:p>
    <w:p>
      <w:r>
        <w:rPr>
          <w:b/>
        </w:rPr>
        <w:t xml:space="preserve">Ergebnis: </w:t>
      </w:r>
      <w:r>
        <w:t>Bei Frauen traten psychische Erkrankungen post-Diabetes signifikant häufiger auf als bei Männern (8,1% vs. 5,3%), während Männer höhere Raten für Herz-Kreislauf- und Nierenerkrankungen zeigten (8,4% vs. 5,3%). Beide Geschlechter mit kombiniertem Diabetes und psychischer Erkrankung erlebten vorzeitige Sterblichkeit.</w:t>
      </w:r>
    </w:p>
    <w:p>
      <w:r>
        <w:rPr>
          <w:b/>
          <w:sz w:val="19"/>
        </w:rPr>
        <w:t xml:space="preserve">Übertragbarkeit: </w:t>
      </w:r>
      <w:r>
        <w:rPr>
          <w:sz w:val="19"/>
        </w:rPr>
        <w:t>UK-Register-Daten, vergleichbar mit deutschen Disease-Management-Strukturen zur geschlechtsspezifischen Therapieplanung.</w:t>
      </w:r>
    </w:p>
    <w:p>
      <w:r>
        <w:rPr>
          <w:color w:val="5A7D3A"/>
          <w:sz w:val="18"/>
        </w:rPr>
        <w:t>https://pubmed.ncbi.nlm.nih.gov/42640878/</w:t>
      </w:r>
    </w:p>
    <w:p>
      <w:pPr>
        <w:pStyle w:val="Heading2"/>
      </w:pPr>
      <w:r>
        <w:t>Post-COVID-Endotheldysfunktion verschärft sich bei Patienten mit ME/CFS-Kriterien: Retinale Gefäßanalyse zeigt Arteriolenkatheteropathie</w:t>
      </w:r>
    </w:p>
    <w:p>
      <w:r>
        <w:rPr>
          <w:i/>
          <w:color w:val="666666"/>
          <w:sz w:val="18"/>
        </w:rPr>
        <w:t>Wallraven T et al.  ·  BMC Med  ·  19.08.2026  ·  PMID 42625188</w:t>
      </w:r>
    </w:p>
    <w:p>
      <w:r>
        <w:t>Prospektive Beobachtungsstudie mit 300 Teilnehmern (96 nie infiziert, 102 genesen, 102 mit Post-COVID-Syndrom, davon 62 mit ME/CFS-Kriterien) untersucht Mikrozirkulation mittels retinaler Gefäßanalyse.</w:t>
      </w:r>
    </w:p>
    <w:p>
      <w:r>
        <w:rPr>
          <w:b/>
        </w:rPr>
        <w:t xml:space="preserve">Ergebnis: </w:t>
      </w:r>
      <w:r>
        <w:t>Patienten mit Post-COVID zeigten reduzierte Venendilation (3,7% ± 2,2 vs. 4,8% ± 3,0, p=0,006), engere retinale Arteriolen (CRAE: 178,3 ± 15,5 vs. 186,1 ± 15,7 μm, p=0,001) und niedrigere Arteriol-Venol-Verhältnisse als Genesene (0,83 ± 0,06 vs. 0,86 ± 0,07, p&lt;0,001). Patienten mit ME/CFS-Kriterien zeigten stärkste Veränderungen (AUC 0,79).</w:t>
      </w:r>
    </w:p>
    <w:p>
      <w:r>
        <w:rPr>
          <w:b/>
          <w:sz w:val="19"/>
        </w:rPr>
        <w:t xml:space="preserve">Übertragbarkeit: </w:t>
      </w:r>
      <w:r>
        <w:rPr>
          <w:sz w:val="19"/>
        </w:rPr>
        <w:t>Multinationale Studie (Deutschland, Schweiz); relevanter für Versorgungsfragen zu Post-COVID-Rehabilitationsbedarfen.</w:t>
      </w:r>
    </w:p>
    <w:p>
      <w:r>
        <w:rPr>
          <w:color w:val="5A7D3A"/>
          <w:sz w:val="18"/>
        </w:rPr>
        <w:t>https://pubmed.ncbi.nlm.nih.gov/42625188/</w:t>
      </w:r>
    </w:p>
    <w:p>
      <w:pPr>
        <w:pStyle w:val="Heading1"/>
      </w:pPr>
      <w:r>
        <w:t>Aufgenommen am 24.08.2026</w:t>
      </w:r>
    </w:p>
    <w:p>
      <w:pPr>
        <w:pStyle w:val="Heading2"/>
      </w:pPr>
      <w:r>
        <w:t>Kontinuität der Versorgung senkt Krankenhauseinweisungen und Sterblichkeit bei COPD um 25–63 %</w:t>
      </w:r>
    </w:p>
    <w:p>
      <w:r>
        <w:rPr>
          <w:i/>
          <w:color w:val="666666"/>
          <w:sz w:val="18"/>
        </w:rPr>
        <w:t>Ko J et al.  ·  Int J Chron Obstruct Pulmon Dis  ·  18.08.2026  ·  PMID 42633418</w:t>
      </w:r>
    </w:p>
    <w:p>
      <w:r>
        <w:t>Retrospektive südkoreanische Kohortenstudie mit 29.316 neu diagnostizierten COPD-Patienten aus nationalen Versicherungsdaten 2002–2019 zur Wirkung der Versorgungskontinuität (CoC) auf Krankenhauseinweisungen und Sterblichkeit.</w:t>
      </w:r>
    </w:p>
    <w:p>
      <w:r>
        <w:rPr>
          <w:b/>
        </w:rPr>
        <w:t xml:space="preserve">Ergebnis: </w:t>
      </w:r>
      <w:r>
        <w:t>Niedrige CoC-Werte (&lt;0,7) assoziiert mit erhöhtem Risiko für 3-Jahres-Exazerbations-Krankenhauseinweisung (HR 1,63, 95% CI 1,45–1,83) und allgemeine Mortalität (HR 1,25, 95% CI 1,11–1,40) vs. hohe CoC. Progressiv: Intermediate CoC (0,4–0,7) HR 1,61 für Einweisungen und 1,24 für Mortalität; sehr niedrig (&lt;0,4) HR 1,65 und 1,26. Notaufnahmen HR 1,48, allgemeine Hospitalisierungen HR 1,70 bei niedriger CoC. Befunde konsistent über alternative Kontinuitäts-Indizes. Fragmentierte ambulante Versorgung erhöht vermeidbare Krankenhaus-Kontakte und Todesfälle erheblich.</w:t>
      </w:r>
    </w:p>
    <w:p>
      <w:r>
        <w:rPr>
          <w:b/>
          <w:sz w:val="19"/>
        </w:rPr>
        <w:t xml:space="preserve">Übertragbarkeit: </w:t>
      </w:r>
      <w:r>
        <w:rPr>
          <w:sz w:val="19"/>
        </w:rPr>
        <w:t>Südkorea, nationale Versicherungsdaten, zeigt Bedeutung von Kontinuität unabhängig vom Finanzsystem</w:t>
      </w:r>
    </w:p>
    <w:p>
      <w:r>
        <w:rPr>
          <w:color w:val="5A7D3A"/>
          <w:sz w:val="18"/>
        </w:rPr>
        <w:t>https://pubmed.ncbi.nlm.nih.gov/42633418/</w:t>
      </w:r>
    </w:p>
    <w:p>
      <w:pPr>
        <w:pStyle w:val="Heading1"/>
      </w:pPr>
      <w:r>
        <w:t>Aufgenommen am 23.08.2026</w:t>
      </w:r>
    </w:p>
    <w:p>
      <w:pPr>
        <w:pStyle w:val="Heading2"/>
      </w:pPr>
      <w:r>
        <w:t>Mehrfacherkrankung bei Vorhofflimmern nimmt zu: Gepräge und Verlauf stark heterogen</w:t>
      </w:r>
    </w:p>
    <w:p>
      <w:r>
        <w:rPr>
          <w:i/>
          <w:color w:val="666666"/>
          <w:sz w:val="18"/>
        </w:rPr>
        <w:t>Reinilä S et al.  ·  Eur J Clin Invest  ·  Aug. 2026  ·  PMID 42629441</w:t>
      </w:r>
    </w:p>
    <w:p>
      <w:r>
        <w:t>Finnische Kohorte aller Patienten mit neu diagnostiziertem Vorhofflimmern 2009–2018 (n=196.536); Erfassung von Begleiterkrankungen über nationale Register mit 5-Jahres-Lookback.</w:t>
      </w:r>
    </w:p>
    <w:p>
      <w:r>
        <w:rPr>
          <w:b/>
        </w:rPr>
        <w:t xml:space="preserve">Ergebnis: </w:t>
      </w:r>
      <w:r>
        <w:t>85% hatten ≥2 Begleiterkrankungsgruppen, 28% ≥6 Gruppen. Mittlere Anzahl von Diagnosegruppen stieg von 3,9 auf 4,2 Gruppen (2009–2018); nach Adjustment für Alter signifikant. Mehrfacherkrankung war bei Frauen häufiger (4,2 vs. 3,9 Gruppen) und nahm mit dem Alter zu. Häufigste Begleiterkrankungen: Hypertonie, Stoffwechselerkrankungen, Diabetes, andere kardiovaskuläre Erkrankungen. Eine bedeutende Versorgungsherausforderung mit wachsendem Bedarf für ganzheitliche Behandlung.</w:t>
      </w:r>
    </w:p>
    <w:p>
      <w:r>
        <w:rPr>
          <w:b/>
          <w:sz w:val="19"/>
        </w:rPr>
        <w:t xml:space="preserve">Übertragbarkeit: </w:t>
      </w:r>
      <w:r>
        <w:rPr>
          <w:sz w:val="19"/>
        </w:rPr>
        <w:t>Finnland, vergleichbares nordisches Gesundheitssystem, nationale Registerdaten</w:t>
      </w:r>
    </w:p>
    <w:p>
      <w:r>
        <w:rPr>
          <w:color w:val="5A7D3A"/>
          <w:sz w:val="18"/>
        </w:rPr>
        <w:t>https://pubmed.ncbi.nlm.nih.gov/42629441/</w:t>
      </w:r>
    </w:p>
    <w:p>
      <w:pPr>
        <w:pStyle w:val="Heading1"/>
      </w:pPr>
      <w:r>
        <w:t>Aufgenommen am 22.08.2026</w:t>
      </w:r>
    </w:p>
    <w:p>
      <w:pPr>
        <w:pStyle w:val="Heading2"/>
      </w:pPr>
      <w:r>
        <w:t>HAQ-DI-basierte Screening identifiziert Hochrisiko-Phänotyp mit funktioneller Behinderung in COPD</w:t>
      </w:r>
    </w:p>
    <w:p>
      <w:r>
        <w:rPr>
          <w:i/>
          <w:color w:val="666666"/>
          <w:sz w:val="18"/>
        </w:rPr>
        <w:t>Rogier J et al.  ·  Int J Chron Obstruct Pulmon Dis  ·  15.08.2026  ·  PMID 42621973</w:t>
      </w:r>
    </w:p>
    <w:p>
      <w:r>
        <w:t>Französische Kohortenstudie (n=117) der funktionalen Behinderung bei COPD-Patienten mittels Health Assessment Questionnaire – Disability Index (HAQ-DI) in Relation zu Krankheitsschwere und Krankheitslast.</w:t>
      </w:r>
    </w:p>
    <w:p>
      <w:r>
        <w:rPr>
          <w:b/>
        </w:rPr>
        <w:t xml:space="preserve">Ergebnis: </w:t>
      </w:r>
      <w:r>
        <w:t>Patienten mit COPD GOLD 3–4 zeigten höhere HAQ-DI-Werte als GOLD 1–2 (0,50 vs. 0,25, p=0,015); 20 Patienten (17,1%) erfüllten Kriterien für "Hochfunktionelle Behinderung" (HAQ-DI ≥1) mit ungünstigeren Prognose-Markern; HAQ-DI korrelierte mit Exazerbationen, Dyspnoe und Krankheitslast (alle p&lt;0,001). HAQ-DI ist ein praktisches Screening-Instrument zur Identifizierung von Patienten mit hohem funktionellem Risiko, die von Rehabilitations- und psychologischem Support profitieren könnten.</w:t>
      </w:r>
    </w:p>
    <w:p>
      <w:r>
        <w:rPr>
          <w:b/>
          <w:sz w:val="19"/>
        </w:rPr>
        <w:t xml:space="preserve">Übertragbarkeit: </w:t>
      </w:r>
      <w:r>
        <w:rPr>
          <w:sz w:val="19"/>
        </w:rPr>
        <w:t>Frankreich, vergleichbare Dokumentation von Komorbiditäten und Funktionalität</w:t>
      </w:r>
    </w:p>
    <w:p>
      <w:r>
        <w:rPr>
          <w:color w:val="5A7D3A"/>
          <w:sz w:val="18"/>
        </w:rPr>
        <w:t>https://pubmed.ncbi.nlm.nih.gov/42621973/</w:t>
      </w:r>
    </w:p>
    <w:p>
      <w:pPr>
        <w:pStyle w:val="Heading2"/>
      </w:pPr>
      <w:r>
        <w:t>SMART-Youth: Longitudinale Kohortenstudie zu kardiovaskulären Risikofaktoren für subklinische Atherosklerose bei Kindern mit chronischen Erkrankungen</w:t>
      </w:r>
    </w:p>
    <w:p>
      <w:r>
        <w:rPr>
          <w:i/>
          <w:color w:val="666666"/>
          <w:sz w:val="18"/>
        </w:rPr>
        <w:t>van der Linden IA et al.  ·  BMJ Open  ·  13.08.2026  ·  PMID 42595358</w:t>
      </w:r>
    </w:p>
    <w:p>
      <w:r>
        <w:t>Prospektive longitudinale Kohortenstudie in niederländischem Universitätskrankenhaus (geplant n&gt;2000, 8–18 Jahre) zu krankheits- und lebensstilassoziierten kardiovaskulären Risikofaktoren für subklinische Atherosklerose bei Kindern mit diversen chronischen Erkrankungen (CF, JIA, CKD, IBD, angeborene Herzerkrankung etc.); Rekrutierung seit August 2024.</w:t>
      </w:r>
    </w:p>
    <w:p>
      <w:r>
        <w:rPr>
          <w:b/>
        </w:rPr>
        <w:t xml:space="preserve">Ergebnis: </w:t>
      </w:r>
      <w:r>
        <w:t>Baseline-Charakterisierung: Erfassung von Blutdruck, BMI, Lipiden, HbA1c, CRP; Messung von Karotis-Intima-Media-Dicke, Karotis-Distension und Karotis-Femoral-Pulswellen-Geschwindigkeit bei Baseline, 2-Jahr-Follow-up und Alter 17–18 Jahren. Primärer Fokus: langfristige Assoziationen zwischen kardiovaskulären Risikofaktoren und früher subklinischer Atherosklerose bei chronisch erkrankten Kindern zur Risikostratifizierung und Früherkennung.</w:t>
      </w:r>
    </w:p>
    <w:p>
      <w:r>
        <w:rPr>
          <w:b/>
          <w:sz w:val="19"/>
        </w:rPr>
        <w:t xml:space="preserve">Übertragbarkeit: </w:t>
      </w:r>
      <w:r>
        <w:rPr>
          <w:sz w:val="19"/>
        </w:rPr>
        <w:t>Niederlande, Universitätskrankenhaus in vergleichbarem System; Mehrfacherkrankungen-Fokus bei Kindern</w:t>
      </w:r>
    </w:p>
    <w:p>
      <w:r>
        <w:rPr>
          <w:color w:val="5A7D3A"/>
          <w:sz w:val="18"/>
        </w:rPr>
        <w:t>https://pubmed.ncbi.nlm.nih.gov/42595358/</w:t>
      </w:r>
    </w:p>
    <w:p>
      <w:pPr>
        <w:pStyle w:val="Heading1"/>
      </w:pPr>
      <w:r>
        <w:t>Aufgenommen am 21.08.2026</w:t>
      </w:r>
    </w:p>
    <w:p>
      <w:pPr>
        <w:pStyle w:val="Heading2"/>
      </w:pPr>
      <w:r>
        <w:t>Self-Management-Interventionen zeigen Verbesserung in Verhalten, aber nicht in Lebensqualität bei Mehrfacherkrankung</w:t>
      </w:r>
    </w:p>
    <w:p>
      <w:r>
        <w:rPr>
          <w:i/>
          <w:color w:val="666666"/>
          <w:sz w:val="18"/>
        </w:rPr>
        <w:t>Hopwood E et al.  ·  J Eval Clin Pract  ·  Aug. 2026  ·  PMID 42623506</w:t>
      </w:r>
    </w:p>
    <w:p>
      <w:r>
        <w:t>Systematische Übersicht von 28 Studien zu Wirksamkeit und Erfahrungen mit Self-Management-Interventionen für Erwachsene mit Mehrfacherkrankung (quantitativ und qualitativ).</w:t>
      </w:r>
    </w:p>
    <w:p>
      <w:r>
        <w:rPr>
          <w:b/>
        </w:rPr>
        <w:t xml:space="preserve">Ergebnis: </w:t>
      </w:r>
      <w:r>
        <w:t>Quantitative Evidenz zeigte bescheidene Verbesserungen in spezifischen Self-Management-Verhaltensweisen (gesundheitsorientierte Aktivitäten, Selbstmonitoring), aber wenig bis kein Effekt auf Lebensqualität oder psychologische Outcomes. Qualitative Befunde deuteten auf subjektive Verbesserungen in Lebensqualität und psychischer Gesundheit hin – Diskrepanz unterstreicht Bedarf nach validierten Mehrfacherkrankungs-spezifischen Outcome-Maßen.</w:t>
      </w:r>
    </w:p>
    <w:p>
      <w:r>
        <w:rPr>
          <w:b/>
          <w:sz w:val="19"/>
        </w:rPr>
        <w:t xml:space="preserve">Übertragbarkeit: </w:t>
      </w:r>
      <w:r>
        <w:rPr>
          <w:sz w:val="19"/>
        </w:rPr>
        <w:t>Internationale Evidenz, vorwiegend europäisch, direkt auf Primärversorgung übertragbar</w:t>
      </w:r>
    </w:p>
    <w:p>
      <w:r>
        <w:rPr>
          <w:color w:val="5A7D3A"/>
          <w:sz w:val="18"/>
        </w:rPr>
        <w:t>https://pubmed.ncbi.nlm.nih.gov/42623506/</w:t>
      </w:r>
    </w:p>
    <w:p>
      <w:pPr>
        <w:pStyle w:val="Heading2"/>
      </w:pPr>
      <w:r>
        <w:t>Digitales Multikomponent-Programm reduziert Angst und Depression bei Mehrfacherkrankung um 2,6–2,9 Punkte auf HADS</w:t>
      </w:r>
    </w:p>
    <w:p>
      <w:r>
        <w:rPr>
          <w:i/>
          <w:color w:val="666666"/>
          <w:sz w:val="18"/>
        </w:rPr>
        <w:t>Johnson E et al.  ·  PLoS Med  ·  20.08.2026  ·  PMID 42623335</w:t>
      </w:r>
    </w:p>
    <w:p>
      <w:r>
        <w:t>Dreiarmige randomisierte Studie (825 Patienten über 13 Länder, online durchgeführt 2023–2024) zu Effekt eines digitalen Programms mit oder ohne menschliche Unterstützung versus Warteliste bei Angst und Depression bei chronischen Erkrankungen.</w:t>
      </w:r>
    </w:p>
    <w:p>
      <w:r>
        <w:rPr>
          <w:b/>
        </w:rPr>
        <w:t xml:space="preserve">Ergebnis: </w:t>
      </w:r>
      <w:r>
        <w:t>Primärer Vergleich (eMPower + Human Support vs. Kontrolle): HADS-Gesamtscore verbesserte sich um 2,9 Punkte (95%-KI 2,0–3,8; p&lt;0,001). Self-directed eMPower zeigte ähnliche Verbesserung (2,6 Punkte; 95%-KI 1,8–3,5; p&lt;0,001); kein signifikanter Unterschied zwischen Interventionen. Verbesserungen auch bei Müdigkeit (MFIS) und Lebensqualität (SF-12, EQ-5D-5L). Keine unerwünschten Ereignisse berichtet.</w:t>
      </w:r>
    </w:p>
    <w:p>
      <w:r>
        <w:rPr>
          <w:b/>
          <w:sz w:val="19"/>
        </w:rPr>
        <w:t xml:space="preserve">Übertragbarkeit: </w:t>
      </w:r>
      <w:r>
        <w:rPr>
          <w:sz w:val="19"/>
        </w:rPr>
        <w:t>Internetbasiert, international, aber auf Mehrfacherkrankung generell bezogen, gute Übertragbarkeit</w:t>
      </w:r>
    </w:p>
    <w:p>
      <w:r>
        <w:rPr>
          <w:color w:val="5A7D3A"/>
          <w:sz w:val="18"/>
        </w:rPr>
        <w:t>https://pubmed.ncbi.nlm.nih.gov/42623335/</w:t>
      </w:r>
    </w:p>
    <w:p>
      <w:pPr>
        <w:pStyle w:val="Heading2"/>
      </w:pPr>
      <w:r>
        <w:t>Psychische Erkrankungen mit 1,85- bis 3,16-fach erhöhtem Risiko für systemische Mehrfacherkrankung bei jungen Frauen</w:t>
      </w:r>
    </w:p>
    <w:p>
      <w:r>
        <w:rPr>
          <w:i/>
          <w:color w:val="666666"/>
          <w:sz w:val="18"/>
        </w:rPr>
        <w:t>Halstead S et al.  ·  Lancet Psychiatry  ·  Sept. 2026  ·  PMID 42586082</w:t>
      </w:r>
    </w:p>
    <w:p>
      <w:r>
        <w:t>Kohortenstudie mit 30.189 Patienten mit Schizophrenie-Spektrum/bipolaren Störungen und 148.476 Kontrollen (Queensland, Australien, 2000–2023) zu Inzidenz und absoluten Unterschieden in systemischer Mehrfacherkrankung (Multiple Systeme betroffen).</w:t>
      </w:r>
    </w:p>
    <w:p>
      <w:r>
        <w:rPr>
          <w:b/>
        </w:rPr>
        <w:t xml:space="preserve">Ergebnis: </w:t>
      </w:r>
      <w:r>
        <w:t>Relative Inzidenz der Mehrfacherkrankung signifikant erhöht: mindestens ein System HR=1,85 (95%-KI 1,81–1,88), fünf Systeme HR=3,16 (95%-KI 3,01–3,30). Bei 20 Jahren absolute Cumulative-Incidence-Unterschiede: 9,79 zusätzliche Fälle pro 100 Personen (≥1 System), höchste Effekte bei Frauen &lt;25 Jahren (HR=9,24 für ≥5 Systeme; 95%-KI 7,30–11,71).</w:t>
      </w:r>
    </w:p>
    <w:p>
      <w:r>
        <w:rPr>
          <w:b/>
          <w:sz w:val="19"/>
        </w:rPr>
        <w:t xml:space="preserve">Übertragbarkeit: </w:t>
      </w:r>
      <w:r>
        <w:rPr>
          <w:sz w:val="19"/>
        </w:rPr>
        <w:t>Australien (vergleichbar mit Mittelsystemländern), großes Register, aber klinisches Risikoprofil generell übertragbar</w:t>
      </w:r>
    </w:p>
    <w:p>
      <w:r>
        <w:rPr>
          <w:color w:val="5A7D3A"/>
          <w:sz w:val="18"/>
        </w:rPr>
        <w:t>https://pubmed.ncbi.nlm.nih.gov/42586082/</w:t>
      </w:r>
    </w:p>
    <w:p>
      <w:pPr>
        <w:pStyle w:val="Heading1"/>
      </w:pPr>
      <w:r>
        <w:t>Aufgenommen am 20.08.2026</w:t>
      </w:r>
    </w:p>
    <w:p>
      <w:pPr>
        <w:pStyle w:val="Heading2"/>
      </w:pPr>
      <w:r>
        <w:t>COPD mit Typ-2-Entzündung und Exazerbationen trotz Dreifachtherapie – 3-fach höhere Kosten und Hospitalisierungsrate</w:t>
      </w:r>
    </w:p>
    <w:p>
      <w:r>
        <w:rPr>
          <w:i/>
          <w:color w:val="666666"/>
          <w:sz w:val="18"/>
        </w:rPr>
        <w:t>Narendra DK et al.  ·  Int J Chron Obstruct Pulmon Dis  ·  13.08.2026  ·  PMID 42609821</w:t>
      </w:r>
    </w:p>
    <w:p>
      <w:r>
        <w:t>Retrospektive Analyse der Optum-Datenbank (über 28 Millionen Versicherte, USA) zu Exazerbationen und Versorgungslast bei COPD-Patienten mit Typ-2-Entzündung (erhöhte Eosinophile) und Exazerbationshistorie trotz Dreifachtherapie.</w:t>
      </w:r>
    </w:p>
    <w:p>
      <w:r>
        <w:rPr>
          <w:b/>
        </w:rPr>
        <w:t xml:space="preserve">Ergebnis: </w:t>
      </w:r>
      <w:r>
        <w:t>Bei 13.840 Patienten (6.389 mit Exazerbationen und Eosinophile ≥150 Zellen/μL): durchschnittlich 1,58 COPD-Exazerbationen/Jahr vs. 0,52 in der Kontrollgruppe; um ~6.700 USD höhere jährliche Kosten; höhere Notaufnahme- und Hospitalisierungsraten trotz optimierter medikamentöser Therapie. Ungedeckter Versorgungsbedarf.</w:t>
      </w:r>
    </w:p>
    <w:p>
      <w:r>
        <w:rPr>
          <w:b/>
          <w:sz w:val="19"/>
        </w:rPr>
        <w:t xml:space="preserve">Übertragbarkeit: </w:t>
      </w:r>
      <w:r>
        <w:rPr>
          <w:sz w:val="19"/>
        </w:rPr>
        <w:t>USA-Daten; Effektivitätsbefund (Exazerbationslast trotz optimaler medikamentöser Versorgung) übertragbar auf Deutschland.</w:t>
      </w:r>
    </w:p>
    <w:p>
      <w:r>
        <w:rPr>
          <w:color w:val="5A7D3A"/>
          <w:sz w:val="18"/>
        </w:rPr>
        <w:t>https://pubmed.ncbi.nlm.nih.gov/42609821/</w:t>
      </w:r>
    </w:p>
    <w:p>
      <w:pPr>
        <w:pStyle w:val="Heading2"/>
      </w:pPr>
      <w:r>
        <w:t>Cluster-Analyse identifiziert sechs Subtypen hochgradig multimorbider Patienten für gezielte Interventionen im englischen Gesundheitssystem</w:t>
      </w:r>
    </w:p>
    <w:p>
      <w:r>
        <w:rPr>
          <w:i/>
          <w:color w:val="666666"/>
          <w:sz w:val="18"/>
        </w:rPr>
        <w:t>Wood RM et al.  ·  Health Care Manag Sci  ·  07.08.2026  ·  PMID 42566017</w:t>
      </w:r>
    </w:p>
    <w:p>
      <w:r>
        <w:t>Clusteranalyse von 19.520 Hochmorbidität-Patienten (top 3% von 1 Million Versicherten, &gt;1/5 der Kosten) in Bristol, um heterogene Subgruppen und entsprechende Versorgungsziele zu definieren.</w:t>
      </w:r>
    </w:p>
    <w:p>
      <w:r>
        <w:rPr>
          <w:b/>
        </w:rPr>
        <w:t xml:space="preserve">Ergebnis: </w:t>
      </w:r>
      <w:r>
        <w:t>Sechs Cluster identifiziert: Ältere ohne Demenz (n=1.243); Krebs (n=1.055); Jünger/komplex (n=2.199); Atemwege (n=4.743); Kardiovaskulär (n=6.140); Demenz (n=4.579). Jeder Cluster erhielt wertbasierte Versorgungsziele und spezifische klinische Managemententscheidungen. Heterogenität innerhalb der Hochmorbidität erfordert maßgeschneiderte Interventionen.</w:t>
      </w:r>
    </w:p>
    <w:p>
      <w:r>
        <w:rPr>
          <w:b/>
          <w:sz w:val="19"/>
        </w:rPr>
        <w:t xml:space="preserve">Übertragbarkeit: </w:t>
      </w:r>
      <w:r>
        <w:rPr>
          <w:sz w:val="19"/>
        </w:rPr>
        <w:t>Vereinigtes Königreich, NHS-Struktur, ähnliche Versorgungsmotivation.</w:t>
      </w:r>
    </w:p>
    <w:p>
      <w:r>
        <w:rPr>
          <w:color w:val="5A7D3A"/>
          <w:sz w:val="18"/>
        </w:rPr>
        <w:t>https://pubmed.ncbi.nlm.nih.gov/42566017/</w:t>
      </w:r>
    </w:p>
    <w:p>
      <w:pPr>
        <w:pStyle w:val="Heading2"/>
      </w:pPr>
      <w:r>
        <w:t>Capability Cards unterstützen personzentrierte Gespräche bei Mehrfacherkrankungen in spanischer Primärversorgung – validiert</w:t>
      </w:r>
    </w:p>
    <w:p>
      <w:r>
        <w:rPr>
          <w:i/>
          <w:color w:val="666666"/>
          <w:sz w:val="18"/>
        </w:rPr>
        <w:t>Llubes-Arrià L et al.  ·  Prim Health Care Res Dev  ·  06.08.2026  ·  PMID 42559972</w:t>
      </w:r>
    </w:p>
    <w:p>
      <w:r>
        <w:t>Methodische Validierungsstudie der spanischen Übersetzung und kulturellen Anpassung der Capability Cards als Werkzeug für Patienten mit Mehrfacherkrankung in spanischen Gemeinschaftspraxen.</w:t>
      </w:r>
    </w:p>
    <w:p>
      <w:r>
        <w:rPr>
          <w:b/>
        </w:rPr>
        <w:t xml:space="preserve">Ergebnis: </w:t>
      </w:r>
      <w:r>
        <w:t>Hohe inhaltsliche Validität in allen Gruppen (Content Validity Index: Experten 0,88; Fachkräfte 0,96; Zielpopulation 0,98); ausgezeichnete Usability (System Usability Scale). Capability Cards zeigten starke kulturelle Angemessenheit und Eignung für strukturierte, personzentrierte Gespräche zur Förderung von Empowerment und partizipatorischer Versorgung bei Mehrfacherkrankung.</w:t>
      </w:r>
    </w:p>
    <w:p>
      <w:r>
        <w:rPr>
          <w:b/>
          <w:sz w:val="19"/>
        </w:rPr>
        <w:t xml:space="preserve">Übertragbarkeit: </w:t>
      </w:r>
      <w:r>
        <w:rPr>
          <w:sz w:val="19"/>
        </w:rPr>
        <w:t>Spanien, ambulante Primärversorgung ähnlich Deutschland.</w:t>
      </w:r>
    </w:p>
    <w:p>
      <w:r>
        <w:rPr>
          <w:color w:val="5A7D3A"/>
          <w:sz w:val="18"/>
        </w:rPr>
        <w:t>https://pubmed.ncbi.nlm.nih.gov/42559972/</w:t>
      </w:r>
    </w:p>
    <w:p>
      <w:pPr>
        <w:pStyle w:val="Heading1"/>
      </w:pPr>
      <w:r>
        <w:t>Aufgenommen am 19.08.2026</w:t>
      </w:r>
    </w:p>
    <w:p>
      <w:pPr>
        <w:pStyle w:val="Heading2"/>
      </w:pPr>
      <w:r>
        <w:t>Hybrid-Versorgung für COPD-Patienten mit hohem Risiko: Pflegeleitung, Personalisierung und digitale Unterstützung zeigen Machbarkeit</w:t>
      </w:r>
    </w:p>
    <w:p>
      <w:r>
        <w:rPr>
          <w:i/>
          <w:color w:val="666666"/>
          <w:sz w:val="18"/>
        </w:rPr>
        <w:t>Gómez-López A et al.  ·  J Med Internet Res  ·  18.08.2026  ·  PMID 42612086</w:t>
      </w:r>
    </w:p>
    <w:p>
      <w:r>
        <w:t>Co-Design-Studie in Barcelona mit vier PDSA-Zyklen zur Operationalisierung einer Hybrid-Care-Intervention (Pflege vor Ort, Personalisierung, digitale Unterstützung) für Patienten mit COPD, Asthma und Bronchiektasen bei exazerbierter und stabiler Erkrankung.</w:t>
      </w:r>
    </w:p>
    <w:p>
      <w:r>
        <w:rPr>
          <w:b/>
        </w:rPr>
        <w:t xml:space="preserve">Ergebnis: </w:t>
      </w:r>
      <w:r>
        <w:t>Am Ende PDSA-3 (August 2025) wurde Operationalisierung dreier Kernkomponenten erreicht: (1) Nurse-Led-Versorgung vor Ort, (2) Personalisierung der Intervention, (3) fortgeschrittene digitale Unterstützung. Konsens unter allen Stakeholdern zu Anwendbarkeit im klinisch stabilen und exazerbiertem Zustand sowie zu kurzfristiger Implementierungs- und nachhaltiger Übernahmestrategie.</w:t>
      </w:r>
    </w:p>
    <w:p>
      <w:r>
        <w:rPr>
          <w:b/>
          <w:sz w:val="19"/>
        </w:rPr>
        <w:t xml:space="preserve">Übertragbarkeit: </w:t>
      </w:r>
      <w:r>
        <w:rPr>
          <w:sz w:val="19"/>
        </w:rPr>
        <w:t>Spanien, katalanisches Gesundheitssystem – Erkenntnisse zur Integration digitaler Tools in koordinierte Versorgung relevant</w:t>
      </w:r>
    </w:p>
    <w:p>
      <w:r>
        <w:rPr>
          <w:color w:val="5A7D3A"/>
          <w:sz w:val="18"/>
        </w:rPr>
        <w:t>https://pubmed.ncbi.nlm.nih.gov/42612086/</w:t>
      </w:r>
    </w:p>
    <w:p>
      <w:pPr>
        <w:pStyle w:val="Heading2"/>
      </w:pPr>
      <w:r>
        <w:t>Patienten mit eosinophiler COPD und Exazerbationen haben hohes Hospitalisierungs- und Kostenrisiko trotz Dreifachtherapie</w:t>
      </w:r>
    </w:p>
    <w:p>
      <w:r>
        <w:rPr>
          <w:i/>
          <w:color w:val="666666"/>
          <w:sz w:val="18"/>
        </w:rPr>
        <w:t>Di Giorgi N et al.  ·  Int J Chron Obstruct Pulmon Dis  ·  13.08.2026  ·  PMID 42609817</w:t>
      </w:r>
    </w:p>
    <w:p>
      <w:r>
        <w:t>Reale-Welt-Datenanalyse von 3.279 COPD-Patienten in einem italienischen Tertiärkrankenhaus zur Identifikation von Patienten mit erhöhten Eosinophilen, die für zielgerichtete biologische Therapien (Dupilumab) infrage kommen.</w:t>
      </w:r>
    </w:p>
    <w:p>
      <w:r>
        <w:rPr>
          <w:b/>
        </w:rPr>
        <w:t xml:space="preserve">Ergebnis: </w:t>
      </w:r>
      <w:r>
        <w:t>Unter 224 Patienten mit Exazerbationen unter Dreifachtherapie hatten 87 (38,8 %) mindestens eine Eosinophilenzahl ≥300 Zellen/µL (Median-Messwerte 210 [IQR 130–335] Zellen/µL). Patienten mit EOS ≥300 gegenüber &lt;300: höhere Krankenhausaufnahmen (23,0 % vs. 12,2 %; p=0,005), größere Komorbiditätslast (71,3 % kardiovaskulär, 59,8 % metabolisch), numerisch höhere Gesamtsterblichkeit (19,5 % vs. 13,0 %, nicht signifikant), mehr jährliche Kontakte (4,5 vs. 3,0; p&lt;0,001).</w:t>
      </w:r>
    </w:p>
    <w:p>
      <w:r>
        <w:rPr>
          <w:b/>
          <w:sz w:val="19"/>
        </w:rPr>
        <w:t xml:space="preserve">Übertragbarkeit: </w:t>
      </w:r>
      <w:r>
        <w:rPr>
          <w:sz w:val="19"/>
        </w:rPr>
        <w:t>Italien, vergleichbares europäisches Krankenversicherungssystem; Eosinophil-Monitoring zur Therapiesteuerung</w:t>
      </w:r>
    </w:p>
    <w:p>
      <w:r>
        <w:rPr>
          <w:color w:val="5A7D3A"/>
          <w:sz w:val="18"/>
        </w:rPr>
        <w:t>https://pubmed.ncbi.nlm.nih.gov/42609817/</w:t>
      </w:r>
    </w:p>
    <w:p>
      <w:pPr>
        <w:pStyle w:val="Heading2"/>
      </w:pPr>
      <w:r>
        <w:t>Strukturierte Transitionsversorgung erhöht Übergangsbereitschaft junger Erwachsener mit chronischen Erkrankungen (COCCOS-Protokoll)</w:t>
      </w:r>
    </w:p>
    <w:p>
      <w:r>
        <w:rPr>
          <w:i/>
          <w:color w:val="666666"/>
          <w:sz w:val="18"/>
        </w:rPr>
        <w:t>Van Wilder L et al.  ·  PLoS One  ·  17.08.2026  ·  PMID 42607051</w:t>
      </w:r>
    </w:p>
    <w:p>
      <w:r>
        <w:t>Protokoll einer quasi-experimentellen Studie zur Evaluation eines co-gestalteten Übergangsprogramms von Kindermedizin zu Erwachsenenmedizin bei Patienten mit Typ-1-Diabetes, Asthma oder Adipositas in Belgien.</w:t>
      </w:r>
    </w:p>
    <w:p>
      <w:r>
        <w:rPr>
          <w:b/>
        </w:rPr>
        <w:t xml:space="preserve">Ergebnis: </w:t>
      </w:r>
      <w:r>
        <w:t>Ziel ist Test von vier strukturierten Konsultationen über 13–16 Monate. Primäres Outcome: Transition Readiness Assessment Questionnaire. Sekundäroutcomes: Patient Empowerment, Therapietreue, gesundheitsbezogene Lebensqualität, psychische Gesundheit. Kosteneffektivität aus Payer-Perspektive mit Quality-Adjusted Life Years gemessen. Mixed-Methods-Prozessevaluationen geplant. Im Stadium PDSA-3 (August 2025); Ergebnisse erwartet 2027.</w:t>
      </w:r>
    </w:p>
    <w:p>
      <w:r>
        <w:rPr>
          <w:b/>
          <w:sz w:val="19"/>
        </w:rPr>
        <w:t xml:space="preserve">Übertragbarkeit: </w:t>
      </w:r>
      <w:r>
        <w:rPr>
          <w:sz w:val="19"/>
        </w:rPr>
        <w:t>Belgien, ähnliche Versicherungssysteme und Versorgungspfade wie deutschsprachiger Raum</w:t>
      </w:r>
    </w:p>
    <w:p>
      <w:r>
        <w:rPr>
          <w:color w:val="5A7D3A"/>
          <w:sz w:val="18"/>
        </w:rPr>
        <w:t>https://pubmed.ncbi.nlm.nih.gov/42607051/</w:t>
      </w:r>
    </w:p>
    <w:p>
      <w:pPr>
        <w:pStyle w:val="Heading2"/>
      </w:pPr>
      <w:r>
        <w:t>Mehrfacherkrankung im Alter erhöht Gesamt-Versorgungsausgaben um 11,6 %; sozioökonomische Ungleichheiten verstärken den Effekt</w:t>
      </w:r>
    </w:p>
    <w:p>
      <w:r>
        <w:rPr>
          <w:i/>
          <w:color w:val="666666"/>
          <w:sz w:val="18"/>
        </w:rPr>
        <w:t>Doheny M et al.  ·  BMJ Open  ·  14.08.2026  ·  PMID 42601104</w:t>
      </w:r>
    </w:p>
    <w:p>
      <w:r>
        <w:t>Querschnittsuntersuchung von 371.583 Personen ≥65 Jahre in Region Stockholm zur Prävalenz und Kostenfolgen von Mehrfacherkrankung.</w:t>
      </w:r>
    </w:p>
    <w:p>
      <w:r>
        <w:rPr>
          <w:b/>
        </w:rPr>
        <w:t xml:space="preserve">Ergebnis: </w:t>
      </w:r>
      <w:r>
        <w:t>Mehrfacherkrankung bei 62,6 % der älteren Erwachsenen. Mit ≥4 Erkrankungen stiegen die Durchschnittsausgaben auf 143.063 SEK (gegenüber 34.346 SEK ohne Erkrankung). Multimorbidität assoziiert mit 11,6 % höheren Gesamtausgaben (Cost Ratio 1,116, KI 1,114–1,118). Tiefste Einkommensgruppe zeigte 3,8 % höhere Ausgaben als höchste Gruppe. Soziale Pflegeausgaben überstiegen ab Alter 80 Jahren die Gesundheitsausgaben.</w:t>
      </w:r>
    </w:p>
    <w:p>
      <w:r>
        <w:rPr>
          <w:b/>
          <w:sz w:val="19"/>
        </w:rPr>
        <w:t xml:space="preserve">Übertragbarkeit: </w:t>
      </w:r>
      <w:r>
        <w:rPr>
          <w:sz w:val="19"/>
        </w:rPr>
        <w:t>Schweden, vergleichbares öffentliches Versicherungssystem und Dokumentation wie Deutschland</w:t>
      </w:r>
    </w:p>
    <w:p>
      <w:r>
        <w:rPr>
          <w:color w:val="5A7D3A"/>
          <w:sz w:val="18"/>
        </w:rPr>
        <w:t>https://pubmed.ncbi.nlm.nih.gov/42601104/</w:t>
      </w:r>
    </w:p>
    <w:p>
      <w:pPr>
        <w:pStyle w:val="Heading2"/>
      </w:pPr>
      <w:r>
        <w:t>Pertussis-Hospitalisierungen bei chronischen Erkrankungen: Hochrisiko-Gruppen und Präventionsbedarf in Frankreich</w:t>
      </w:r>
    </w:p>
    <w:p>
      <w:r>
        <w:rPr>
          <w:i/>
          <w:color w:val="666666"/>
          <w:sz w:val="18"/>
        </w:rPr>
        <w:t>Vargas-Zambrano JC et al.  ·  Euro Surveill  ·  Aug. 2026  ·  PMID 42596896</w:t>
      </w:r>
    </w:p>
    <w:p>
      <w:r>
        <w:t>Retrospektive Analyse von 10.893 Patienten mit Keuchhusten-Hospitalisierungen 2008–2020 in Frankreich nach Präsenz chronischer Grunderkrankungen (Asthma, COPD, Diabetes, Immunsuppression).</w:t>
      </w:r>
    </w:p>
    <w:p>
      <w:r>
        <w:rPr>
          <w:b/>
        </w:rPr>
        <w:t xml:space="preserve">Ergebnis: </w:t>
      </w:r>
      <w:r>
        <w:t>Bei Kindern/Jugendlichen (n=7.212): 17,5 % mit Asthma, 0,9 % mit Immunsuppression. Höchste kumulierte Inzidenzrate bei Immunsuppression (adjustiert CIR 3,6; KI 2,8–4,6). Bei Erwachsenen (n=3.681): 62,4 % mit Asthma/COPD, 16,1 % immunsupprimiert, 12,3 % mit Diabetes. Höchste CIR bei Asthma/COPD (18,6; KI 17,4–19,9). Medianhosp.-kosten für Immunsupprimierte 4.401 EUR. Keine signifikanten Änderungen der Ressourcennutzung vor/nach Hospitalisierung bei Erwachsenen.</w:t>
      </w:r>
    </w:p>
    <w:p>
      <w:r>
        <w:rPr>
          <w:b/>
          <w:sz w:val="19"/>
        </w:rPr>
        <w:t xml:space="preserve">Übertragbarkeit: </w:t>
      </w:r>
      <w:r>
        <w:rPr>
          <w:sz w:val="19"/>
        </w:rPr>
        <w:t>Frankreich, französisches Gesundheitssystem und Krankenversicherungsdaten wie Deutschland</w:t>
      </w:r>
    </w:p>
    <w:p>
      <w:r>
        <w:rPr>
          <w:color w:val="5A7D3A"/>
          <w:sz w:val="18"/>
        </w:rPr>
        <w:t>https://pubmed.ncbi.nlm.nih.gov/42596896/</w:t>
      </w:r>
    </w:p>
    <w:p>
      <w:pPr>
        <w:pStyle w:val="Heading2"/>
      </w:pPr>
      <w:r>
        <w:t>Verzögerte Palliativversorgung in Primärversorgung treibt vermeidbare Notfallabteilungsbesuche bei älteren Menschen mit Mehrfacherkrankung</w:t>
      </w:r>
    </w:p>
    <w:p>
      <w:r>
        <w:rPr>
          <w:i/>
          <w:color w:val="666666"/>
          <w:sz w:val="18"/>
        </w:rPr>
        <w:t>Bring H et al.  ·  Scand J Prim Health Care  ·  12.08.2026  ·  PMID 42583708</w:t>
      </w:r>
    </w:p>
    <w:p>
      <w:r>
        <w:t>Qualitative Befragung von 100 Fachleuten (Ärzte, Pflegekräfte) über Gründe für Notfallabteilungsbesuche bei älteren Patienten mit Mehrfacherkrankung und Palliativbedarf in Stockholm.</w:t>
      </w:r>
    </w:p>
    <w:p>
      <w:r>
        <w:rPr>
          <w:b/>
        </w:rPr>
        <w:t xml:space="preserve">Ergebnis: </w:t>
      </w:r>
      <w:r>
        <w:t>Übergeordnetes Thema: ‚Verzögerte, fragmentierte Palliativversorgung trägt zu ED-Besuchen bei'. Zwei Kategorien identifiziert: (1) Palliativbeschlüsse in Primärversorgung (Erkennen von Bedarf, Initiierung, Einbeziehung von Patienten/Familien); (2) Versorgung zu Hause (Planung, Symptommanagement, Informationstransfer). Fachleute berichteten, dass fehlende Vorlaufplanung zu krisenhaften ED-Besuchen führt, die Patientenwünschen widersprechen.</w:t>
      </w:r>
    </w:p>
    <w:p>
      <w:r>
        <w:rPr>
          <w:b/>
          <w:sz w:val="19"/>
        </w:rPr>
        <w:t xml:space="preserve">Übertragbarkeit: </w:t>
      </w:r>
      <w:r>
        <w:rPr>
          <w:sz w:val="19"/>
        </w:rPr>
        <w:t>Schweden, vergleichbare Primärversorgungsstruktur und Palliativstandards mit Deutschland/DACH</w:t>
      </w:r>
    </w:p>
    <w:p>
      <w:r>
        <w:rPr>
          <w:color w:val="5A7D3A"/>
          <w:sz w:val="18"/>
        </w:rPr>
        <w:t>https://pubmed.ncbi.nlm.nih.gov/42583708/</w:t>
      </w:r>
    </w:p>
    <w:p>
      <w:pPr>
        <w:pStyle w:val="Heading2"/>
      </w:pPr>
      <w:r>
        <w:t>Polypharmazie konzentriert sich auf ältere, multimorbide und sozioökonomisch benachteiligte Personen – Versorgungsmuster in Spanien</w:t>
      </w:r>
    </w:p>
    <w:p>
      <w:r>
        <w:rPr>
          <w:i/>
          <w:color w:val="666666"/>
          <w:sz w:val="18"/>
        </w:rPr>
        <w:t>Aparicio-Rodriguez G et al.  ·  Front Public Health  ·  16.07.2026  ·  PMID 42535037</w:t>
      </w:r>
    </w:p>
    <w:p>
      <w:r>
        <w:t>Querschnittsstudie von 33.534 Personen mit Polypharmazie (≥5 verschiedene ATC4-Medikamentengruppen) in La Rioja, Spanien, zu Verteilung nach Alter, Geschlecht und sozioökonomischem Status.</w:t>
      </w:r>
    </w:p>
    <w:p>
      <w:r>
        <w:rPr>
          <w:b/>
        </w:rPr>
        <w:t xml:space="preserve">Ergebnis: </w:t>
      </w:r>
      <w:r>
        <w:t>Mittlere Medikamentenbelastung 7,07 Gruppen (SD 2,17); 58,4 % erhielten 6–9 Gruppen. 71,8 % gehörten zur unteren Einkommensgruppe, die höchsten Belastungen (≥10 Gruppen) zeigten 14,9 % der Armen gegen 8,0–9,2 % der mittleren und höheren Gruppen. Chronische Grunderkrankungen (Herzinsuffizienz, Nierenkrankheit, Gefäßerkrankung) stark assoziiert mit höherer Medikamentenbelastung.</w:t>
      </w:r>
    </w:p>
    <w:p>
      <w:r>
        <w:rPr>
          <w:b/>
          <w:sz w:val="19"/>
        </w:rPr>
        <w:t xml:space="preserve">Übertragbarkeit: </w:t>
      </w:r>
      <w:r>
        <w:rPr>
          <w:sz w:val="19"/>
        </w:rPr>
        <w:t>Spanien, deutschsprachiger Raum – Datenquellen aus öffentlich finanzierter Versorgung</w:t>
      </w:r>
    </w:p>
    <w:p>
      <w:r>
        <w:rPr>
          <w:color w:val="5A7D3A"/>
          <w:sz w:val="18"/>
        </w:rPr>
        <w:t>https://pubmed.ncbi.nlm.nih.gov/42535037/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Nicht uebertragbare Krankheiten</dc:title>
  <dc:subject/>
  <dc:creator>Monitor Versorgungsforschung</dc:creator>
  <cp:keywords/>
  <dc:description>generated by python-docx</dc:description>
  <cp:lastModifiedBy/>
  <cp:revision>1</cp:revision>
  <dcterms:created xsi:type="dcterms:W3CDTF">2026-09-26T06:00:00Z</dcterms:created>
  <dcterms:modified xsi:type="dcterms:W3CDTF">2026-09-26T06:00:00Z</dcterms:modified>
  <cp:category/>
</cp:coreProperties>
</file>