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28.10.2026  |  6 Studien  |  ncd.m-vf.de</w:t>
      </w:r>
    </w:p>
    <w:p>
      <w:pPr>
        <w:pStyle w:val="Heading1"/>
      </w:pPr>
      <w:r>
        <w:t>Aufgenommen am 28.10.2026</w:t>
      </w:r>
    </w:p>
    <w:p>
      <w:pPr>
        <w:pStyle w:val="Heading2"/>
      </w:pPr>
      <w:r>
        <w:t>Bildgebung und klinische Faktoren sagen Krankenhaussterblichkeit bei COPD-Exazerbation voraus</w:t>
      </w:r>
    </w:p>
    <w:p>
      <w:r>
        <w:rPr>
          <w:i/>
          <w:color w:val="666666"/>
          <w:sz w:val="18"/>
        </w:rPr>
        <w:t>Li Y et al.  ·  Pulmonology  ·  31.12.2026  ·  PMID 42944679</w:t>
      </w:r>
    </w:p>
    <w:p>
      <w:r>
        <w:t>Retrospektive Kohortenstudie (N=465) entwickelte ein Vorhersagemodell für intrahospitale Mortalität bei akuter COPD-Exazerbation durch Kombination von klinischen Variablen und CT-gestützten Metriken.</w:t>
      </w:r>
    </w:p>
    <w:p>
      <w:r>
        <w:rPr>
          <w:b/>
        </w:rPr>
        <w:t xml:space="preserve">Ergebnis: </w:t>
      </w:r>
      <w:r>
        <w:t>Fünf unabhängige Prädiktoren identifiziert: Verwirrtheit, Lymphozytenzahl &lt;0,8×10⁹/L, chronische Herzinsuffizienz, Leukozytenzahl ≥10×10⁹/L und reduzierte pulmonale vaskuläre fraktale Dimension. Das logistische Regressionsmodell erreichte AUC 0,852 (95%-KI 0,738–0,965) im Testdatensatz und übertraf etablierte Scores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klinische Klinikdaten; Übertragung auf Deutschland an Dokumentation und Verfügbarkeit von CT-Metriken gebunden</w:t>
      </w:r>
    </w:p>
    <w:p>
      <w:r>
        <w:rPr>
          <w:color w:val="5A7D3A"/>
          <w:sz w:val="18"/>
        </w:rPr>
        <w:t>https://pubmed.ncbi.nlm.nih.gov/42944679/</w:t>
      </w:r>
    </w:p>
    <w:p>
      <w:pPr>
        <w:pStyle w:val="Heading2"/>
      </w:pPr>
      <w:r>
        <w:t>Nierenfunktion und Albuminurie vorhersagen Herz-Nieren-Ereignisse bei CKD</w:t>
      </w:r>
    </w:p>
    <w:p>
      <w:r>
        <w:rPr>
          <w:i/>
          <w:color w:val="666666"/>
          <w:sz w:val="18"/>
        </w:rPr>
        <w:t>Karaduru Avcı A et al.  ·  Medicina (Kaunas)  ·  10.10.2026  ·  PMID 42942488</w:t>
      </w:r>
    </w:p>
    <w:p>
      <w:r>
        <w:t>Retrospektive Kohortenstudie (N=263) mit mindestens 5-jähriger Nachverfolgung untersuchte Vorhersagefaktoren für kombinierte Nieren- und Herz-Kreislauf-Ereignisse bei Patienten mit CKD vor Dialysebedarf.</w:t>
      </w:r>
    </w:p>
    <w:p>
      <w:r>
        <w:rPr>
          <w:b/>
        </w:rPr>
        <w:t xml:space="preserve">Ergebnis: </w:t>
      </w:r>
      <w:r>
        <w:t>Major Adverse Kidney Events (MAKE) traten bei 36,9% auf (47,8 pro 1.000 Personenjahre), Major Adverse Cardiovascular Events (MACE) bei 20,2% (26,0 pro 1.000 Personenjahre). Makroalbuminurie war mit 7,73-fach erhöhtem MAKE-Risiko assoziiert (95%-KI 4,01–14,90). Niereninsuffizienz und Albuminurie waren unabhängig mit MAKE assoziiert; Alter und Diabetes mit MACE.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vergleichbares Versicherungssystem wie Deutschland; Therapie-Exposition gering dokumentiert</w:t>
      </w:r>
    </w:p>
    <w:p>
      <w:r>
        <w:rPr>
          <w:color w:val="5A7D3A"/>
          <w:sz w:val="18"/>
        </w:rPr>
        <w:t>https://pubmed.ncbi.nlm.nih.gov/42942488/</w:t>
      </w:r>
    </w:p>
    <w:p>
      <w:pPr>
        <w:pStyle w:val="Heading2"/>
      </w:pPr>
      <w:r>
        <w:t>Morgenblutdruck ist unabhängig mit Nierenfunktionsverschlechterung assoziiert</w:t>
      </w:r>
    </w:p>
    <w:p>
      <w:r>
        <w:rPr>
          <w:i/>
          <w:color w:val="666666"/>
          <w:sz w:val="18"/>
        </w:rPr>
        <w:t>Usta S et al.  ·  Medicina (Kaunas)  ·  03.10.2026  ·  PMID 42942442</w:t>
      </w:r>
    </w:p>
    <w:p>
      <w:r>
        <w:t>Querschnittstudie (N=132) mit 24-Stunden-Blutdrucküberwachung untersuchte Assoziationen von Blutdruckphänotypen mit Nieren- und Herzschädigung bei CKD-Patienten.</w:t>
      </w:r>
    </w:p>
    <w:p>
      <w:r>
        <w:rPr>
          <w:b/>
        </w:rPr>
        <w:t xml:space="preserve">Ergebnis: </w:t>
      </w:r>
      <w:r>
        <w:t>Morgenblutdruck präsent bei 42,4%, nächtliche Hypertonie bei 78%. Patienten mit Morgenblutdruck zeigten signifikant niedrigere eGFR und höhere UACR (beide p&lt;0,001). In multivariater Regression war Morgenblutdruck unabhängig mit niedrigerer eGFR assoziiert (β=–0,26; p=0,002). Nächtliche Hypertonie korrelierte mit kardialer Umstrukturierung.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ABPM-gestützte Diagnostik; Übertragbarkeit an deutsche Hypertonie-Management-Richtlinien gebunden</w:t>
      </w:r>
    </w:p>
    <w:p>
      <w:r>
        <w:rPr>
          <w:color w:val="5A7D3A"/>
          <w:sz w:val="18"/>
        </w:rPr>
        <w:t>https://pubmed.ncbi.nlm.nih.gov/42942442/</w:t>
      </w:r>
    </w:p>
    <w:p>
      <w:pPr>
        <w:pStyle w:val="Heading2"/>
      </w:pPr>
      <w:r>
        <w:t>Paarbeziehung formt Bewegungsangst bei COPD – Qualitative Studie zu Copingmustern</w:t>
      </w:r>
    </w:p>
    <w:p>
      <w:r>
        <w:rPr>
          <w:i/>
          <w:color w:val="666666"/>
          <w:sz w:val="18"/>
        </w:rPr>
        <w:t>Liu X et al.  ·  Int J Chron Obstruct Pulmon Dis  ·  22.10.2026  ·  PMID 42936193</w:t>
      </w:r>
    </w:p>
    <w:p>
      <w:r>
        <w:t>Qualitative Grounded-Theory-Studie (N=21 Paare) untersuchte, wie Patienten mit COPD und ihre Partner gemeinsam mit bewegungsbezogener Angst und Dyspnoe-Vermeidung umgehen.</w:t>
      </w:r>
    </w:p>
    <w:p>
      <w:r>
        <w:rPr>
          <w:b/>
        </w:rPr>
        <w:t xml:space="preserve">Ergebnis: </w:t>
      </w:r>
      <w:r>
        <w:t>Kernkategorie: ‚Zusammen gefangen oder zusammen beweglich'. Zwei kontrastierende Beziehungszustände identifiziert: ‚gemeinsam gefangen' durch persistente Vermeidung und Überprotektion versus ‚zusammen beweglich' durch Kommunikation, Rollenanpassung und positive Erfahrungen. Therapeutische Implikation: Paarzentrierte Rehabilitationsmodelle könnten nachhaltiger wirken als einzelnenorientierte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qualitativ; Konzept der Paarbeziehung übertragbar auf deutsches Rehabilitations-Setting</w:t>
      </w:r>
    </w:p>
    <w:p>
      <w:r>
        <w:rPr>
          <w:color w:val="5A7D3A"/>
          <w:sz w:val="18"/>
        </w:rPr>
        <w:t>https://pubmed.ncbi.nlm.nih.gov/42936193/</w:t>
      </w:r>
    </w:p>
    <w:p>
      <w:pPr>
        <w:pStyle w:val="Heading2"/>
      </w:pPr>
      <w:r>
        <w:t>Community Health Worker unterschätzen Wissen über Prävention chronischer Erkrankungen</w:t>
      </w:r>
    </w:p>
    <w:p>
      <w:r>
        <w:rPr>
          <w:i/>
          <w:color w:val="666666"/>
          <w:sz w:val="18"/>
        </w:rPr>
        <w:t>Pilusa TD et al.  ·  Front Public Health  ·  12.10.2026  ·  PMID 42935717</w:t>
      </w:r>
    </w:p>
    <w:p>
      <w:r>
        <w:t>Qualitative Fokusgruppenstudie (N=20 Community Health Worker) untersuchte das Verständnis von Verhaltensrisikofaktoren für nichtübertragbare Erkrankungen und Versorgungshindernisse.</w:t>
      </w:r>
    </w:p>
    <w:p>
      <w:r>
        <w:rPr>
          <w:b/>
        </w:rPr>
        <w:t xml:space="preserve">Ergebnis: </w:t>
      </w:r>
      <w:r>
        <w:t>CHW identifizierten Risikofaktoren richtig (ungesunde Ernährung, Stress, Alkoholmissbrauch), benannten aber systemische Barrieren: finanzielle Engpässe, lange Klinikwarteschlangen, mangelnde Koordination mit Fachpersonal. Implikation: Prävention scheitert nicht an fehlendem Wissen, sondern an strukturellen und ressourcenbezogenen Hindernissen – notwendig sind Zusammenarbeit und Systemreformen.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Südafrika; Erkenntnisse zu Versorgungshindernissen relevant für Länder mit ähnlicher Ressourcenlage</w:t>
      </w:r>
    </w:p>
    <w:p>
      <w:r>
        <w:rPr>
          <w:color w:val="5A7D3A"/>
          <w:sz w:val="18"/>
        </w:rPr>
        <w:t>https://pubmed.ncbi.nlm.nih.gov/42935717/</w:t>
      </w:r>
    </w:p>
    <w:p>
      <w:pPr>
        <w:pStyle w:val="Heading2"/>
      </w:pPr>
      <w:r>
        <w:t>Frühe Risikofaktoren für Adipositas und Hypertonie im mittleren Alter identifiziert</w:t>
      </w:r>
    </w:p>
    <w:p>
      <w:r>
        <w:rPr>
          <w:i/>
          <w:color w:val="666666"/>
          <w:sz w:val="18"/>
        </w:rPr>
        <w:t>Stannard S et al.  ·  J Obes  ·  2026  ·  PMID 42927470</w:t>
      </w:r>
    </w:p>
    <w:p>
      <w:r>
        <w:t>Britische Geburtskohortenstudie (N=9.150) untersuchte, welche Kindheitsfaktoren später gemeinsam auftretende Adipositas und Hypertonie vorhersagen.</w:t>
      </w:r>
    </w:p>
    <w:p>
      <w:r>
        <w:rPr>
          <w:b/>
        </w:rPr>
        <w:t xml:space="preserve">Ergebnis: </w:t>
      </w:r>
      <w:r>
        <w:t>Sozioökonomische Benachteiligung war der stärkste Prädiktor (OR 1,28; 95%-KI 1,19–1,38). Mit allen Domänen-Risikowerten zusammen erreichte das Modell eine AUC von 0,70 (95%-KI 0,67–0,72). Diese Befunde unterstützen frühe Interventionen bei sozial benachteiligten Kindern.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nationale Kohortendaten mit Verlaufsmessung bis ins Alter 44</w:t>
      </w:r>
    </w:p>
    <w:p>
      <w:r>
        <w:rPr>
          <w:color w:val="5A7D3A"/>
          <w:sz w:val="18"/>
        </w:rPr>
        <w:t>https://pubmed.ncbi.nlm.nih.gov/42927470/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2026-10-28T06:00:00Z</dcterms:created>
  <dcterms:modified xsi:type="dcterms:W3CDTF">2026-10-28T06:00:00Z</dcterms:modified>
  <cp:category/>
</cp:coreProperties>
</file>