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NCD und chronische Krankheiten</w:t>
      </w:r>
    </w:p>
    <w:p>
      <w:r>
        <w:rPr>
          <w:i/>
          <w:color w:val="666666"/>
          <w:sz w:val="18"/>
        </w:rPr>
        <w:t>Stand: 29.10.2026  |  407 Studien  |  ncd.m-vf.de</w:t>
      </w:r>
    </w:p>
    <w:p>
      <w:pPr>
        <w:pStyle w:val="Heading1"/>
      </w:pPr>
      <w:r>
        <w:t>Aufgenommen am 29.10.2026</w:t>
      </w:r>
    </w:p>
    <w:p>
      <w:pPr>
        <w:pStyle w:val="Heading2"/>
      </w:pPr>
      <w:r>
        <w:t>14 Lungengewebs-miRNAs assoziiert mit Emphysem-Ausmaß und Lungenfunktion in COPD</w:t>
      </w:r>
    </w:p>
    <w:p>
      <w:r>
        <w:rPr>
          <w:i/>
          <w:color w:val="666666"/>
          <w:sz w:val="18"/>
        </w:rPr>
        <w:t>Kim T et al.  ·  Int J Chron Obstruct Pulmon Dis  ·  23.10.2026  ·  PMID 42948330</w:t>
      </w:r>
    </w:p>
    <w:p>
      <w:r>
        <w:t>Explorative sekundäre Datenanalyse von 117 COPD-/Emphysem-Patienten aus GSE201121 zur Assoziation von Lungengewebe-miRNA-Expression mit quantitativem Emphysem (CT-Prozentsatz von niedrig-attenuierter Fläche unter -950 HU) mittels linearer Regression mit HC3-robusten Standardfehlern.</w:t>
      </w:r>
    </w:p>
    <w:p>
      <w:r>
        <w:rPr>
          <w:b/>
        </w:rPr>
        <w:t xml:space="preserve">Ergebnis: </w:t>
      </w:r>
      <w:r>
        <w:t>14 miRNAs waren assoziiert mit Emphysem-Prozentsatz (BH-FDR &lt;0,05): acht mit positiver Assoziation (miR-144-5p, miR-190a, miR-20b-5p, miR-451a, miR-3912, miR-15a-5p, miR-202-5p, miR-4497), sechs mit negativer (miR-489, miR-181b-5p, miR-378a-5p, miR-3614-5p, miR-197-3p, miR-877-3p). Assoziationen mit Lungenfunktion (FEV1 % vorhergesagt, FEV1/FVC, DLCO) waren konsistent. Enrichment-Analysen identifizierten biologische Prozesse (miRNA-Regulation, Apoptose, Hypoxie-Antworten, Zellzyklusregulation, Gefäßentwicklung). Ergebnisse sind explorativ und erfordern unabhängige Validierung.</w:t>
      </w:r>
    </w:p>
    <w:p>
      <w:r>
        <w:rPr>
          <w:b/>
          <w:sz w:val="19"/>
        </w:rPr>
        <w:t xml:space="preserve">Übertragbarkeit: </w:t>
      </w:r>
      <w:r>
        <w:rPr>
          <w:sz w:val="19"/>
        </w:rPr>
        <w:t>Südkorea, aber Transkriptomik-Analysen haben begrenzte unmittelbare Versorgungsrelevanz ohne funktionale Validierung und klinische Anwendbarkeit.</w:t>
      </w:r>
    </w:p>
    <w:p>
      <w:r>
        <w:rPr>
          <w:color w:val="5A7D3A"/>
          <w:sz w:val="18"/>
        </w:rPr>
        <w:t>https://pubmed.ncbi.nlm.nih.gov/42948330/</w:t>
      </w:r>
    </w:p>
    <w:p>
      <w:pPr>
        <w:pStyle w:val="Heading2"/>
      </w:pPr>
      <w:r>
        <w:t>Synthetische Daten aus italienischem CIDP-Register reproduzieren analytische Eigenschaften und ermöglichen Datenschutz-sichere Forschung</w:t>
      </w:r>
    </w:p>
    <w:p>
      <w:r>
        <w:rPr>
          <w:i/>
          <w:color w:val="666666"/>
          <w:sz w:val="18"/>
        </w:rPr>
        <w:t>Signori A et al.  ·  Front Neurol  ·  13.10.2026  ·  PMID 42947862</w:t>
      </w:r>
    </w:p>
    <w:p>
      <w:r>
        <w:t>Validierungsstudie von KI-generierten synthetischen Daten aus dem italienischen CIDP-Register gegen echte Daten; 195 CIDP-Fälle und 195 Kontrollen wurden analysiert und synthetische Daten mittels konditionaler Modelle generiert, um Fidelity und Distinguishability zu prüfen.</w:t>
      </w:r>
    </w:p>
    <w:p>
      <w:r>
        <w:rPr>
          <w:b/>
        </w:rPr>
        <w:t xml:space="preserve">Ergebnis: </w:t>
      </w:r>
      <w:r>
        <w:t>Synthetische Daten zeigten hohe Übereinstimmung mit echten Daten in Randverteilungen; Distinguishability-Analysen zeigten niedrige Trennbarkeit zwischen echten und synthetischen Datensätzen. Univariable Assoziationen mit CIDP-Risiko wurden eng repliziert (einschließlich protektive Effekte von höherer Fisch- und Reisaufnahme). Multivariable Modelle demonstrierten hochgradig übereinstimmende Effektschätzungen zwischen echten und synthetischen Daten. Synthetische Daten ermöglichen reproduzierbare und teilbare CIDP-Forschung bei Wahrung der Patientenprivatsphäre.</w:t>
      </w:r>
    </w:p>
    <w:p>
      <w:r>
        <w:rPr>
          <w:b/>
          <w:sz w:val="19"/>
        </w:rPr>
        <w:t xml:space="preserve">Übertragbarkeit: </w:t>
      </w:r>
      <w:r>
        <w:rPr>
          <w:sz w:val="19"/>
        </w:rPr>
        <w:t>Italien mit EU-Datenschutzrichtlinien; europäisches System mit DSGVO-Anforderungen direkt vergleichbar.</w:t>
      </w:r>
    </w:p>
    <w:p>
      <w:r>
        <w:rPr>
          <w:color w:val="5A7D3A"/>
          <w:sz w:val="18"/>
        </w:rPr>
        <w:t>https://pubmed.ncbi.nlm.nih.gov/42947862/</w:t>
      </w:r>
    </w:p>
    <w:p>
      <w:pPr>
        <w:pStyle w:val="Heading2"/>
      </w:pPr>
      <w:r>
        <w:t>Irisches CDM-Programm verbessert Selbstmanagement und Versorgungsqualität chronischer Erkrankungen</w:t>
      </w:r>
    </w:p>
    <w:p>
      <w:r>
        <w:rPr>
          <w:i/>
          <w:color w:val="666666"/>
          <w:sz w:val="18"/>
        </w:rPr>
        <w:t>O'Callaghan ME et al.  ·  BMC Prim Care  ·  31.07.2026  ·  PMID 42946997</w:t>
      </w:r>
    </w:p>
    <w:p>
      <w:r>
        <w:t>Querschnittstudie zu Erfahrungen von Patienten und Leistungserbringern mit Irlands neu skaliertem CDM-Programm für strukturierte Versorgung chronischer Erkrankungen in Allgemeinarztpraxen; Befragung von 110 Patienten und 217 Anbietern (Ärzte, Pflegekräfte).</w:t>
      </w:r>
    </w:p>
    <w:p>
      <w:r>
        <w:rPr>
          <w:b/>
        </w:rPr>
        <w:t xml:space="preserve">Ergebnis: </w:t>
      </w:r>
      <w:r>
        <w:t>97 % der Patienten berichten positive Wahrnehmung mit Verbesserungen beim Selbstmanagement und Verständnis ihrer Erkrankung. Unter Anbietern: 93 % der GPs und 81 % der Pflegekräfte bewerten das Programm positiv, insbesondere Verbesserungen bei Typ-2-Diabetes-Management. Hauptbarrieren: Personalknappheit, Arbeitsbelastung, IT-Probleme. Das Programm wird als hochwertig wahrgenommen und als nachhaltig bewertet, sofern Kapazität und Systemgrenzen gelöst werden.</w:t>
      </w:r>
    </w:p>
    <w:p>
      <w:r>
        <w:rPr>
          <w:b/>
          <w:sz w:val="19"/>
        </w:rPr>
        <w:t xml:space="preserve">Übertragbarkeit: </w:t>
      </w:r>
      <w:r>
        <w:rPr>
          <w:sz w:val="19"/>
        </w:rPr>
        <w:t>Irland mit GPs als Koordinatoren; Struktur teilweise vergleichbar mit deutschem Hausarztmodell, aber ohne verbindliche Steuerung.</w:t>
      </w:r>
    </w:p>
    <w:p>
      <w:r>
        <w:rPr>
          <w:color w:val="5A7D3A"/>
          <w:sz w:val="18"/>
        </w:rPr>
        <w:t>https://pubmed.ncbi.nlm.nih.gov/42946997/</w:t>
      </w:r>
    </w:p>
    <w:p>
      <w:pPr>
        <w:pStyle w:val="Heading2"/>
      </w:pPr>
      <w:r>
        <w:t>Thalamale Hyperkonektivität bei ME/CFS ist reversibel und korreliert mit klinischer Verbesserung nach Hyperbarbehandlung</w:t>
      </w:r>
    </w:p>
    <w:p>
      <w:r>
        <w:rPr>
          <w:i/>
          <w:color w:val="666666"/>
          <w:sz w:val="18"/>
        </w:rPr>
        <w:t>Strube A  ·  J Transl Med  ·  29.07.2026  ·  PMID 42934697</w:t>
      </w:r>
    </w:p>
    <w:p>
      <w:r>
        <w:t>Kommentier-Analyse einer Studie zu thalamokortikaler Konnektivität bei Myalgische Enzephalomyelitis/Chronic Fatigue Syndrome (ME/CFS): Baseline-Hyperkonektivität des Thalamus mit sensorimotorischen und visuooccipitalen Kortizes verschiebt sich nach Hyperbarbehandlung in Richtung Muster gesunder Kontrollen, besonders bei klinisch verbesserten Patienten.</w:t>
      </w:r>
    </w:p>
    <w:p>
      <w:r>
        <w:rPr>
          <w:b/>
        </w:rPr>
        <w:t xml:space="preserve">Ergebnis: </w:t>
      </w:r>
      <w:r>
        <w:t>Die reversible thalamale Hyperkonektivität bei ME/CFS-Patienten wird durch Hyperbarbehandlung reduziert und korreliert mit klinischer Verbesserung. Dies wird durch die Predictive-Processing-Theorie interpretiert: Der Thalamus reguliert die Präzision aufsteigender körperlicher Signale. Defizitäre Filterung führt zu erhöhter Rauschempfindlichkeit, die mehrere Symptome (sensorische Hypersensitivität, Schmerz, orthostatische Intoleranz, kognitives Nebel) erklärt. Ein hypothetisches Modell mit Testbedarf, da Hyperbarbehandlung eine vaskuläre Intervention ist und die Konnektivität ein indirektes Maß darstellt.</w:t>
      </w:r>
    </w:p>
    <w:p>
      <w:r>
        <w:rPr>
          <w:b/>
          <w:sz w:val="19"/>
        </w:rPr>
        <w:t xml:space="preserve">Übertragbarkeit: </w:t>
      </w:r>
      <w:r>
        <w:rPr>
          <w:sz w:val="19"/>
        </w:rPr>
        <w:t>USA-basierte Analyse; Hirnbildgebung-Befund ist mechanistisch interessant, aber Versorgungsübertragbarkeit gering ohne prospektive Validierung in praktischer Klinik.</w:t>
      </w:r>
    </w:p>
    <w:p>
      <w:r>
        <w:rPr>
          <w:color w:val="5A7D3A"/>
          <w:sz w:val="18"/>
        </w:rPr>
        <w:t>https://pubmed.ncbi.nlm.nih.gov/42934697/</w:t>
      </w:r>
    </w:p>
    <w:p>
      <w:pPr>
        <w:pStyle w:val="Heading2"/>
      </w:pPr>
      <w:r>
        <w:t>CIDP zeigt vier klinisch distinct Subtypen mit unterschiedlicher Progression und Therapiebedarf</w:t>
      </w:r>
    </w:p>
    <w:p>
      <w:r>
        <w:rPr>
          <w:i/>
          <w:color w:val="666666"/>
          <w:sz w:val="18"/>
        </w:rPr>
        <w:t>Quint P et al.  ·  J Neurol  ·  22.10.2026  ·  PMID 42918938</w:t>
      </w:r>
    </w:p>
    <w:p>
      <w:r>
        <w:t>Multizentrisches retrospektives Kohortenstudium aus 10 deutschen Zentren mit unbiased Clustering zur Entdeckung klinisch bedeutsamer CIDP-Subgruppen; 425 Patienten gescreent, 325 in Entwicklungskohorte, 100 in Validierungskohorte randomisiert.</w:t>
      </w:r>
    </w:p>
    <w:p>
      <w:r>
        <w:rPr>
          <w:b/>
        </w:rPr>
        <w:t xml:space="preserve">Ergebnis: </w:t>
      </w:r>
      <w:r>
        <w:t>Vier distinct Cluster identifiziert: Cluster 1 (Frauen, hohe Symptome, ANA-positiv, autoimmune Begleiterkrankungen); Cluster 2 (moderate bis niedrige Symptome, demyelinierungsdominant, weniger Komorbiditäten); Cluster 3 (hohe Symptome, axonal-demyelinierend, kardiovaskuläre Komorbiditäten); Cluster 4 (multifokal, hohe Behinderung, Ataxie). Cluster 1 und 4 zeigen besonders hohe Progressions- und Behinderungsraten. Unterschiedliche Krankheitsverläufe und Therapiestrategien zwischen Clustern, was individualisierte Überwachung und Behandlung nahelegt.</w:t>
      </w:r>
    </w:p>
    <w:p>
      <w:r>
        <w:rPr>
          <w:b/>
          <w:sz w:val="19"/>
        </w:rPr>
        <w:t xml:space="preserve">Übertragbarkeit: </w:t>
      </w:r>
      <w:r>
        <w:rPr>
          <w:sz w:val="19"/>
        </w:rPr>
        <w:t>Deutsche Klinikdaten und Klassifikation; direkt auf deutsches System übertragbar.</w:t>
      </w:r>
    </w:p>
    <w:p>
      <w:r>
        <w:rPr>
          <w:color w:val="5A7D3A"/>
          <w:sz w:val="18"/>
        </w:rPr>
        <w:t>https://pubmed.ncbi.nlm.nih.gov/42918938/</w:t>
      </w:r>
    </w:p>
    <w:p>
      <w:pPr>
        <w:pStyle w:val="Heading2"/>
      </w:pPr>
      <w:r>
        <w:t>Tozorakimab reduziert moderate/schwere COPD-Exazerbationen um 29–34 %</w:t>
      </w:r>
    </w:p>
    <w:p>
      <w:r>
        <w:rPr>
          <w:i/>
          <w:color w:val="666666"/>
          <w:sz w:val="18"/>
        </w:rPr>
        <w:t>Sciurba FC et al.  ·  N Engl J Med  ·  29.10.2026  ·  PMID 42708515</w:t>
      </w:r>
    </w:p>
    <w:p>
      <w:r>
        <w:t>Zwei Phase-3-Studien (OBERON, TITANIA) prüften die Wirksamkeit des Antikörpers Tozorakimab zur Prävention von COPD-Exazerbationen trotz optimaler Inhalationstherapie bei 1719 Patienten mit Exazerbationen in der Vorgeschichte.</w:t>
      </w:r>
    </w:p>
    <w:p>
      <w:r>
        <w:rPr>
          <w:b/>
        </w:rPr>
        <w:t xml:space="preserve">Ergebnis: </w:t>
      </w:r>
      <w:r>
        <w:t>Tozorakimab senkte die annualisierte Rate mittelschwerer oder schwerer Exazerbationen bei ehemaligen Rauchern um 29 % (OBERON: Rate Ratio 0,71, p=0,002) bzw. 34 % (TITANIA: Rate Ratio 0,66, p&lt;0,001). In der Gesamtpopulation: 30 % Reduktion (OBERON) bzw. 29 % (TITANIA), beide p&lt;0,001. Nebenwirkungen traten nicht häufiger als unter Placebo auf. Ein wirksamer Weg zur Exazerbationsreduktion über IL-33-Blockade.</w:t>
      </w:r>
    </w:p>
    <w:p>
      <w:r>
        <w:rPr>
          <w:b/>
          <w:sz w:val="19"/>
        </w:rPr>
        <w:t xml:space="preserve">Übertragbarkeit: </w:t>
      </w:r>
      <w:r>
        <w:rPr>
          <w:sz w:val="19"/>
        </w:rPr>
        <w:t>Europäische und globale Zentren, vergleichbare Standards; Übertragbarkeit hoch auf deutsche Versorgung.</w:t>
      </w:r>
    </w:p>
    <w:p>
      <w:r>
        <w:rPr>
          <w:color w:val="5A7D3A"/>
          <w:sz w:val="18"/>
        </w:rPr>
        <w:t>https://pubmed.ncbi.nlm.nih.gov/42708515/</w:t>
      </w:r>
    </w:p>
    <w:p>
      <w:pPr>
        <w:pStyle w:val="Heading1"/>
      </w:pPr>
      <w:r>
        <w:t>Aufgenommen am 28.10.2026</w:t>
      </w:r>
    </w:p>
    <w:p>
      <w:pPr>
        <w:pStyle w:val="Heading2"/>
      </w:pPr>
      <w:r>
        <w:t>Bildgebung und klinische Faktoren sagen Krankenhaussterblichkeit bei COPD-Exazerbation voraus</w:t>
      </w:r>
    </w:p>
    <w:p>
      <w:r>
        <w:rPr>
          <w:i/>
          <w:color w:val="666666"/>
          <w:sz w:val="18"/>
        </w:rPr>
        <w:t>Li Y et al.  ·  Pulmonology  ·  31.12.2026  ·  PMID 42944679</w:t>
      </w:r>
    </w:p>
    <w:p>
      <w:r>
        <w:t>Retrospektive Kohortenstudie (N=465) entwickelte ein Vorhersagemodell für intrahospitale Mortalität bei akuter COPD-Exazerbation durch Kombination von klinischen Variablen und CT-gestützten Metriken.</w:t>
      </w:r>
    </w:p>
    <w:p>
      <w:r>
        <w:rPr>
          <w:b/>
        </w:rPr>
        <w:t xml:space="preserve">Ergebnis: </w:t>
      </w:r>
      <w:r>
        <w:t>Fünf unabhängige Prädiktoren identifiziert: Verwirrtheit, Lymphozytenzahl &lt;0,8×10⁹/L, chronische Herzinsuffizienz, Leukozytenzahl ≥10×10⁹/L und reduzierte pulmonale vaskuläre fraktale Dimension. Das logistische Regressionsmodell erreichte AUC 0,852 (95%-KI 0,738–0,965) im Testdatensatz und übertraf etablierte Scores deutlich.</w:t>
      </w:r>
    </w:p>
    <w:p>
      <w:r>
        <w:rPr>
          <w:b/>
          <w:sz w:val="19"/>
        </w:rPr>
        <w:t xml:space="preserve">Übertragbarkeit: </w:t>
      </w:r>
      <w:r>
        <w:rPr>
          <w:sz w:val="19"/>
        </w:rPr>
        <w:t>China, klinische Klinikdaten; Übertragung auf Deutschland an Dokumentation und Verfügbarkeit von CT-Metriken gebunden</w:t>
      </w:r>
    </w:p>
    <w:p>
      <w:r>
        <w:rPr>
          <w:color w:val="5A7D3A"/>
          <w:sz w:val="18"/>
        </w:rPr>
        <w:t>https://pubmed.ncbi.nlm.nih.gov/42944679/</w:t>
      </w:r>
    </w:p>
    <w:p>
      <w:pPr>
        <w:pStyle w:val="Heading2"/>
      </w:pPr>
      <w:r>
        <w:t>Nierenfunktion und Albuminurie vorhersagen Herz-Nieren-Ereignisse bei CKD</w:t>
      </w:r>
    </w:p>
    <w:p>
      <w:r>
        <w:rPr>
          <w:i/>
          <w:color w:val="666666"/>
          <w:sz w:val="18"/>
        </w:rPr>
        <w:t>Karaduru Avcı A et al.  ·  Medicina (Kaunas)  ·  10.10.2026  ·  PMID 42942488</w:t>
      </w:r>
    </w:p>
    <w:p>
      <w:r>
        <w:t>Retrospektive Kohortenstudie (N=263) mit mindestens 5-jähriger Nachverfolgung untersuchte Vorhersagefaktoren für kombinierte Nieren- und Herz-Kreislauf-Ereignisse bei Patienten mit CKD vor Dialysebedarf.</w:t>
      </w:r>
    </w:p>
    <w:p>
      <w:r>
        <w:rPr>
          <w:b/>
        </w:rPr>
        <w:t xml:space="preserve">Ergebnis: </w:t>
      </w:r>
      <w:r>
        <w:t>Major Adverse Kidney Events (MAKE) traten bei 36,9% auf (47,8 pro 1.000 Personenjahre), Major Adverse Cardiovascular Events (MACE) bei 20,2% (26,0 pro 1.000 Personenjahre). Makroalbuminurie war mit 7,73-fach erhöhtem MAKE-Risiko assoziiert (95%-KI 4,01–14,90). Niereninsuffizienz und Albuminurie waren unabhängig mit MAKE assoziiert; Alter und Diabetes mit MACE.</w:t>
      </w:r>
    </w:p>
    <w:p>
      <w:r>
        <w:rPr>
          <w:b/>
          <w:sz w:val="19"/>
        </w:rPr>
        <w:t xml:space="preserve">Übertragbarkeit: </w:t>
      </w:r>
      <w:r>
        <w:rPr>
          <w:sz w:val="19"/>
        </w:rPr>
        <w:t>Türkei, vergleichbares Versicherungssystem wie Deutschland; Therapie-Exposition gering dokumentiert</w:t>
      </w:r>
    </w:p>
    <w:p>
      <w:r>
        <w:rPr>
          <w:color w:val="5A7D3A"/>
          <w:sz w:val="18"/>
        </w:rPr>
        <w:t>https://pubmed.ncbi.nlm.nih.gov/42942488/</w:t>
      </w:r>
    </w:p>
    <w:p>
      <w:pPr>
        <w:pStyle w:val="Heading2"/>
      </w:pPr>
      <w:r>
        <w:t>Morgenblutdruck ist unabhängig mit Nierenfunktionsverschlechterung assoziiert</w:t>
      </w:r>
    </w:p>
    <w:p>
      <w:r>
        <w:rPr>
          <w:i/>
          <w:color w:val="666666"/>
          <w:sz w:val="18"/>
        </w:rPr>
        <w:t>Usta S et al.  ·  Medicina (Kaunas)  ·  03.10.2026  ·  PMID 42942442</w:t>
      </w:r>
    </w:p>
    <w:p>
      <w:r>
        <w:t>Querschnittstudie (N=132) mit 24-Stunden-Blutdrucküberwachung untersuchte Assoziationen von Blutdruckphänotypen mit Nieren- und Herzschädigung bei CKD-Patienten.</w:t>
      </w:r>
    </w:p>
    <w:p>
      <w:r>
        <w:rPr>
          <w:b/>
        </w:rPr>
        <w:t xml:space="preserve">Ergebnis: </w:t>
      </w:r>
      <w:r>
        <w:t>Morgenblutdruck präsent bei 42,4%, nächtliche Hypertonie bei 78%. Patienten mit Morgenblutdruck zeigten signifikant niedrigere eGFR und höhere UACR (beide p&lt;0,001). In multivariater Regression war Morgenblutdruck unabhängig mit niedrigerer eGFR assoziiert (β=–0,26; p=0,002). Nächtliche Hypertonie korrelierte mit kardialer Umstrukturierung.</w:t>
      </w:r>
    </w:p>
    <w:p>
      <w:r>
        <w:rPr>
          <w:b/>
          <w:sz w:val="19"/>
        </w:rPr>
        <w:t xml:space="preserve">Übertragbarkeit: </w:t>
      </w:r>
      <w:r>
        <w:rPr>
          <w:sz w:val="19"/>
        </w:rPr>
        <w:t>Türkei, ABPM-gestützte Diagnostik; Übertragbarkeit an deutsche Hypertonie-Management-Richtlinien gebunden</w:t>
      </w:r>
    </w:p>
    <w:p>
      <w:r>
        <w:rPr>
          <w:color w:val="5A7D3A"/>
          <w:sz w:val="18"/>
        </w:rPr>
        <w:t>https://pubmed.ncbi.nlm.nih.gov/42942442/</w:t>
      </w:r>
    </w:p>
    <w:p>
      <w:pPr>
        <w:pStyle w:val="Heading2"/>
      </w:pPr>
      <w:r>
        <w:t>Paarbeziehung formt Bewegungsangst bei COPD – Qualitative Studie zu Copingmustern</w:t>
      </w:r>
    </w:p>
    <w:p>
      <w:r>
        <w:rPr>
          <w:i/>
          <w:color w:val="666666"/>
          <w:sz w:val="18"/>
        </w:rPr>
        <w:t>Liu X et al.  ·  Int J Chron Obstruct Pulmon Dis  ·  22.10.2026  ·  PMID 42936193</w:t>
      </w:r>
    </w:p>
    <w:p>
      <w:r>
        <w:t>Qualitative Grounded-Theory-Studie (N=21 Paare) untersuchte, wie Patienten mit COPD und ihre Partner gemeinsam mit bewegungsbezogener Angst und Dyspnoe-Vermeidung umgehen.</w:t>
      </w:r>
    </w:p>
    <w:p>
      <w:r>
        <w:rPr>
          <w:b/>
        </w:rPr>
        <w:t xml:space="preserve">Ergebnis: </w:t>
      </w:r>
      <w:r>
        <w:t>Kernkategorie: ‚Zusammen gefangen oder zusammen beweglich'. Zwei kontrastierende Beziehungszustände identifiziert: ‚gemeinsam gefangen' durch persistente Vermeidung und Überprotektion versus ‚zusammen beweglich' durch Kommunikation, Rollenanpassung und positive Erfahrungen. Therapeutische Implikation: Paarzentrierte Rehabilitationsmodelle könnten nachhaltiger wirken als einzelnenorientierte Interventionen.</w:t>
      </w:r>
    </w:p>
    <w:p>
      <w:r>
        <w:rPr>
          <w:b/>
          <w:sz w:val="19"/>
        </w:rPr>
        <w:t xml:space="preserve">Übertragbarkeit: </w:t>
      </w:r>
      <w:r>
        <w:rPr>
          <w:sz w:val="19"/>
        </w:rPr>
        <w:t>China, qualitativ; Konzept der Paarbeziehung übertragbar auf deutsches Rehabilitations-Setting</w:t>
      </w:r>
    </w:p>
    <w:p>
      <w:r>
        <w:rPr>
          <w:color w:val="5A7D3A"/>
          <w:sz w:val="18"/>
        </w:rPr>
        <w:t>https://pubmed.ncbi.nlm.nih.gov/42936193/</w:t>
      </w:r>
    </w:p>
    <w:p>
      <w:pPr>
        <w:pStyle w:val="Heading2"/>
      </w:pPr>
      <w:r>
        <w:t>Community Health Worker unterschätzen Wissen über Prävention chronischer Erkrankungen</w:t>
      </w:r>
    </w:p>
    <w:p>
      <w:r>
        <w:rPr>
          <w:i/>
          <w:color w:val="666666"/>
          <w:sz w:val="18"/>
        </w:rPr>
        <w:t>Pilusa TD et al.  ·  Front Public Health  ·  12.10.2026  ·  PMID 42935717</w:t>
      </w:r>
    </w:p>
    <w:p>
      <w:r>
        <w:t>Qualitative Fokusgruppenstudie (N=20 Community Health Worker) untersuchte das Verständnis von Verhaltensrisikofaktoren für nichtübertragbare Erkrankungen und Versorgungshindernisse.</w:t>
      </w:r>
    </w:p>
    <w:p>
      <w:r>
        <w:rPr>
          <w:b/>
        </w:rPr>
        <w:t xml:space="preserve">Ergebnis: </w:t>
      </w:r>
      <w:r>
        <w:t>CHW identifizierten Risikofaktoren richtig (ungesunde Ernährung, Stress, Alkoholmissbrauch), benannten aber systemische Barrieren: finanzielle Engpässe, lange Klinikwarteschlangen, mangelnde Koordination mit Fachpersonal. Implikation: Prävention scheitert nicht an fehlendem Wissen, sondern an strukturellen und ressourcenbezogenen Hindernissen – notwendig sind Zusammenarbeit und Systemreformen.</w:t>
      </w:r>
    </w:p>
    <w:p>
      <w:r>
        <w:rPr>
          <w:b/>
          <w:sz w:val="19"/>
        </w:rPr>
        <w:t xml:space="preserve">Übertragbarkeit: </w:t>
      </w:r>
      <w:r>
        <w:rPr>
          <w:sz w:val="19"/>
        </w:rPr>
        <w:t>Südafrika; Erkenntnisse zu Versorgungshindernissen relevant für Länder mit ähnlicher Ressourcenlage</w:t>
      </w:r>
    </w:p>
    <w:p>
      <w:r>
        <w:rPr>
          <w:color w:val="5A7D3A"/>
          <w:sz w:val="18"/>
        </w:rPr>
        <w:t>https://pubmed.ncbi.nlm.nih.gov/42935717/</w:t>
      </w:r>
    </w:p>
    <w:p>
      <w:pPr>
        <w:pStyle w:val="Heading2"/>
      </w:pPr>
      <w:r>
        <w:t>Frühe Risikofaktoren für Adipositas und Hypertonie im mittleren Alter identifiziert</w:t>
      </w:r>
    </w:p>
    <w:p>
      <w:r>
        <w:rPr>
          <w:i/>
          <w:color w:val="666666"/>
          <w:sz w:val="18"/>
        </w:rPr>
        <w:t>Stannard S et al.  ·  J Obes  ·  2026  ·  PMID 42927470</w:t>
      </w:r>
    </w:p>
    <w:p>
      <w:r>
        <w:t>Britische Geburtskohortenstudie (N=9.150) untersuchte, welche Kindheitsfaktoren später gemeinsam auftretende Adipositas und Hypertonie vorhersagen.</w:t>
      </w:r>
    </w:p>
    <w:p>
      <w:r>
        <w:rPr>
          <w:b/>
        </w:rPr>
        <w:t xml:space="preserve">Ergebnis: </w:t>
      </w:r>
      <w:r>
        <w:t>Sozioökonomische Benachteiligung war der stärkste Prädiktor (OR 1,28; 95%-KI 1,19–1,38). Mit allen Domänen-Risikowerten zusammen erreichte das Modell eine AUC von 0,70 (95%-KI 0,67–0,72). Diese Befunde unterstützen frühe Interventionen bei sozial benachteiligten Kindern.</w:t>
      </w:r>
    </w:p>
    <w:p>
      <w:r>
        <w:rPr>
          <w:b/>
          <w:sz w:val="19"/>
        </w:rPr>
        <w:t xml:space="preserve">Übertragbarkeit: </w:t>
      </w:r>
      <w:r>
        <w:rPr>
          <w:sz w:val="19"/>
        </w:rPr>
        <w:t>Großbritannien, nationale Kohortendaten mit Verlaufsmessung bis ins Alter 44</w:t>
      </w:r>
    </w:p>
    <w:p>
      <w:r>
        <w:rPr>
          <w:color w:val="5A7D3A"/>
          <w:sz w:val="18"/>
        </w:rPr>
        <w:t>https://pubmed.ncbi.nlm.nih.gov/42927470/</w:t>
      </w:r>
    </w:p>
    <w:p>
      <w:pPr>
        <w:pStyle w:val="Heading1"/>
      </w:pPr>
      <w:r>
        <w:t>Aufgenommen am 27.10.2026</w:t>
      </w:r>
    </w:p>
    <w:p>
      <w:pPr>
        <w:pStyle w:val="Heading2"/>
      </w:pPr>
      <w:r>
        <w:t>Kindliche Traumata verstärkten Zusammenhang zwischen Multimorbidität und kognitiver Abnahme</w:t>
      </w:r>
    </w:p>
    <w:p>
      <w:r>
        <w:rPr>
          <w:i/>
          <w:color w:val="666666"/>
          <w:sz w:val="18"/>
        </w:rPr>
        <w:t>Luo J et al.  ·  Eur J Psychotraumatol  ·  26.10.2026  ·  PMID 42931796</w:t>
      </w:r>
    </w:p>
    <w:p>
      <w:r>
        <w:t>Panelkohortenstudie mit zwei Wellen (2020, 2022) bei 2.607 älteren Erwachsenen in ländlicher China zu Assoziation zwischen Progression chronischer Erkrankungen und kognitiven Funktionen, moderiert durch adverse Kindheitserfahrungen.</w:t>
      </w:r>
    </w:p>
    <w:p>
      <w:r>
        <w:rPr>
          <w:b/>
        </w:rPr>
        <w:t xml:space="preserve">Ergebnis: </w:t>
      </w:r>
      <w:r>
        <w:t>Chronische Krankheitsprogression war signifikant mit subjektivem kognitivem Verfall assoziiert (β 0,428–0,869; p&lt;0,05), nicht aber mit objektiver Kognitionen. Adverse Kindheitserfahrungen verstärkten diesen Zusammenhang bei Multimorbidität (progressive: β=0,696, p=0,001), besonders bei Männern. Der moderierende Effekt galt nur für subjektive, nicht objektive Kognitionen.</w:t>
      </w:r>
    </w:p>
    <w:p>
      <w:r>
        <w:rPr>
          <w:b/>
          <w:sz w:val="19"/>
        </w:rPr>
        <w:t xml:space="preserve">Übertragbarkeit: </w:t>
      </w:r>
      <w:r>
        <w:rPr>
          <w:sz w:val="19"/>
        </w:rPr>
        <w:t>China; Multimorbidität und psychosoziale Belastungsakkumulation sind in Deutschland relevant, aber Prävalenz und Screening unterscheiden sich erheblich.</w:t>
      </w:r>
    </w:p>
    <w:p>
      <w:r>
        <w:rPr>
          <w:color w:val="5A7D3A"/>
          <w:sz w:val="18"/>
        </w:rPr>
        <w:t>https://pubmed.ncbi.nlm.nih.gov/42931796/</w:t>
      </w:r>
    </w:p>
    <w:p>
      <w:pPr>
        <w:pStyle w:val="Heading2"/>
      </w:pPr>
      <w:r>
        <w:t>Mepolizumab reduzierte Exazerbationen bei COPD um 41 % in US-Krankenkassendaten</w:t>
      </w:r>
    </w:p>
    <w:p>
      <w:r>
        <w:rPr>
          <w:i/>
          <w:color w:val="666666"/>
          <w:sz w:val="18"/>
        </w:rPr>
        <w:t>Panettieri RA et al.  ·  Int J Chron Obstruct Pulmon Dis  ·  21.10.2026  ·  PMID 42928917</w:t>
      </w:r>
    </w:p>
    <w:p>
      <w:r>
        <w:t>Retrospektive Analyse von US-Versicherungsdaten zur Wirksamkeit von Mepolizumab bei COPD-Patienten mit Typ-2-Entzündung, gemessen an Exazerbationen, Kortikosteroid-Nutzung und Krankenhausaufenthalten vor und nach Therapiestart.</w:t>
      </w:r>
    </w:p>
    <w:p>
      <w:r>
        <w:rPr>
          <w:b/>
        </w:rPr>
        <w:t xml:space="preserve">Ergebnis: </w:t>
      </w:r>
      <w:r>
        <w:t>Mepolizumab reduzierte die Rate moderater bis schwerer Exazerbationen um 41 % (p&lt;0,001), Kortikosteroid-Dispensierungen um 26 % und -bursts um 33 % (p&lt;0,001). COPD-bedingte Krankenhausaufenthalte sanken um 22-37 % (p≤0,038), ebenso Notaufnahmebesuche (p&lt;0,001) und ambulante Besuche (p&lt;0,001).</w:t>
      </w:r>
    </w:p>
    <w:p>
      <w:r>
        <w:rPr>
          <w:b/>
          <w:sz w:val="19"/>
        </w:rPr>
        <w:t xml:space="preserve">Übertragbarkeit: </w:t>
      </w:r>
      <w:r>
        <w:rPr>
          <w:sz w:val="19"/>
        </w:rPr>
        <w:t>USA, aber Outcome-Definitionen übertragbar; deutsche Kassen könnten ähnliche Analysen durchführen.</w:t>
      </w:r>
    </w:p>
    <w:p>
      <w:r>
        <w:rPr>
          <w:color w:val="5A7D3A"/>
          <w:sz w:val="18"/>
        </w:rPr>
        <w:t>https://pubmed.ncbi.nlm.nih.gov/42928917/</w:t>
      </w:r>
    </w:p>
    <w:p>
      <w:pPr>
        <w:pStyle w:val="Heading2"/>
      </w:pPr>
      <w:r>
        <w:t>Dupilumab, Mepolizumab und Benralizumab zeigen vergleichbare COPD-Exazerbationsraten</w:t>
      </w:r>
    </w:p>
    <w:p>
      <w:r>
        <w:rPr>
          <w:i/>
          <w:color w:val="666666"/>
          <w:sz w:val="18"/>
        </w:rPr>
        <w:t>Liao KM et al.  ·  Drug Des Devel Ther  ·  21.10.2026  ·  PMID 42928777</w:t>
      </w:r>
    </w:p>
    <w:p>
      <w:r>
        <w:t>Retrospektive Kohortenstudie mit Propensity-Score-Matching aus US-Datenbank zu Wirksamkeit von drei Biologika bei COPD mit Typ-2-Inflammation, verglichen in Paaren über 365 Tage Nachverfolgung.</w:t>
      </w:r>
    </w:p>
    <w:p>
      <w:r>
        <w:rPr>
          <w:b/>
        </w:rPr>
        <w:t xml:space="preserve">Ergebnis: </w:t>
      </w:r>
      <w:r>
        <w:t>Dupilumab vs. Mepolizumab: HR 0,76 (95% CI 0,57–1,01) für Exazerbationen, HR 0,69 (95% CI 0,49–0,98) für Bronchitis. Dupilumab vs. Benralizumab: HR 0,98 (95% CI 0,70–1,40) für Exazerbationen. Keine signifikanten Unterschiede in akutem Atemversagen oder Pneumonie.</w:t>
      </w:r>
    </w:p>
    <w:p>
      <w:r>
        <w:rPr>
          <w:b/>
          <w:sz w:val="19"/>
        </w:rPr>
        <w:t xml:space="preserve">Übertragbarkeit: </w:t>
      </w:r>
      <w:r>
        <w:rPr>
          <w:sz w:val="19"/>
        </w:rPr>
        <w:t>USA-Daten; Patientenselektion nach Eosinophilen und Lungenfunktion nicht verfügbar, daher Residualconfounding nicht ausgeschlossen.</w:t>
      </w:r>
    </w:p>
    <w:p>
      <w:r>
        <w:rPr>
          <w:color w:val="5A7D3A"/>
          <w:sz w:val="18"/>
        </w:rPr>
        <w:t>https://pubmed.ncbi.nlm.nih.gov/42928777/</w:t>
      </w:r>
    </w:p>
    <w:p>
      <w:pPr>
        <w:pStyle w:val="Heading2"/>
      </w:pPr>
      <w:r>
        <w:t>Geführte Imaginationstherapie verbesserte Schlafqualität bei COPD plus Schlafstörungen</w:t>
      </w:r>
    </w:p>
    <w:p>
      <w:r>
        <w:rPr>
          <w:i/>
          <w:color w:val="666666"/>
          <w:sz w:val="18"/>
        </w:rPr>
        <w:t>Ren Q et al.  ·  Actas Esp Psiquiatr  ·  15.10.2026  ·  PMID 42928686</w:t>
      </w:r>
    </w:p>
    <w:p>
      <w:r>
        <w:t>Retrospektive Kohortenstudie mit Propensity-Score-Matching bei stabiler COPD mit Schlafstörungen, Vergleich von kombinierter Therapie (geführte Imagination plus Standard) vs. Standard allein über 12 Wochen.</w:t>
      </w:r>
    </w:p>
    <w:p>
      <w:r>
        <w:rPr>
          <w:b/>
        </w:rPr>
        <w:t xml:space="preserve">Ergebnis: </w:t>
      </w:r>
      <w:r>
        <w:t>Nach Therapie zeigte die Kombinationsgruppe vs. Kontrolle: höhere Schlafeffizienz und Mindestsauerstoffsättigung (p&lt;0,05), niedrigere Schlaflatenz, weniger Aufwachungen, niedrigerer Apnoe-Hypopnoe-Index (p&lt;0,05). PSQI-Score sank in Kombinationsgruppe stärker (p&lt;0,05), ebenso Athens-Insomnia-Skala.</w:t>
      </w:r>
    </w:p>
    <w:p>
      <w:r>
        <w:rPr>
          <w:b/>
          <w:sz w:val="19"/>
        </w:rPr>
        <w:t xml:space="preserve">Übertragbarkeit: </w:t>
      </w:r>
      <w:r>
        <w:rPr>
          <w:sz w:val="19"/>
        </w:rPr>
        <w:t>China; Schlafparameter sind krankheitsübergreifend relevant, Transferbarkeit des Interventionskonzepts begrenzt durch Gesundheitssystem.</w:t>
      </w:r>
    </w:p>
    <w:p>
      <w:r>
        <w:rPr>
          <w:color w:val="5A7D3A"/>
          <w:sz w:val="18"/>
        </w:rPr>
        <w:t>https://pubmed.ncbi.nlm.nih.gov/42928686/</w:t>
      </w:r>
    </w:p>
    <w:p>
      <w:pPr>
        <w:pStyle w:val="Heading2"/>
      </w:pPr>
      <w:r>
        <w:t>IMB-Modell + Achtsamkeit senkte Angst und Depression bei COPD um 44 %</w:t>
      </w:r>
    </w:p>
    <w:p>
      <w:r>
        <w:rPr>
          <w:i/>
          <w:color w:val="666666"/>
          <w:sz w:val="18"/>
        </w:rPr>
        <w:t>Liu W et al.  ·  Actas Esp Psiquiatr  ·  15.10.2026  ·  PMID 42928679</w:t>
      </w:r>
    </w:p>
    <w:p>
      <w:r>
        <w:t>Retrospektive Studie an 168 Patienten mit COPD und Angst/Depression, Vergleich von Routineversorgung vs. 12-Wochen-Kombinationsintervention (IMB-Modell-Bewegung plus Achtsamkeit) mit Skalenmessungen.</w:t>
      </w:r>
    </w:p>
    <w:p>
      <w:r>
        <w:rPr>
          <w:b/>
        </w:rPr>
        <w:t xml:space="preserve">Ergebnis: </w:t>
      </w:r>
      <w:r>
        <w:t>Hamilton-Angst-Skala sank in der Kombinationsgruppe stärker (Unterschied ca. 44 % Reduktion vs. Kontrollgruppe; p&lt;0,001), ebenso Hamilton-Depression-Skala. 6-Minuten-Gehstrecke stieg (p&lt;0,001), FEV1 und FVC verbesserten sich (p&lt;0,001). mMRC-Dyspnoe-Verteilung unterschied sich signifikant (p=0,013).</w:t>
      </w:r>
    </w:p>
    <w:p>
      <w:r>
        <w:rPr>
          <w:b/>
          <w:sz w:val="19"/>
        </w:rPr>
        <w:t xml:space="preserve">Übertragbarkeit: </w:t>
      </w:r>
      <w:r>
        <w:rPr>
          <w:sz w:val="19"/>
        </w:rPr>
        <w:t>China; psychische Komorbidität bei COPD ist in Deutschland relevant, Interventionskonzept erfordert Anpassung an Gesundheitssystem.</w:t>
      </w:r>
    </w:p>
    <w:p>
      <w:r>
        <w:rPr>
          <w:color w:val="5A7D3A"/>
          <w:sz w:val="18"/>
        </w:rPr>
        <w:t>https://pubmed.ncbi.nlm.nih.gov/42928679/</w:t>
      </w:r>
    </w:p>
    <w:p>
      <w:pPr>
        <w:pStyle w:val="Heading2"/>
      </w:pPr>
      <w:r>
        <w:t>Inhalierte Kortikosteroide erhöhten Glaukomrisiko bei COPD nicht signifikant</w:t>
      </w:r>
    </w:p>
    <w:p>
      <w:r>
        <w:rPr>
          <w:i/>
          <w:color w:val="666666"/>
          <w:sz w:val="18"/>
        </w:rPr>
        <w:t>Ben Ghezala I et al.  ·  Int J Chron Obstruct Pulmon Dis  ·  15.10.2026  ·  PMID 42899177</w:t>
      </w:r>
    </w:p>
    <w:p>
      <w:r>
        <w:t>Kohortenstudie aus UK-Primärversorgungsdaten zu Patienten mit COPD ≥40 Jahren, die ein Inhalationsmedikament begannen, mit Nachverfolgung auf Offenwinkelglaukom und Analyse der kumulativen ICS-Exposition.</w:t>
      </w:r>
    </w:p>
    <w:p>
      <w:r>
        <w:rPr>
          <w:b/>
        </w:rPr>
        <w:t xml:space="preserve">Ergebnis: </w:t>
      </w:r>
      <w:r>
        <w:t>Von 84.564 COPD-Patienten entwickelten 732 ein Glaukom (2,64 pro 1.000 Personenjahre). Adjustierte HR für ICS-Einsatz vs. Nicht-Einsatz: 1,14 (95% CI 0,94–1,38); für ≥365 mg kumulative Dosis: HR 1,11 (95% CI 0,83–1,48); für &gt;3 Jahre ICS: HR 1,23 (95% CI 0,90–1,68). Kein statistisch signifikanter Unterschied.</w:t>
      </w:r>
    </w:p>
    <w:p>
      <w:r>
        <w:rPr>
          <w:b/>
          <w:sz w:val="19"/>
        </w:rPr>
        <w:t xml:space="preserve">Übertragbarkeit: </w:t>
      </w:r>
      <w:r>
        <w:rPr>
          <w:sz w:val="19"/>
        </w:rPr>
        <w:t>Großbritannien, vergleichbares Versicherungssystem und Dokumentation wie Deutschland.</w:t>
      </w:r>
    </w:p>
    <w:p>
      <w:r>
        <w:rPr>
          <w:color w:val="5A7D3A"/>
          <w:sz w:val="18"/>
        </w:rPr>
        <w:t>https://pubmed.ncbi.nlm.nih.gov/42899177/</w:t>
      </w:r>
    </w:p>
    <w:p>
      <w:pPr>
        <w:pStyle w:val="Heading1"/>
      </w:pPr>
      <w:r>
        <w:t>Aufgenommen am 26.10.2026</w:t>
      </w:r>
    </w:p>
    <w:p>
      <w:pPr>
        <w:pStyle w:val="Heading2"/>
      </w:pPr>
      <w:r>
        <w:t>Lipidkontrolle senkt Mortalität bei älteren Diabetikern mit Nierenerkrankung stärker als Glykämie</w:t>
      </w:r>
    </w:p>
    <w:p>
      <w:r>
        <w:rPr>
          <w:i/>
          <w:color w:val="666666"/>
          <w:sz w:val="18"/>
        </w:rPr>
        <w:t>Wang X et al.  ·  Clin Interv Aging  ·  20.10.2026  ·  PMID 42927069</w:t>
      </w:r>
    </w:p>
    <w:p>
      <w:r>
        <w:t>Retrospektive Kohortenstudie an 2005 älteren (≥65 J.) und 5973 jüngeren (&lt;65 J.) mit Typ-2-Diabetes und CKD: Assoziation zwischen Zeit im therapeutischen Bereich (TTR) für LDL-C und HbA1c und Gesamtmortalität.</w:t>
      </w:r>
    </w:p>
    <w:p>
      <w:r>
        <w:rPr>
          <w:b/>
        </w:rPr>
        <w:t xml:space="preserve">Ergebnis: </w:t>
      </w:r>
      <w:r>
        <w:t>Bei älteren Erwachsenen: LDL-TTR pro 10-%-Anstieg mit niedrigerer Mortalität assoziiert (HR 0,934; p=0,003), HbA1c-TTR nicht (HR 0,983; p=0,459). Signifikante Interaktion zwischen HbA1c-TTR × LDL-TTR (HR 1,016; p=0,006). Bei jüngeren signifikant beide Effekte, Interaktion nicht. Lipidkontrolle offenbar bei älteren Mehrfacherkrankten prioritär.</w:t>
      </w:r>
    </w:p>
    <w:p>
      <w:r>
        <w:rPr>
          <w:b/>
          <w:sz w:val="19"/>
        </w:rPr>
        <w:t xml:space="preserve">Übertragbarkeit: </w:t>
      </w:r>
      <w:r>
        <w:rPr>
          <w:sz w:val="19"/>
        </w:rPr>
        <w:t>China, Mehrfacherkrankung und Altersaspekt universal, aber Sensitivitätsanalysen zeigen Instabilität</w:t>
      </w:r>
    </w:p>
    <w:p>
      <w:r>
        <w:rPr>
          <w:color w:val="5A7D3A"/>
          <w:sz w:val="18"/>
        </w:rPr>
        <w:t>https://pubmed.ncbi.nlm.nih.gov/42927069/</w:t>
      </w:r>
    </w:p>
    <w:p>
      <w:pPr>
        <w:pStyle w:val="Heading2"/>
      </w:pPr>
      <w:r>
        <w:t>Soziale Isolation bei COPD erhöht Exazerbations- und Mortalitätsrisiko um 32–75 %</w:t>
      </w:r>
    </w:p>
    <w:p>
      <w:r>
        <w:rPr>
          <w:i/>
          <w:color w:val="666666"/>
          <w:sz w:val="18"/>
        </w:rPr>
        <w:t>Liu C et al.  ·  J Glob Health  ·  23.10.2026  ·  PMID 42924627</w:t>
      </w:r>
    </w:p>
    <w:p>
      <w:r>
        <w:t>Longitudinale Kohortenstudie an 3679 COPD-Patienten in China zur Identifikation von Faktoren für Aktivitätseinschränkung und deren Folgen.</w:t>
      </w:r>
    </w:p>
    <w:p>
      <w:r>
        <w:rPr>
          <w:b/>
        </w:rPr>
        <w:t xml:space="preserve">Ergebnis: </w:t>
      </w:r>
      <w:r>
        <w:t>11,3 % der Patienten hatten eingeschränkte soziale Aktivitäten. Diese waren unabhängig mit erhöhtem Risiko für akute Exazerbation assoziiert (aOR 1,32; 95%-KI 1,10–1,58; p=0,003), schwere Exazerbation (aOR 1,30; 95%-KI 1,01–1,66; p=0,038) und Mortalität (HR 1,75; 95%-KI 1,30–2,36; p&lt;0,001). Soziale Isolation sollte routinemäßig als Marker für erhöhtes Exazerbationsrisiko erfasst werden.</w:t>
      </w:r>
    </w:p>
    <w:p>
      <w:r>
        <w:rPr>
          <w:b/>
          <w:sz w:val="19"/>
        </w:rPr>
        <w:t xml:space="preserve">Übertragbarkeit: </w:t>
      </w:r>
      <w:r>
        <w:rPr>
          <w:sz w:val="19"/>
        </w:rPr>
        <w:t>China, vergleichbare epidemiologische Struktur, Outcome-Messung unabhängig von Gesundheitssystem</w:t>
      </w:r>
    </w:p>
    <w:p>
      <w:r>
        <w:rPr>
          <w:color w:val="5A7D3A"/>
          <w:sz w:val="18"/>
        </w:rPr>
        <w:t>https://pubmed.ncbi.nlm.nih.gov/42924627/</w:t>
      </w:r>
    </w:p>
    <w:p>
      <w:pPr>
        <w:pStyle w:val="Heading2"/>
      </w:pPr>
      <w:r>
        <w:t>DXA-gestützte Mehrfacherkrankungsrisiken bei Lehrkräften – Ressourcenungleichheit und Versorgungsbedarf</w:t>
      </w:r>
    </w:p>
    <w:p>
      <w:r>
        <w:rPr>
          <w:i/>
          <w:color w:val="666666"/>
          <w:sz w:val="18"/>
        </w:rPr>
        <w:t>Joubert N et al.  ·  Front Public Health  ·  09.10.2026  ·  PMID 42920728</w:t>
      </w:r>
    </w:p>
    <w:p>
      <w:r>
        <w:t>Querschnittstudie an 136 Lehrkräften in unter-versorgten südafrikanischen Schulen mit DXA-Messung zu Körperzusammensetzung, Metabolischem Syndrom und Mehrfacherkrankungsrisiken.</w:t>
      </w:r>
    </w:p>
    <w:p>
      <w:r>
        <w:rPr>
          <w:b/>
        </w:rPr>
        <w:t xml:space="preserve">Ergebnis: </w:t>
      </w:r>
      <w:r>
        <w:t>Fettmasse-Risiko 91,8 %, Knochenmasse-Risiko 29,9 %, Muskelmasse-Risiko 15,7 %. Metabolisches Syndrom in 53 %. Häufigster kombinierter Phänotyp Knochen-Fett-Risiko (27,6 %), 6 % mit allen drei Risiken. Mehrfacherkrankung stark mit ungünstigen Metaboliten assoziiert. Bevölkerungsstrategie erforderlich: Screening, bewegungsorientierte Prävention, strukturelle Equity.</w:t>
      </w:r>
    </w:p>
    <w:p>
      <w:r>
        <w:rPr>
          <w:b/>
          <w:sz w:val="19"/>
        </w:rPr>
        <w:t xml:space="preserve">Übertragbarkeit: </w:t>
      </w:r>
      <w:r>
        <w:rPr>
          <w:sz w:val="19"/>
        </w:rPr>
        <w:t>Südafrika, aber Mehrfacherkrankung und Ressourcenungleichheit sind globale Versorgungsprobleme</w:t>
      </w:r>
    </w:p>
    <w:p>
      <w:r>
        <w:rPr>
          <w:color w:val="5A7D3A"/>
          <w:sz w:val="18"/>
        </w:rPr>
        <w:t>https://pubmed.ncbi.nlm.nih.gov/42920728/</w:t>
      </w:r>
    </w:p>
    <w:p>
      <w:pPr>
        <w:pStyle w:val="Heading2"/>
      </w:pPr>
      <w:r>
        <w:t>Digitale Studien mit älteren Mehrfacherkrankten: Barrieren und Lösungsstrategien</w:t>
      </w:r>
    </w:p>
    <w:p>
      <w:r>
        <w:rPr>
          <w:i/>
          <w:color w:val="666666"/>
          <w:sz w:val="18"/>
        </w:rPr>
        <w:t>Shepherd V et al.  ·  Trials  ·  27.07.2026  ·  PMID 42908027</w:t>
      </w:r>
    </w:p>
    <w:p>
      <w:r>
        <w:t>Eingebettete qualitative Studie zur Identifikation von Hürden beim Einschluss älterer Patienten mit Mehrfacherkrankung in digitale Versorgungsstudien und zur Entwicklung von Lösungen.</w:t>
      </w:r>
    </w:p>
    <w:p>
      <w:r>
        <w:rPr>
          <w:b/>
        </w:rPr>
        <w:t xml:space="preserve">Ergebnis: </w:t>
      </w:r>
      <w:r>
        <w:t>Kernbarrieren waren niedrige digitale Kompetenz, Misstrauen gegenüber digitalen Kommunikationen und Bedarf für menschliche Unterstützung (n=12 Mitarbeiter, n=25 Teilnehmer befragt). Wirksame Strategien: Telefonsupport, niedrigere Altersgrenze, patientenzentrierte Materialien. Schlussfolgerung: Hybrid-Ansätze (digital + persönlich) essentiell für ältere Patienten.</w:t>
      </w:r>
    </w:p>
    <w:p>
      <w:r>
        <w:rPr>
          <w:b/>
          <w:sz w:val="19"/>
        </w:rPr>
        <w:t xml:space="preserve">Übertragbarkeit: </w:t>
      </w:r>
      <w:r>
        <w:rPr>
          <w:sz w:val="19"/>
        </w:rPr>
        <w:t>UK-Gesundheitssystem, aber Mehrfacherkrankung und digitale Barrieren sind deutschland-relevant</w:t>
      </w:r>
    </w:p>
    <w:p>
      <w:r>
        <w:rPr>
          <w:color w:val="5A7D3A"/>
          <w:sz w:val="18"/>
        </w:rPr>
        <w:t>https://pubmed.ncbi.nlm.nih.gov/42908027/</w:t>
      </w:r>
    </w:p>
    <w:p>
      <w:pPr>
        <w:pStyle w:val="Heading2"/>
      </w:pPr>
      <w:r>
        <w:t>Patientenerfahrungsmessung in der Nephrologie validiert – Europäisches Instrument</w:t>
      </w:r>
    </w:p>
    <w:p>
      <w:r>
        <w:rPr>
          <w:i/>
          <w:color w:val="666666"/>
          <w:sz w:val="18"/>
        </w:rPr>
        <w:t>Moharra M et al.  ·  J Nephrol  ·  22.10.2026  ·  PMID 42762223</w:t>
      </w:r>
    </w:p>
    <w:p>
      <w:r>
        <w:t>Validierung eines Patient-Reported Experience Measure (Kidney PREM) in Spanisch und Katalanisch an 575 Patienten mit chronischer Nierenerkrankung zur Qualitätsmessung in der Nephrologie.</w:t>
      </w:r>
    </w:p>
    <w:p>
      <w:r>
        <w:rPr>
          <w:b/>
        </w:rPr>
        <w:t xml:space="preserve">Ergebnis: </w:t>
      </w:r>
      <w:r>
        <w:t>Interne Konsistenz hoch (Cronbachs α 0,93–0,94 für beide Sprachversionen). Bekanntheitsvalidität bestätigt. Comparative Fit Index 0,90, Tucker-Lewis Index 0,90 – akzeptable Modellpassung. Spanische Version ermöglicht standardisierte Messung von patientenbezogener Versorgungsqualität über Sprachgrenzen.</w:t>
      </w:r>
    </w:p>
    <w:p>
      <w:r>
        <w:rPr>
          <w:b/>
          <w:sz w:val="19"/>
        </w:rPr>
        <w:t xml:space="preserve">Übertragbarkeit: </w:t>
      </w:r>
      <w:r>
        <w:rPr>
          <w:sz w:val="19"/>
        </w:rPr>
        <w:t>Spanien/Katalonien, Sozialversicherungssystem vergleichbar mit Deutschland, validiertes Messinstrument</w:t>
      </w:r>
    </w:p>
    <w:p>
      <w:r>
        <w:rPr>
          <w:color w:val="5A7D3A"/>
          <w:sz w:val="18"/>
        </w:rPr>
        <w:t>https://pubmed.ncbi.nlm.nih.gov/42762223/</w:t>
      </w:r>
    </w:p>
    <w:p>
      <w:pPr>
        <w:pStyle w:val="Heading2"/>
      </w:pPr>
      <w:r>
        <w:t>Sechs Phänotypen chronischer Lungenerkrankung identifiziert – externe Validierung</w:t>
      </w:r>
    </w:p>
    <w:p>
      <w:r>
        <w:rPr>
          <w:i/>
          <w:color w:val="666666"/>
          <w:sz w:val="18"/>
        </w:rPr>
        <w:t>Zhang J et al.  ·  Respir Med  ·  15.09.2026  ·  PMID 42744204</w:t>
      </w:r>
    </w:p>
    <w:p>
      <w:r>
        <w:t>Hypothesis-freie Clusteranalyse obstruktiver Lungenerkrankungen an 1473 US-Teilnehmern (Framingham) mit externer Validierung an 1080 Niederländern (Rotterdam).</w:t>
      </w:r>
    </w:p>
    <w:p>
      <w:r>
        <w:rPr>
          <w:b/>
        </w:rPr>
        <w:t xml:space="preserve">Ergebnis: </w:t>
      </w:r>
      <w:r>
        <w:t>Sechs klinisch interpretierbare Cluster: Cluster 1–3 mit erhaltener Lungenfunktion (unterschiedliche Symptomatik), Cluster 4 mild beeinträchtigt, Cluster 5 moderat beeinträchtigt (v.a. ältere Raucher), Cluster 6 schwer beeinträchtigt mit Dyspnoe und Adipositas. Mortalitätsrisiko in Cluster 4 und 6 erhöht. Phänotypen extern validiert.</w:t>
      </w:r>
    </w:p>
    <w:p>
      <w:r>
        <w:rPr>
          <w:b/>
          <w:sz w:val="19"/>
        </w:rPr>
        <w:t xml:space="preserve">Übertragbarkeit: </w:t>
      </w:r>
      <w:r>
        <w:rPr>
          <w:sz w:val="19"/>
        </w:rPr>
        <w:t>USA/Niederlande, Spirometrie und Symptome sind universell vergleichbar, Phänotypisierung informiert Prognose</w:t>
      </w:r>
    </w:p>
    <w:p>
      <w:r>
        <w:rPr>
          <w:color w:val="5A7D3A"/>
          <w:sz w:val="18"/>
        </w:rPr>
        <w:t>https://pubmed.ncbi.nlm.nih.gov/42744204/</w:t>
      </w:r>
    </w:p>
    <w:p>
      <w:pPr>
        <w:pStyle w:val="Heading1"/>
      </w:pPr>
      <w:r>
        <w:t>Aufgenommen am 25.10.2026</w:t>
      </w:r>
    </w:p>
    <w:p>
      <w:pPr>
        <w:pStyle w:val="Heading2"/>
      </w:pPr>
      <w:r>
        <w:t>Respiratorisches Versagen bei COPD-Exazerbation: Neun Risikofaktoren identifiziert</w:t>
      </w:r>
    </w:p>
    <w:p>
      <w:r>
        <w:rPr>
          <w:i/>
          <w:color w:val="666666"/>
          <w:sz w:val="18"/>
        </w:rPr>
        <w:t>Liu D et al.  ·  Clin Respir J  ·  Okt. 2026  ·  PMID 42919454</w:t>
      </w:r>
    </w:p>
    <w:p>
      <w:r>
        <w:t>Systematische Übersicht und Metaanalyse von 23 Studien (4.212 Patienten) zur Häufigkeit und Risikofaktoren für respiratorisches Versagen bei hospitalisierten Patienten mit akuter COPD-Exazerbation in China.</w:t>
      </w:r>
    </w:p>
    <w:p>
      <w:r>
        <w:rPr>
          <w:b/>
        </w:rPr>
        <w:t xml:space="preserve">Ergebnis: </w:t>
      </w:r>
      <w:r>
        <w:t>Ereignisquote respiratorisches Versagen 41% (95%-KI 0,37–0,46). Neun unabhängige Risikofaktoren: kardiale Komorbiditäten (OR 2,12), höheres Alter (OR 1,22), erhöhtes Neutrophil-Lymphozyten-Verhältnis (OR 1,87), Procalcitonin (OR 2,27), D-Dimer (OR 1,72), ≥2 Exazerbationen/Jahr (OR 2,48), APACHE-II-Score (OR 1,29), CRP (OR 1,13), FEV₁% erniedrigt (OR 0,81).</w:t>
      </w:r>
    </w:p>
    <w:p>
      <w:r>
        <w:rPr>
          <w:b/>
          <w:sz w:val="19"/>
        </w:rPr>
        <w:t xml:space="preserve">Übertragbarkeit: </w:t>
      </w:r>
      <w:r>
        <w:rPr>
          <w:sz w:val="19"/>
        </w:rPr>
        <w:t>China, Unterschiede in Versorgungsstruktur und Patientenpopulation; Befunde zur Risikostratifizierung jedoch übertragbar</w:t>
      </w:r>
    </w:p>
    <w:p>
      <w:r>
        <w:rPr>
          <w:color w:val="5A7D3A"/>
          <w:sz w:val="18"/>
        </w:rPr>
        <w:t>https://pubmed.ncbi.nlm.nih.gov/42919454/</w:t>
      </w:r>
    </w:p>
    <w:p>
      <w:pPr>
        <w:pStyle w:val="Heading2"/>
      </w:pPr>
      <w:r>
        <w:t>Knochendichte und Dialysedauer vorhersagend für körperlichen Verfall bei Hämodialysepatienten</w:t>
      </w:r>
    </w:p>
    <w:p>
      <w:r>
        <w:rPr>
          <w:i/>
          <w:color w:val="666666"/>
          <w:sz w:val="18"/>
        </w:rPr>
        <w:t>Madeira EAA et al.  ·  BMC Nephrol  ·  22.10.2026  ·  PMID 42919210</w:t>
      </w:r>
    </w:p>
    <w:p>
      <w:r>
        <w:t>Prospektive Beobachtungsstudie an 103 Hämodialysepatienten über 18,6 Monate zur Identifikation von Prädiktoren für körperliche Leistungsabnahme gemessen mit SPPB.</w:t>
      </w:r>
    </w:p>
    <w:p>
      <w:r>
        <w:rPr>
          <w:b/>
        </w:rPr>
        <w:t xml:space="preserve">Ergebnis: </w:t>
      </w:r>
      <w:r>
        <w:t>17,5% (18/103) erlebten körperlichen Verfall. Unabhängige Prädiktoren: niedrigere Oberschenkel-Knochenmineraldichte (OR 0,997, 95%-KI 0,991–0,999) und längere Dialysedauer (OR 1,009, 95%-KI 1,001–1,039). Baseline-Physiologie (z.B. Timed-up-and-go) diskriminierte nicht signifikant.</w:t>
      </w:r>
    </w:p>
    <w:p>
      <w:r>
        <w:rPr>
          <w:b/>
          <w:sz w:val="19"/>
        </w:rPr>
        <w:t xml:space="preserve">Übertragbarkeit: </w:t>
      </w:r>
      <w:r>
        <w:rPr>
          <w:sz w:val="19"/>
        </w:rPr>
        <w:t>Brasilien; Methodik und Ergebnis für deutsche Dialysezentren übertragbar</w:t>
      </w:r>
    </w:p>
    <w:p>
      <w:r>
        <w:rPr>
          <w:color w:val="5A7D3A"/>
          <w:sz w:val="18"/>
        </w:rPr>
        <w:t>https://pubmed.ncbi.nlm.nih.gov/42919210/</w:t>
      </w:r>
    </w:p>
    <w:p>
      <w:pPr>
        <w:pStyle w:val="Heading2"/>
      </w:pPr>
      <w:r>
        <w:t>CGM bremst Nierenfunktionsverschlechterung bei Diabetes und CKD</w:t>
      </w:r>
    </w:p>
    <w:p>
      <w:r>
        <w:rPr>
          <w:i/>
          <w:color w:val="666666"/>
          <w:sz w:val="18"/>
        </w:rPr>
        <w:t>Hannah KL et al.  ·  Endocrinol Diabetes Metab  ·  Nov. 2026  ·  PMID 42912845</w:t>
      </w:r>
    </w:p>
    <w:p>
      <w:r>
        <w:t>Retrospektive Kohortenstudie in USA (Truveta EMR) mit Propensity Matching zu Effekten von Echtzeit-CGM auf Nierenfunktion bei insulinbehandelten Patienten mit Diabetes und CKD (eGFR 15–89).</w:t>
      </w:r>
    </w:p>
    <w:p>
      <w:r>
        <w:rPr>
          <w:b/>
        </w:rPr>
        <w:t xml:space="preserve">Ergebnis: </w:t>
      </w:r>
      <w:r>
        <w:t>CGM-Nutzer (n=518) zeigten signifikant langsamere eGFR-Abnahme als Nicht-Nutzer über 3 Jahre. Kein signifikanter Unterschied in Albumin-Kreatinin-Ratio. CGM assoziiert mit stärkerer HbA₁c-Senkung. Befund unterstützt CGM-Einsatz bei Diabetes und CKD.</w:t>
      </w:r>
    </w:p>
    <w:p>
      <w:r>
        <w:rPr>
          <w:b/>
          <w:sz w:val="19"/>
        </w:rPr>
        <w:t xml:space="preserve">Übertragbarkeit: </w:t>
      </w:r>
      <w:r>
        <w:rPr>
          <w:sz w:val="19"/>
        </w:rPr>
        <w:t>USA, Daten aus großem EMR-Netzwerk; Ergebnis zur Technologiebewertung in Deutschland relevant</w:t>
      </w:r>
    </w:p>
    <w:p>
      <w:r>
        <w:rPr>
          <w:color w:val="5A7D3A"/>
          <w:sz w:val="18"/>
        </w:rPr>
        <w:t>https://pubmed.ncbi.nlm.nih.gov/42912845/</w:t>
      </w:r>
    </w:p>
    <w:p>
      <w:pPr>
        <w:pStyle w:val="Heading2"/>
      </w:pPr>
      <w:r>
        <w:t>Übergänge von Klinik zu Hause bei chronischen Erkrankungen sind unzureichend koordiniert</w:t>
      </w:r>
    </w:p>
    <w:p>
      <w:r>
        <w:rPr>
          <w:i/>
          <w:color w:val="666666"/>
          <w:sz w:val="18"/>
        </w:rPr>
        <w:t>Castro LY et al.  ·  Rev Gaucha Enferm  ·  16.10.2026  ·  PMID 42912024</w:t>
      </w:r>
    </w:p>
    <w:p>
      <w:r>
        <w:t>Gemischte Methoden-Studie in Brasilien (quantitativ: 166 Patienten nach Entlassung mit Care Transitions Measure; qualitativ: zwei Fokusgruppen mit 9 und 7 Fachpersonen) zu Übergängen bei chronischen Erkrankungen.</w:t>
      </w:r>
    </w:p>
    <w:p>
      <w:r>
        <w:rPr>
          <w:b/>
        </w:rPr>
        <w:t xml:space="preserve">Ergebnis: </w:t>
      </w:r>
      <w:r>
        <w:t>Gesamtbewertung Übergänge unbefriedigend (62,62±9,03 von 100). Höchste Scores bei Gesundheitsmanagement (73,24±10,24), niedrigste bei Versorgungsplan (56,12±17,56). Männer bessere Scores als Frauen bei Gesundheitsmanagement und Gesamtbewertung. Qualitativ: Mängel in Entlassungsplanung, interprofessioneller Kommunikation und Patientenbeteiligung identifiziert.</w:t>
      </w:r>
    </w:p>
    <w:p>
      <w:r>
        <w:rPr>
          <w:b/>
          <w:sz w:val="19"/>
        </w:rPr>
        <w:t xml:space="preserve">Übertragbarkeit: </w:t>
      </w:r>
      <w:r>
        <w:rPr>
          <w:sz w:val="19"/>
        </w:rPr>
        <w:t>Brasilien, privates System; Befunde zu Koordinationslücken in Deutschland relevant</w:t>
      </w:r>
    </w:p>
    <w:p>
      <w:r>
        <w:rPr>
          <w:color w:val="5A7D3A"/>
          <w:sz w:val="18"/>
        </w:rPr>
        <w:t>https://pubmed.ncbi.nlm.nih.gov/42912024/</w:t>
      </w:r>
    </w:p>
    <w:p>
      <w:pPr>
        <w:pStyle w:val="Heading2"/>
      </w:pPr>
      <w:r>
        <w:t>Krankheitsstabilität nach 6 Monaten sagt 12-Monats-Verlauf bei COPD voraus</w:t>
      </w:r>
    </w:p>
    <w:p>
      <w:r>
        <w:rPr>
          <w:i/>
          <w:color w:val="666666"/>
          <w:sz w:val="18"/>
        </w:rPr>
        <w:t>Ou WF et al.  ·  Ther Adv Respir Dis  ·  22.10.2026  ·  PMID 42911762</w:t>
      </w:r>
    </w:p>
    <w:p>
      <w:r>
        <w:t>Retrospektive multizentrische Kohortenstudie an 250 COPD-Patienten aus Taiwan zur longitudinalen Stabilität der Erkrankung (definiert als keine schweren Exazerbationen, CAAT-Score &lt;2-Punkt-Verschlechterung, FEV₁-Erhalt) zwischen 6 und 12 Monaten.</w:t>
      </w:r>
    </w:p>
    <w:p>
      <w:r>
        <w:rPr>
          <w:b/>
        </w:rPr>
        <w:t xml:space="preserve">Ergebnis: </w:t>
      </w:r>
      <w:r>
        <w:t>45,6% (114/250) erreichten 6-Monats-Stabilität, 37,6% (94/250) 12-Monats-Stabilität. Von Patienten mit 6-Monats-Stabilität erreichten 68,4% auch 12-Monats-Stabilität vs. 11,8% ohne Stabilität. 6-Monats-Stabilität stark mit 12-Monats-Outcome assoziiert (aOR 11,72, 95%-KI 5,67–24,22). Stabilität im erweiterten Kohort ähnlich (aOR 14,33).</w:t>
      </w:r>
    </w:p>
    <w:p>
      <w:r>
        <w:rPr>
          <w:b/>
          <w:sz w:val="19"/>
        </w:rPr>
        <w:t xml:space="preserve">Übertragbarkeit: </w:t>
      </w:r>
      <w:r>
        <w:rPr>
          <w:sz w:val="19"/>
        </w:rPr>
        <w:t>Taiwan, Versorgungsstruktur und Methodik unterschiedlich; Konzept der Krankheitsstabilität international relevant</w:t>
      </w:r>
    </w:p>
    <w:p>
      <w:r>
        <w:rPr>
          <w:color w:val="5A7D3A"/>
          <w:sz w:val="18"/>
        </w:rPr>
        <w:t>https://pubmed.ncbi.nlm.nih.gov/42911762/</w:t>
      </w:r>
    </w:p>
    <w:p>
      <w:pPr>
        <w:pStyle w:val="Heading2"/>
      </w:pPr>
      <w:r>
        <w:t>Statine vor Operation senken Sterblichkeit bei chronischen Subduralhämatomen</w:t>
      </w:r>
    </w:p>
    <w:p>
      <w:r>
        <w:rPr>
          <w:i/>
          <w:color w:val="666666"/>
          <w:sz w:val="18"/>
        </w:rPr>
        <w:t>Posti JP et al.  ·  Age Ageing  ·  03.08.2026  ·  PMID 42910913</w:t>
      </w:r>
    </w:p>
    <w:p>
      <w:r>
        <w:t>Finnische Registerstudie an 9.001 operierten Patienten mit chronischem Subduralhämatom zur Assoziation zwischen präoperativer Statin-Nutzung und kurzfristigen sowie langfristigen Ergebnissen.</w:t>
      </w:r>
    </w:p>
    <w:p>
      <w:r>
        <w:rPr>
          <w:b/>
        </w:rPr>
        <w:t xml:space="preserve">Ergebnis: </w:t>
      </w:r>
      <w:r>
        <w:t>30-Tage-Mortalität 3,3% unter Statin vs. 4,5% ohne (adjustierte HR 0,57, 95%-KI 0,44–0,73). Krankenhausaufenthalt kürzer unter Statinen (22,1 vs. 26,3 Tage, p=0,002). Ein-Jahres-Mortalität 13,3% vs. 15,4% (HR 0,66, 95%-KI 0,58–0,75). Wiederoperationsraten ähnlich. Befund deutet auf Schutzeffekt hin, Mechanismus unklar.</w:t>
      </w:r>
    </w:p>
    <w:p>
      <w:r>
        <w:rPr>
          <w:b/>
          <w:sz w:val="19"/>
        </w:rPr>
        <w:t xml:space="preserve">Übertragbarkeit: </w:t>
      </w:r>
      <w:r>
        <w:rPr>
          <w:sz w:val="19"/>
        </w:rPr>
        <w:t>Finnland, vergleichbares nordeuropäisches System; Registerqualität hoch</w:t>
      </w:r>
    </w:p>
    <w:p>
      <w:r>
        <w:rPr>
          <w:color w:val="5A7D3A"/>
          <w:sz w:val="18"/>
        </w:rPr>
        <w:t>https://pubmed.ncbi.nlm.nih.gov/42910913/</w:t>
      </w:r>
    </w:p>
    <w:p>
      <w:pPr>
        <w:pStyle w:val="Heading1"/>
      </w:pPr>
      <w:r>
        <w:t>Aufgenommen am 24.10.2026</w:t>
      </w:r>
    </w:p>
    <w:p>
      <w:pPr>
        <w:pStyle w:val="Heading2"/>
      </w:pPr>
      <w:r>
        <w:t>Hypertonie führt strukturiert zu Herzkrankheit und Schlaganfall, Diabetes verbindet kardiovaskuläre und Multiorgan-Wege</w:t>
      </w:r>
    </w:p>
    <w:p>
      <w:r>
        <w:rPr>
          <w:i/>
          <w:color w:val="666666"/>
          <w:sz w:val="18"/>
        </w:rPr>
        <w:t>Wang Y et al.  ·  JMIR Public Health Surveill  ·  23.10.2026  ·  PMID 42912827</w:t>
      </w:r>
    </w:p>
    <w:p>
      <w:r>
        <w:t>Retrospektive Kohortenanalyse von 34.099 stationären Patienten mit Hypertonie in ländlichen Gegenden Henans zu zeitlichen Mustern der Mehrfacherkrankungsentwicklung mittels Netzwerkanalyse.</w:t>
      </w:r>
    </w:p>
    <w:p>
      <w:r>
        <w:rPr>
          <w:b/>
        </w:rPr>
        <w:t xml:space="preserve">Ergebnis: </w:t>
      </w:r>
      <w:r>
        <w:t>Zeitliches Komorbiditätsnetzwerk zeigte dichtes Zentrum aus Hypertonie, atherosklerotischer Herzkrankheit und zerebralem Infarkt; Typ-2-Diabetes in Brückenfunktion zwischen kardiovaskulären und Multisystem-Clustern. Geschlechtsspezifische Unterschiede: frühere Koronarbeteiligung bei Frauen, direktere Schlaganfall-Progression bei Männern.</w:t>
      </w:r>
    </w:p>
    <w:p>
      <w:r>
        <w:rPr>
          <w:b/>
          <w:sz w:val="19"/>
        </w:rPr>
        <w:t xml:space="preserve">Übertragbarkeit: </w:t>
      </w:r>
      <w:r>
        <w:rPr>
          <w:sz w:val="19"/>
        </w:rPr>
        <w:t>China/ländlich, EHR-Daten 2019–2023, zeigt strukturierte Krankheitsprogression jenseits von Gesundheitssystemen.</w:t>
      </w:r>
    </w:p>
    <w:p>
      <w:r>
        <w:rPr>
          <w:color w:val="5A7D3A"/>
          <w:sz w:val="18"/>
        </w:rPr>
        <w:t>https://pubmed.ncbi.nlm.nih.gov/42912827/</w:t>
      </w:r>
    </w:p>
    <w:p>
      <w:pPr>
        <w:pStyle w:val="Heading2"/>
      </w:pPr>
      <w:r>
        <w:t>Zu niedrige Proteinzufuhr erhöht Nierenversagen bei CKD um 42 Prozent</w:t>
      </w:r>
    </w:p>
    <w:p>
      <w:r>
        <w:rPr>
          <w:i/>
          <w:color w:val="666666"/>
          <w:sz w:val="18"/>
        </w:rPr>
        <w:t>Suh SH et al.  ·  JAMA Netw Open  ·  01.10.2026  ·  PMID 42911593</w:t>
      </w:r>
    </w:p>
    <w:p>
      <w:r>
        <w:t>Prospektive Kohortenstudie mit 1.861 CKD-Patienten (Stad. 1–5) aus Südkorea zur Assoziation zwischen täglicher Proteinaufnahme und Nierenversagen oder Sterblichkeit.</w:t>
      </w:r>
    </w:p>
    <w:p>
      <w:r>
        <w:rPr>
          <w:b/>
        </w:rPr>
        <w:t xml:space="preserve">Ergebnis: </w:t>
      </w:r>
      <w:r>
        <w:t>Patienten mit Proteinaufnahme &lt;0,6 g/kg/Tag (vs. &gt;1,2 g/kg/Tag) hatten erhöhtes Risiko für Nierenversagen-Ersatztherapie (sHR 1,42, 95% KI 1,09–1,85) und All-Cause-Mortalität (sHR 2,17, 95% KI 1,17–4,03). Rigide Proteinrestriktion war nicht mit Nephroprotektionen assoziiert.</w:t>
      </w:r>
    </w:p>
    <w:p>
      <w:r>
        <w:rPr>
          <w:b/>
          <w:sz w:val="19"/>
        </w:rPr>
        <w:t xml:space="preserve">Übertragbarkeit: </w:t>
      </w:r>
      <w:r>
        <w:rPr>
          <w:sz w:val="19"/>
        </w:rPr>
        <w:t>Südkorea, vergleichbares Sozialversicherungssystem, Befund zu Ernährung unabhängig vom System.</w:t>
      </w:r>
    </w:p>
    <w:p>
      <w:r>
        <w:rPr>
          <w:color w:val="5A7D3A"/>
          <w:sz w:val="18"/>
        </w:rPr>
        <w:t>https://pubmed.ncbi.nlm.nih.gov/42911593/</w:t>
      </w:r>
    </w:p>
    <w:p>
      <w:pPr>
        <w:pStyle w:val="Heading2"/>
      </w:pPr>
      <w:r>
        <w:t>Soziale Unterstützung und emotionale Symptome verbessern Selbstmanagement bei Hepatitis-B-Patienten um 4,8 und 1,9 Punkte</w:t>
      </w:r>
    </w:p>
    <w:p>
      <w:r>
        <w:rPr>
          <w:i/>
          <w:color w:val="666666"/>
          <w:sz w:val="18"/>
        </w:rPr>
        <w:t>Yi WT et al.  ·  Front Public Health  ·  07.10.2026  ·  PMID 42908953</w:t>
      </w:r>
    </w:p>
    <w:p>
      <w:r>
        <w:t>Multizentrische Querschnittstudie mit 583 Hepatitis-B-Patienten in China zur unabhängigen Assoziation von sozialer Unterstützung und krankheitsspezifischen Lebensqualitätsdomänen mit Selbstmanagement.</w:t>
      </w:r>
    </w:p>
    <w:p>
      <w:r>
        <w:rPr>
          <w:b/>
        </w:rPr>
        <w:t xml:space="preserve">Ergebnis: </w:t>
      </w:r>
      <w:r>
        <w:t>Mittlerer Selbstmanagement-Score 85,03±19,38. Soziale Unterstützung (B=0,577, 95% KI 0,416–0,739), emotionale Symptomdomäne (B=0,170, 95% KI 0,039–0,301) und weniger soziale Stigmatisierung (B=0,235, 95% KI 0,082–0,388) waren unabhängig positiv assoziiert mit Selbstmanagement. Gesamtmodell erklärte 37,9% der Varianz.</w:t>
      </w:r>
    </w:p>
    <w:p>
      <w:r>
        <w:rPr>
          <w:b/>
          <w:sz w:val="19"/>
        </w:rPr>
        <w:t xml:space="preserve">Übertragbarkeit: </w:t>
      </w:r>
      <w:r>
        <w:rPr>
          <w:sz w:val="19"/>
        </w:rPr>
        <w:t>China, Mehrfacherkrankung im Kontext chronischer Virushepatitis, Versorgungsprinzipien für andere Länder adaptierbar.</w:t>
      </w:r>
    </w:p>
    <w:p>
      <w:r>
        <w:rPr>
          <w:color w:val="5A7D3A"/>
          <w:sz w:val="18"/>
        </w:rPr>
        <w:t>https://pubmed.ncbi.nlm.nih.gov/42908953/</w:t>
      </w:r>
    </w:p>
    <w:p>
      <w:pPr>
        <w:pStyle w:val="Heading2"/>
      </w:pPr>
      <w:r>
        <w:t>Frühe Dreifachtherapie bei COPD reduzierte Exazerbationen stärker als späte Eskalation</w:t>
      </w:r>
    </w:p>
    <w:p>
      <w:r>
        <w:rPr>
          <w:i/>
          <w:color w:val="666666"/>
          <w:sz w:val="18"/>
        </w:rPr>
        <w:t>Rogliani P et al.  ·  Respir Med  ·  05.10.2026  ·  PMID 42833477</w:t>
      </w:r>
    </w:p>
    <w:p>
      <w:r>
        <w:t>Pooled-Analyse von sechs Real-World-Studien zur Frage, ob frühe versus späte Eskalation zur Tripletherapie bei COPD-Patienten unterschiedliche Ergebnisse bringt.</w:t>
      </w:r>
    </w:p>
    <w:p>
      <w:r>
        <w:rPr>
          <w:b/>
        </w:rPr>
        <w:t xml:space="preserve">Ergebnis: </w:t>
      </w:r>
      <w:r>
        <w:t>Frühe Eskalation (≤48 Monate nach Diagnose) führte zu größeren Reduktionen der mittleren Exazerbationen pro Jahr und höheren Raten von Erkrankungsstabilität und -kontrolle bei 12 Monaten im Vergleich zu späterer Eskalation; der Unterschied war bei 3 und 6 Monaten nicht signifikant.</w:t>
      </w:r>
    </w:p>
    <w:p>
      <w:r>
        <w:rPr>
          <w:b/>
          <w:sz w:val="19"/>
        </w:rPr>
        <w:t xml:space="preserve">Übertragbarkeit: </w:t>
      </w:r>
      <w:r>
        <w:rPr>
          <w:sz w:val="19"/>
        </w:rPr>
        <w:t>Südeuropa und Belgien, Real-World-Daten, vergleichbare ambulante Versorgungsstrukturen.</w:t>
      </w:r>
    </w:p>
    <w:p>
      <w:r>
        <w:rPr>
          <w:color w:val="5A7D3A"/>
          <w:sz w:val="18"/>
        </w:rPr>
        <w:t>https://pubmed.ncbi.nlm.nih.gov/42833477/</w:t>
      </w:r>
    </w:p>
    <w:p>
      <w:pPr>
        <w:pStyle w:val="Heading2"/>
      </w:pPr>
      <w:r>
        <w:t>Mehrfacherkrankung erhöht Sarkopenie-Risiko um 85 Prozent bei Frauen und 102 Prozent bei Männern</w:t>
      </w:r>
    </w:p>
    <w:p>
      <w:r>
        <w:rPr>
          <w:i/>
          <w:color w:val="666666"/>
          <w:sz w:val="18"/>
        </w:rPr>
        <w:t>Guerrero-Wyss MT et al.  ·  Exp Gerontol  ·  20.09.2026  ·  PMID 42764080</w:t>
      </w:r>
    </w:p>
    <w:p>
      <w:r>
        <w:t>Prospektive Kohortenstudie mit 47.417 UK-Biobank-Teilnehmern ohne Sarkopenie zu Zusammenhang zwischen Mehrfacherkrankung und neu aufgetretener Sarkopenie.</w:t>
      </w:r>
    </w:p>
    <w:p>
      <w:r>
        <w:rPr>
          <w:b/>
        </w:rPr>
        <w:t xml:space="preserve">Ergebnis: </w:t>
      </w:r>
      <w:r>
        <w:t>Während 11,5 Jahren Follow-up entwickelten 1.065 Teilnehmer Sarkopenie. Mehrfacherkrankung war mit höherem Sarkopenie-Risiko assoziiert (HR 1,85 bei Frauen, 95% KI 1,52–2,24; HR 2,02 bei Männern 95% KI 1,57–2,60). Standardisiertes 10-Jahres-Risiko stieg von 1,73% auf 3,15% bei Frauen und von 0,88% auf 1,76% bei Männern.</w:t>
      </w:r>
    </w:p>
    <w:p>
      <w:r>
        <w:rPr>
          <w:b/>
          <w:sz w:val="19"/>
        </w:rPr>
        <w:t xml:space="preserve">Übertragbarkeit: </w:t>
      </w:r>
      <w:r>
        <w:rPr>
          <w:sz w:val="19"/>
        </w:rPr>
        <w:t>Großbritannien, vergleichbare Primärversorgung, gute Datenqualität.</w:t>
      </w:r>
    </w:p>
    <w:p>
      <w:r>
        <w:rPr>
          <w:color w:val="5A7D3A"/>
          <w:sz w:val="18"/>
        </w:rPr>
        <w:t>https://pubmed.ncbi.nlm.nih.gov/42764080/</w:t>
      </w:r>
    </w:p>
    <w:p>
      <w:pPr>
        <w:pStyle w:val="Heading2"/>
      </w:pPr>
      <w:r>
        <w:t>Rauchen bei chronischen Atemwegserkrankungen erhöht Sterblichkeit um 34–70 Prozent</w:t>
      </w:r>
    </w:p>
    <w:p>
      <w:r>
        <w:rPr>
          <w:i/>
          <w:color w:val="666666"/>
          <w:sz w:val="18"/>
        </w:rPr>
        <w:t>Fernández-Fernández S et al.  ·  Respir Med  ·  07.09.2026  ·  PMID 42705490</w:t>
      </w:r>
    </w:p>
    <w:p>
      <w:r>
        <w:t>Prospektive Bevölkerungsstudie in Spanien mit 65.990 Personen ab 15 Jahren zu Faktoren für fortgesetztes Rauchen bei Asthma oder COPD und dessen Auswirkungen auf die Mortalität.</w:t>
      </w:r>
    </w:p>
    <w:p>
      <w:r>
        <w:rPr>
          <w:b/>
        </w:rPr>
        <w:t xml:space="preserve">Ergebnis: </w:t>
      </w:r>
      <w:r>
        <w:t>Prävalenz des aktuellen Rauchens 21,3% bei Asthma und 21,8% bei COPD. Fortgesetztes Rauchen war mit höherer Sterblichkeit assoziiert (RR 1,70 bei Asthma, 95% KI 1,16–2,51; RR 1,34 bei COPD 95% KI 1,07–1,67). Jüngere, weniger gebildete und bewegungslose Personen rauchten eher weiter.</w:t>
      </w:r>
    </w:p>
    <w:p>
      <w:r>
        <w:rPr>
          <w:b/>
          <w:sz w:val="19"/>
        </w:rPr>
        <w:t xml:space="preserve">Übertragbarkeit: </w:t>
      </w:r>
      <w:r>
        <w:rPr>
          <w:sz w:val="19"/>
        </w:rPr>
        <w:t>Spanien, nationale Gesundheitserhebungen 2011–2017, deutsches Präventionssystem vergleichbar.</w:t>
      </w:r>
    </w:p>
    <w:p>
      <w:r>
        <w:rPr>
          <w:color w:val="5A7D3A"/>
          <w:sz w:val="18"/>
        </w:rPr>
        <w:t>https://pubmed.ncbi.nlm.nih.gov/42705490/</w:t>
      </w:r>
    </w:p>
    <w:p>
      <w:pPr>
        <w:pStyle w:val="Heading1"/>
      </w:pPr>
      <w:r>
        <w:t>Aufgenommen am 23.10.2026</w:t>
      </w:r>
    </w:p>
    <w:p>
      <w:pPr>
        <w:pStyle w:val="Heading2"/>
      </w:pPr>
      <w:r>
        <w:t>Blut-Eosinophile prognostizieren ICU-Aufnahme bei AECOPD nicht besser als GOLD-Stadium</w:t>
      </w:r>
    </w:p>
    <w:p>
      <w:r>
        <w:rPr>
          <w:i/>
          <w:color w:val="666666"/>
          <w:sz w:val="18"/>
        </w:rPr>
        <w:t>Ozden Sertcelik U et al.  ·  BMC Pulm Med  ·  11.09.2026  ·  PMID 42907946</w:t>
      </w:r>
    </w:p>
    <w:p>
      <w:r>
        <w:t>Retrospektive Kohortenstudie mit 385 Patienten ≥40 Jahren, hospitalisiert mit AECOPD 2020–2024, untersuchte Vorhersagekraft der Blut-Eosinophilen-Zahl (&lt;150, 150–299, ≥300 Zellen/µL) für ICU-Aufnahme nach Competing-Risks-Analyse.</w:t>
      </w:r>
    </w:p>
    <w:p>
      <w:r>
        <w:rPr>
          <w:b/>
        </w:rPr>
        <w:t xml:space="preserve">Ergebnis: </w:t>
      </w:r>
      <w:r>
        <w:t>Eosinophilen-Gruppen waren nicht signifikant mit ICU-Aufnahme assoziiert. GOLD-Stadium E war der stärkste unabhängige Prädiktor (adjustierte Subdistributions-Hazard-Ratio 3,35; 95%-KI 1,57–7,15; p=0,002 vs. GOLD A). Eosinophilen-Level zeigten nach Adjustierung für Schweregrad und konkurrierende Risiken keine unabhängige Assoziation.</w:t>
      </w:r>
    </w:p>
    <w:p>
      <w:r>
        <w:rPr>
          <w:b/>
          <w:sz w:val="19"/>
        </w:rPr>
        <w:t xml:space="preserve">Übertragbarkeit: </w:t>
      </w:r>
      <w:r>
        <w:rPr>
          <w:sz w:val="19"/>
        </w:rPr>
        <w:t>Türkei, aber universelle pathophysiologische Fragestellung unabhängig von System</w:t>
      </w:r>
    </w:p>
    <w:p>
      <w:r>
        <w:rPr>
          <w:color w:val="5A7D3A"/>
          <w:sz w:val="18"/>
        </w:rPr>
        <w:t>https://pubmed.ncbi.nlm.nih.gov/42907946/</w:t>
      </w:r>
    </w:p>
    <w:p>
      <w:pPr>
        <w:pStyle w:val="Heading2"/>
      </w:pPr>
      <w:r>
        <w:t>Prädiabetes erhöht CKD-Risiko um 53 %: Glomeruläre Filtrationsrate sinkt um 2,85 mL/min/1,73m²</w:t>
      </w:r>
    </w:p>
    <w:p>
      <w:r>
        <w:rPr>
          <w:i/>
          <w:color w:val="666666"/>
          <w:sz w:val="18"/>
        </w:rPr>
        <w:t>Karimi R et al.  ·  BMC Nephrol  ·  25.07.2026  ·  PMID 42907738</w:t>
      </w:r>
    </w:p>
    <w:p>
      <w:r>
        <w:t>Systematischer Review und Meta-Analyse von 26 Studien (15 Kohorten, 11 Querschnitt; n=350.546 Normoglykämiker, n=146.547 Prädiabetiker) zur Assoziation von Prädiabetes mit chronischer Nierenkrankheit, eGFR und Albumin-Kreatinin-Ratio.</w:t>
      </w:r>
    </w:p>
    <w:p>
      <w:r>
        <w:rPr>
          <w:b/>
        </w:rPr>
        <w:t xml:space="preserve">Ergebnis: </w:t>
      </w:r>
      <w:r>
        <w:t>Prädiabetes assoziiert mit erhöhtem CKD-Risiko (RR 1,53; 95%-KI 1,30–1,81; p&lt;0,001; stärker bei Verwendung aller drei diagnostischen Kriterien: RR 1,21–2,73). Mittlere eGFR-Abnahme −2,85 mL/min/1,73m² (95%-KI −4,57 bis −1,13; p=0,001). Albumin-Kreatinin-Ratio stieg um 0,87 g/g (95%-KI 0,19–1,55; p=0,012). Stärkere Assoziationen in Asien als in Europa oder USA.</w:t>
      </w:r>
    </w:p>
    <w:p>
      <w:r>
        <w:rPr>
          <w:b/>
          <w:sz w:val="19"/>
        </w:rPr>
        <w:t xml:space="preserve">Übertragbarkeit: </w:t>
      </w:r>
      <w:r>
        <w:rPr>
          <w:sz w:val="19"/>
        </w:rPr>
        <w:t>Multikontinental, aber systematische Evidenz zu Risikostratifizierung unabhängig von System</w:t>
      </w:r>
    </w:p>
    <w:p>
      <w:r>
        <w:rPr>
          <w:color w:val="5A7D3A"/>
          <w:sz w:val="18"/>
        </w:rPr>
        <w:t>https://pubmed.ncbi.nlm.nih.gov/42907738/</w:t>
      </w:r>
    </w:p>
    <w:p>
      <w:pPr>
        <w:pStyle w:val="Heading2"/>
      </w:pPr>
      <w:r>
        <w:t>Fragmentierte Versorgung chronisch kranker Kinder in Deutschland: Koordinationsmängel über Sektoren hinweg</w:t>
      </w:r>
    </w:p>
    <w:p>
      <w:r>
        <w:rPr>
          <w:i/>
          <w:color w:val="666666"/>
          <w:sz w:val="18"/>
        </w:rPr>
        <w:t>Herr CJ et al.  ·  Eur J Pediatr  ·  22.10.2026  ·  PMID 42907562</w:t>
      </w:r>
    </w:p>
    <w:p>
      <w:r>
        <w:t>Qualitative Studie mit 22 Fachleuten (Ärzte, Therapeuten, Sozialarbeiter) aus Deutschland untersuchte, wie Professionelle die Versorgungspfade von Kindern mit chronischen Erkrankungen (ADHS, Autismus, Zerebralparese, Asthma, Typ-1-Diabetes) über Gesundheit, Soziales und Schulwesen hinweg erleben.</w:t>
      </w:r>
    </w:p>
    <w:p>
      <w:r>
        <w:rPr>
          <w:b/>
        </w:rPr>
        <w:t xml:space="preserve">Ergebnis: </w:t>
      </w:r>
      <w:r>
        <w:t>Fachleute bewerteten die Versorgung als fragmentiert, schwer navigierbar und schlecht koordiniert. Zentrale Barrieren: lange Wartezeiten, unklare Versorgungspfade, mangelnde interprofessionelle Kommunikation. Familien mit sozioökonomischen Nachteilen oder Sprachbarrieren hatten besondere Schwierigkeiten.</w:t>
      </w:r>
    </w:p>
    <w:p>
      <w:r>
        <w:rPr>
          <w:b/>
          <w:sz w:val="19"/>
        </w:rPr>
        <w:t xml:space="preserve">Übertragbarkeit: </w:t>
      </w:r>
      <w:r>
        <w:rPr>
          <w:sz w:val="19"/>
        </w:rPr>
        <w:t>Deutschland, direkt erhobene Expertenperspektiven aus Praxen und Jugendamt</w:t>
      </w:r>
    </w:p>
    <w:p>
      <w:r>
        <w:rPr>
          <w:color w:val="5A7D3A"/>
          <w:sz w:val="18"/>
        </w:rPr>
        <w:t>https://pubmed.ncbi.nlm.nih.gov/42907562/</w:t>
      </w:r>
    </w:p>
    <w:p>
      <w:pPr>
        <w:pStyle w:val="Heading2"/>
      </w:pPr>
      <w:r>
        <w:t>HFNC plus Akupunktur verbessert COPD-Exazerbationen: 88,8 % vs. 70,8 % Ansprechrate</w:t>
      </w:r>
    </w:p>
    <w:p>
      <w:r>
        <w:rPr>
          <w:i/>
          <w:color w:val="666666"/>
          <w:sz w:val="18"/>
        </w:rPr>
        <w:t>Li B et al.  ·  Int J Chron Obstruct Pulmon Dis  ·  16.10.2026  ·  PMID 42904141</w:t>
      </w:r>
    </w:p>
    <w:p>
      <w:r>
        <w:t>Retrospektive Studie verglich bei 178 hospitalisierten AECOPD-Patienten die Hochfluss-Nasenkanüle (HFNC) allein gegen HFNC plus standardisierte Akupunktur; Propensity-Score-Matching adjustierte für Baseline-Unterschiede.</w:t>
      </w:r>
    </w:p>
    <w:p>
      <w:r>
        <w:rPr>
          <w:b/>
        </w:rPr>
        <w:t xml:space="preserve">Ergebnis: </w:t>
      </w:r>
      <w:r>
        <w:t>HFNC + Akupunktur erreichte höhere klinische Ansprechrate (88,76 % vs. 70,79 %, relatives Risiko 1,25; 95%-KI 1,08–1,46; p=0,003). Kombinationsgruppe zeigte bessere FEV₁-Zunahme (+0,07 L), PaO₂-Anstieg (+5,03 mmHg), stärkere Reduktion von IL-8, IL-17, TNF-α, CRP (p&lt;0,01) und verbesserte Patienten-Outcomes (CAT -2,59; 6MWD +28,53 m).</w:t>
      </w:r>
    </w:p>
    <w:p>
      <w:r>
        <w:rPr>
          <w:b/>
          <w:sz w:val="19"/>
        </w:rPr>
        <w:t xml:space="preserve">Übertragbarkeit: </w:t>
      </w:r>
      <w:r>
        <w:rPr>
          <w:sz w:val="19"/>
        </w:rPr>
        <w:t>China, retrospektive Daten; Validierung in prospektivem RCT erforderlich</w:t>
      </w:r>
    </w:p>
    <w:p>
      <w:r>
        <w:rPr>
          <w:color w:val="5A7D3A"/>
          <w:sz w:val="18"/>
        </w:rPr>
        <w:t>https://pubmed.ncbi.nlm.nih.gov/42904141/</w:t>
      </w:r>
    </w:p>
    <w:p>
      <w:pPr>
        <w:pStyle w:val="Heading2"/>
      </w:pPr>
      <w:r>
        <w:t>Erdosteine verbessert Ventilationshomogenität bei COPD stärker als NAC</w:t>
      </w:r>
    </w:p>
    <w:p>
      <w:r>
        <w:rPr>
          <w:i/>
          <w:color w:val="666666"/>
          <w:sz w:val="18"/>
        </w:rPr>
        <w:t>Dal Negro RW et al.  ·  Int J Chron Obstruct Pulmon Dis  ·  16.10.2026  ·  PMID 42904140</w:t>
      </w:r>
    </w:p>
    <w:p>
      <w:r>
        <w:t>Retrospektive Studie an 127 stabilen Patienten mit milder bis moderater COPD unter LABA/LAMA-Therapie verglich Zusatz von Erdostein (600 mg/d) oder N-Acetylcystein (600 mg/d) gegen Dual-Bronchodilatation allein mittels Volumetrischer Kapnografie (VCap).</w:t>
      </w:r>
    </w:p>
    <w:p>
      <w:r>
        <w:rPr>
          <w:b/>
        </w:rPr>
        <w:t xml:space="preserve">Ergebnis: </w:t>
      </w:r>
      <w:r>
        <w:t>Erdostein führte zu signifikanten Verbesserungen: TPTEF/TEX +56,5 %, alveoläre Ventilation +8,9 %, S2/S3-Winkel −10,4°, VD/VT-Ratio −13,5 %. NAC zeigte vernachlässigbare und nicht von Mono-Therapie unterschiedliche Effekte (alle p&gt;0,05). Unterschiede zugunsten Erdostein blieben nach Adjustierung für Confunder signifikant (p&lt;0,001).</w:t>
      </w:r>
    </w:p>
    <w:p>
      <w:r>
        <w:rPr>
          <w:b/>
          <w:sz w:val="19"/>
        </w:rPr>
        <w:t xml:space="preserve">Übertragbarkeit: </w:t>
      </w:r>
      <w:r>
        <w:rPr>
          <w:sz w:val="19"/>
        </w:rPr>
        <w:t>Italien, kontrollierte Beobachtungsdaten; Physiologie-Verbesserung, nicht Langzeitprognose</w:t>
      </w:r>
    </w:p>
    <w:p>
      <w:r>
        <w:rPr>
          <w:color w:val="5A7D3A"/>
          <w:sz w:val="18"/>
        </w:rPr>
        <w:t>https://pubmed.ncbi.nlm.nih.gov/42904140/</w:t>
      </w:r>
    </w:p>
    <w:p>
      <w:pPr>
        <w:pStyle w:val="Heading2"/>
      </w:pPr>
      <w:r>
        <w:t>Fünf Schlaf-Phänotypen bei COPD: Hypoxische Schläfer haben 2,8-fach erhöhtes Mortalitätsrisiko</w:t>
      </w:r>
    </w:p>
    <w:p>
      <w:r>
        <w:rPr>
          <w:i/>
          <w:color w:val="666666"/>
          <w:sz w:val="18"/>
        </w:rPr>
        <w:t>Hansson D et al.  ·  Int J Chron Obstruct Pulmon Dis  ·  16.10.2026  ·  PMID 42903829</w:t>
      </w:r>
    </w:p>
    <w:p>
      <w:r>
        <w:t>Prospektive Kohorte mit 205 COPD-Patienten; multidimensionale Schlaf-Daten (WatchPAT™) mit 15 Variablen analysiert mittels Partitioning-Around-Medoids-Clustering; Median-Nachverfolgung 4,2 Jahre mit 199 Patienten.</w:t>
      </w:r>
    </w:p>
    <w:p>
      <w:r>
        <w:rPr>
          <w:b/>
        </w:rPr>
        <w:t xml:space="preserve">Ergebnis: </w:t>
      </w:r>
      <w:r>
        <w:t>Fünf distinkte Schlaf-Phänotypen identifiziert: normale Schläfer (20,5 %), Short-Sleeper (33 %), Light-Sleeper mit REM-Suppression (18,5 %), hypoxische Schläfer (20 %), schlafapnoe-Schläfer (8 %). Bei 56 Todesfällen (28,1 %) hatten hypoxische Schläfer nach Adjustierung für Alter, Geschlecht und FEV₁ erhöhte Sterblichkeit (HR 2,80; 95%-KI 1,05–7,44); unbehandelte apnoe-Schläfer noch höher (HR 6,16; 95%-KI 1,56–24,38) nach PAP-Adjustierung.</w:t>
      </w:r>
    </w:p>
    <w:p>
      <w:r>
        <w:rPr>
          <w:b/>
          <w:sz w:val="19"/>
        </w:rPr>
        <w:t xml:space="preserve">Übertragbarkeit: </w:t>
      </w:r>
      <w:r>
        <w:rPr>
          <w:sz w:val="19"/>
        </w:rPr>
        <w:t>Schweden, europäischer Versorgungskontext, vergleichbar strukturierter Zugang</w:t>
      </w:r>
    </w:p>
    <w:p>
      <w:r>
        <w:rPr>
          <w:color w:val="5A7D3A"/>
          <w:sz w:val="18"/>
        </w:rPr>
        <w:t>https://pubmed.ncbi.nlm.nih.gov/42903829/</w:t>
      </w:r>
    </w:p>
    <w:p>
      <w:pPr>
        <w:pStyle w:val="Heading1"/>
      </w:pPr>
      <w:r>
        <w:t>Aufgenommen am 22.10.2026</w:t>
      </w:r>
    </w:p>
    <w:p>
      <w:pPr>
        <w:pStyle w:val="Heading2"/>
      </w:pPr>
      <w:r>
        <w:t>Sensorische Beeinträchtigung und Einsamkeit erhöhen Mehrfacherkrankung um Faktor 1,56–2,36</w:t>
      </w:r>
    </w:p>
    <w:p>
      <w:r>
        <w:rPr>
          <w:i/>
          <w:color w:val="666666"/>
          <w:sz w:val="18"/>
        </w:rPr>
        <w:t>Pan Y et al.  ·  Int J Equity Health  ·  24.07.2026  ·  PMID 42902280</w:t>
      </w:r>
    </w:p>
    <w:p>
      <w:r>
        <w:t>Querschnittliche Analyse von 15.022 Älteren in China, USA und England zur Assoziation von Hör- und Sehstörungen mit dem Auftreten von körperlich-psychisch-kognitiven Mehrfacherkrankungen über 6–8 Jahre Nachbeobachtung.</w:t>
      </w:r>
    </w:p>
    <w:p>
      <w:r>
        <w:rPr>
          <w:b/>
        </w:rPr>
        <w:t xml:space="preserve">Ergebnis: </w:t>
      </w:r>
      <w:r>
        <w:t>Duale Sinnesbeeinträchtigung war unabhängig mit physisch-psychischer Mehrfacherkrankung (HR 2,18), psychisch-kognitiver (HR 2,36) und dreifacher Komorbidität (HR 1,56; 95%-KI 1,19–2,03) assoziiert. Einsamkeit erklärte etwa 10–12 % dieser Assoziation. Die Assoziation blieb in Sensitivitätsanalysen und länderübergreifend stabil.</w:t>
      </w:r>
    </w:p>
    <w:p>
      <w:r>
        <w:rPr>
          <w:b/>
          <w:sz w:val="19"/>
        </w:rPr>
        <w:t xml:space="preserve">Übertragbarkeit: </w:t>
      </w:r>
      <w:r>
        <w:rPr>
          <w:sz w:val="19"/>
        </w:rPr>
        <w:t>Internationale Vergleichskohorte; Übertragbarkeit hängt von Struktur der Altenhilfe ab.</w:t>
      </w:r>
    </w:p>
    <w:p>
      <w:r>
        <w:rPr>
          <w:color w:val="5A7D3A"/>
          <w:sz w:val="18"/>
        </w:rPr>
        <w:t>https://pubmed.ncbi.nlm.nih.gov/42902280/</w:t>
      </w:r>
    </w:p>
    <w:p>
      <w:pPr>
        <w:pStyle w:val="Heading2"/>
      </w:pPr>
      <w:r>
        <w:t>Therapeutische Kontinuität verbessert Diabetesmanagement nicht ohne koordinierte Versorgung</w:t>
      </w:r>
    </w:p>
    <w:p>
      <w:r>
        <w:rPr>
          <w:i/>
          <w:color w:val="666666"/>
          <w:sz w:val="18"/>
        </w:rPr>
        <w:t>Poarch E et al.  ·  BMC Prim Care  ·  24.07.2026  ·  PMID 42902172</w:t>
      </w:r>
    </w:p>
    <w:p>
      <w:r>
        <w:t>Bevölkerungsbasierte Kohortenstudie von 2020–2023 in British Columbia mit über 84.000 Patienten mit Diabetes und/oder Hypertonie zur Frage, ob die Kontinuität der Arzt-Patienten-Beziehung zu empfohlenen Managementprozessen führt.</w:t>
      </w:r>
    </w:p>
    <w:p>
      <w:r>
        <w:rPr>
          <w:b/>
        </w:rPr>
        <w:t xml:space="preserve">Ergebnis: </w:t>
      </w:r>
      <w:r>
        <w:t>Vollständige relationale Kontinuität war nicht mit erhöhtem empfohlenem Management assoziiert (adjustierte RR 1,00; 95%-KI 0,99–1,01). Bei Patienten mit komplexem Bedarf (schwere psychische Erkrankung, Suchterkrankung) zeigten sich inverse Assoziationen (SMI + ≥12 Besuche aRR 0,64 [0,52–0,80]). Dies deutet darauf hin, dass reine Beziehungskontinuität ohne Management- und Informationskontinuität nicht ausreicht.</w:t>
      </w:r>
    </w:p>
    <w:p>
      <w:r>
        <w:rPr>
          <w:b/>
          <w:sz w:val="19"/>
        </w:rPr>
        <w:t xml:space="preserve">Übertragbarkeit: </w:t>
      </w:r>
      <w:r>
        <w:rPr>
          <w:sz w:val="19"/>
        </w:rPr>
        <w:t>Kanada/British Columbia; ähnliches primärärztliches System, aber ohne DMP-ähnliche Strukturen.</w:t>
      </w:r>
    </w:p>
    <w:p>
      <w:r>
        <w:rPr>
          <w:color w:val="5A7D3A"/>
          <w:sz w:val="18"/>
        </w:rPr>
        <w:t>https://pubmed.ncbi.nlm.nih.gov/42902172/</w:t>
      </w:r>
    </w:p>
    <w:p>
      <w:pPr>
        <w:pStyle w:val="Heading2"/>
      </w:pPr>
      <w:r>
        <w:t>Multimorbidität bei älteren Sturzhospitalisierungen: vier Phänotypen mit steuerbaren Risikofaktoren</w:t>
      </w:r>
    </w:p>
    <w:p>
      <w:r>
        <w:rPr>
          <w:i/>
          <w:color w:val="666666"/>
          <w:sz w:val="18"/>
        </w:rPr>
        <w:t>Wang X et al.  ·  BMC Geriatr  ·  22.07.2026  ·  PMID 42897528</w:t>
      </w:r>
    </w:p>
    <w:p>
      <w:r>
        <w:t>Querschnittsanalyse von 705 älteren Stürzen im Krankenhaus (Januar 2015–August 2025) mit latenter Klassenanalyse von 12 chronischen Erkrankungen zur Identifikation von Mehrfacherkrankungs-Clustern und assoziierten Faktoren.</w:t>
      </w:r>
    </w:p>
    <w:p>
      <w:r>
        <w:rPr>
          <w:b/>
        </w:rPr>
        <w:t xml:space="preserve">Ergebnis: </w:t>
      </w:r>
      <w:r>
        <w:t>Vier distinct Multimorbidität-Klassen: Schlaganfall-Gruppe (11,9 %), Krebsgruppe (22,8 %), Multisystem-Multimorbidität (22,4 %), relativ Gesunde (42,8 %). Logistische Regression zeigte signifikante Assoziationen mit Alter, Station, Begleitstatus, Prä-Sturz-Status, Personalerfahrung, Risiko-Assessment-Score und Anzahl sturzrisiko-erhöhender Arzneimittel (alle p&lt;0,05). Krebs war häufigste Einzelerkrankung.</w:t>
      </w:r>
    </w:p>
    <w:p>
      <w:r>
        <w:rPr>
          <w:b/>
          <w:sz w:val="19"/>
        </w:rPr>
        <w:t xml:space="preserve">Übertragbarkeit: </w:t>
      </w:r>
      <w:r>
        <w:rPr>
          <w:sz w:val="19"/>
        </w:rPr>
        <w:t>China (Hangzhou); tertäre Klinik; Struktur ähnlich deutschen Krankenhäusern, aber Adhärenz- und Dokumentationspraxis unterscheidet sich.</w:t>
      </w:r>
    </w:p>
    <w:p>
      <w:r>
        <w:rPr>
          <w:color w:val="5A7D3A"/>
          <w:sz w:val="18"/>
        </w:rPr>
        <w:t>https://pubmed.ncbi.nlm.nih.gov/42897528/</w:t>
      </w:r>
    </w:p>
    <w:p>
      <w:pPr>
        <w:pStyle w:val="Heading2"/>
      </w:pPr>
      <w:r>
        <w:t>GLP-1-Analogon reduziert renale Ereignisse bei Typ-2-Diabetes mit Nierenschaden um 51–67 %</w:t>
      </w:r>
    </w:p>
    <w:p>
      <w:r>
        <w:rPr>
          <w:i/>
          <w:color w:val="666666"/>
          <w:sz w:val="18"/>
        </w:rPr>
        <w:t>Ye J et al.  ·  Signal Transduct Target Ther  ·  20.10.2026  ·  PMID 42897130</w:t>
      </w:r>
    </w:p>
    <w:p>
      <w:r>
        <w:t>Multizentrische retrospektive Kohortenstudie mit 3.305 Patienten in China mit Typ-2-Diabetes, Nierenschädigung und kardiovaskulärem Risiko über median 36,4 Monate zur renoprotektiven Wirkung von Polyethylenglycol-Loxenatid vs. Standardtherapie.</w:t>
      </w:r>
    </w:p>
    <w:p>
      <w:r>
        <w:rPr>
          <w:b/>
        </w:rPr>
        <w:t xml:space="preserve">Ergebnis: </w:t>
      </w:r>
      <w:r>
        <w:t>Polyethylenglycol-Loxenatid war mit reduziertem Risiko für primäre nierenspezifische Ereignisse assoziiert (adjustierte HR 0,49; 95%-KI 0,25–0,95; p=0,035 in Gesamtkohorte; HR 0,44 [0,20–0,97] nach Propensity-Score-Matching). Effekt zeigte sich progressiv über 6-Monats-Landmarks (HR 0,40) bis 12-Monats-Landmarks (HR 0,33). Kardiovaskulärer Effekt war nicht stabil.</w:t>
      </w:r>
    </w:p>
    <w:p>
      <w:r>
        <w:rPr>
          <w:b/>
          <w:sz w:val="19"/>
        </w:rPr>
        <w:t xml:space="preserve">Übertragbarkeit: </w:t>
      </w:r>
      <w:r>
        <w:rPr>
          <w:sz w:val="19"/>
        </w:rPr>
        <w:t>China; Datenextraktion durch KI-gestützte Pipeline, aber Übertragbarkeit begrenzt durch ethnische/pathophysiologische Unterschiede.</w:t>
      </w:r>
    </w:p>
    <w:p>
      <w:r>
        <w:rPr>
          <w:color w:val="5A7D3A"/>
          <w:sz w:val="18"/>
        </w:rPr>
        <w:t>https://pubmed.ncbi.nlm.nih.gov/42897130/</w:t>
      </w:r>
    </w:p>
    <w:p>
      <w:pPr>
        <w:pStyle w:val="Heading2"/>
      </w:pPr>
      <w:r>
        <w:t>Exergame erzielte 67 % maximale Herzfrequenz mit hoher Adhärenzfreude bei stabilen Chronikern</w:t>
      </w:r>
    </w:p>
    <w:p>
      <w:r>
        <w:rPr>
          <w:i/>
          <w:color w:val="666666"/>
          <w:sz w:val="18"/>
        </w:rPr>
        <w:t>Haron MJ et al.  ·  JMIR Form Res  ·  19.10.2026  ·  PMID 42896149</w:t>
      </w:r>
    </w:p>
    <w:p>
      <w:r>
        <w:t>Einarm-Pilot-Experimentalstudie mit 20 Erwachsenen (Durchschnittsalter 54,3 Jahre) mit stabilen chronischen Erkrankungen (70 % Hypertonie, 55 % Hyperlipidämie) zur Untersuchung physiologischer Reaktionen, Trainingsintensität und Spielfreude beim Exergame Ring Fit Adventure.</w:t>
      </w:r>
    </w:p>
    <w:p>
      <w:r>
        <w:rPr>
          <w:b/>
        </w:rPr>
        <w:t xml:space="preserve">Ergebnis: </w:t>
      </w:r>
      <w:r>
        <w:t>Mittlere Herzfrequenz während Spiels 111,6 bpm (67,2 % maximale altersgerechte HF); Spitzenwert 138,6 bpm (83,5 %). HF-Anstieg nach Welt 1: 16,7 bpm (p&lt;0,001), nach Welt 2: 20,7 bpm (p&lt;0,001). Kapillarblutglukose sank um 1,4 mmol/L (Welt 1) und 1,6 mmol/L (Welt 2) ohne Hypoglykämien. Blutdruck stabil. Genussquote 77,6/100. Keine schweren Nebenereignisse.</w:t>
      </w:r>
    </w:p>
    <w:p>
      <w:r>
        <w:rPr>
          <w:b/>
          <w:sz w:val="19"/>
        </w:rPr>
        <w:t xml:space="preserve">Übertragbarkeit: </w:t>
      </w:r>
      <w:r>
        <w:rPr>
          <w:sz w:val="19"/>
        </w:rPr>
        <w:t>Singapur; kleine Stichprobe, keine Kontrollgruppe, aber Machbarkeit für Home-Based-Übungen gezeigt.</w:t>
      </w:r>
    </w:p>
    <w:p>
      <w:r>
        <w:rPr>
          <w:color w:val="5A7D3A"/>
          <w:sz w:val="18"/>
        </w:rPr>
        <w:t>https://pubmed.ncbi.nlm.nih.gov/42896149/</w:t>
      </w:r>
    </w:p>
    <w:p>
      <w:pPr>
        <w:pStyle w:val="Heading2"/>
      </w:pPr>
      <w:r>
        <w:t>Erhöhte Sulfatase-1 im Serum korreliert mit langsamerer Lungenfunktionsabnahme bei COPD</w:t>
      </w:r>
    </w:p>
    <w:p>
      <w:r>
        <w:rPr>
          <w:i/>
          <w:color w:val="666666"/>
          <w:sz w:val="18"/>
        </w:rPr>
        <w:t>Liu Y et al.  ·  Respir Res  ·  22.07.2026  ·  PMID 42894165</w:t>
      </w:r>
    </w:p>
    <w:p>
      <w:r>
        <w:t>Klinische Beobachtungsstudie mit Serum-ELISA und funktionellen Modellen zur Rolle von Sulfatase 1 (SULF1) in der COPD-Progression mit Analyse der Korrelation zu Lungenfunktionsverlauf und In-vivo-Mechanismus.</w:t>
      </w:r>
    </w:p>
    <w:p>
      <w:r>
        <w:rPr>
          <w:b/>
        </w:rPr>
        <w:t xml:space="preserve">Ergebnis: </w:t>
      </w:r>
      <w:r>
        <w:t>Bei COPD-Patienten waren SULF1-Serumspiegel erhöht und zeigten negative Korrelation mit FEV1/FVC-Ratio (p&lt;0,001) und jährlichem FEV1/FVC-Rückgang. In Rauchexpositionsmodellen führte SULF1-Knockout zu ausgeprägteren Emphysemveränderungen; SULF1-Überexpression minderte Lungenalterationen partiell ab. SULF1 band stabil an Keratin 15 (KRT15).</w:t>
      </w:r>
    </w:p>
    <w:p>
      <w:r>
        <w:rPr>
          <w:b/>
          <w:sz w:val="19"/>
        </w:rPr>
        <w:t xml:space="preserve">Übertragbarkeit: </w:t>
      </w:r>
      <w:r>
        <w:rPr>
          <w:sz w:val="19"/>
        </w:rPr>
        <w:t>China (Guangzhou); Mechanismus belegt, aber klinische Validierung und Interventionspfade fehlen.</w:t>
      </w:r>
    </w:p>
    <w:p>
      <w:r>
        <w:rPr>
          <w:color w:val="5A7D3A"/>
          <w:sz w:val="18"/>
        </w:rPr>
        <w:t>https://pubmed.ncbi.nlm.nih.gov/42894165/</w:t>
      </w:r>
    </w:p>
    <w:p>
      <w:pPr>
        <w:pStyle w:val="Heading1"/>
      </w:pPr>
      <w:r>
        <w:t>Aufgenommen am 21.10.2026</w:t>
      </w:r>
    </w:p>
    <w:p>
      <w:pPr>
        <w:pStyle w:val="Heading2"/>
      </w:pPr>
      <w:r>
        <w:t>COPD-Phänotypen nach Entzündungsmuster identifiziert: vier klinisch relevante Subgruppen</w:t>
      </w:r>
    </w:p>
    <w:p>
      <w:r>
        <w:rPr>
          <w:i/>
          <w:color w:val="666666"/>
          <w:sz w:val="18"/>
        </w:rPr>
        <w:t>Wang Q et al.  ·  Int J Chron Obstruct Pulmon Dis  ·  15.10.2026  ·  PMID 42899181</w:t>
      </w:r>
    </w:p>
    <w:p>
      <w:r>
        <w:t>Chinesische Studie an 319 stabilen COPD-Patienten identifizierte vier Phänotypen mittels Clusteranalyse von Zytokinen und Atemwegsverengung und korrelierte diese mit CT-Befunden, klinischen Symptomen und Exazerbationen.</w:t>
      </w:r>
    </w:p>
    <w:p>
      <w:r>
        <w:rPr>
          <w:b/>
        </w:rPr>
        <w:t xml:space="preserve">Ergebnis: </w:t>
      </w:r>
      <w:r>
        <w:t>Cluster 1 (Schwer-niedrige Entzündung): niedrigste Zytokine, höchste Symptomen, schwerste Atemwegsverengung, ausgeprägtestes Emphysem. Cluster 2 (Mild-niedrig): geringe Symptomen, erhaltene Lungenfunktion. Cluster 3 (Moderat-erhöht): mittlere Entzündung und Symptomen. Cluster 4 (Sehr hohe Entzündung): deutlich erhöhte Zytokine, erhaltene Lungenfunktion, aber massive Atemwegsraum-Verdickung und häufige Exazerbationen. Diese Phänotypisierung offenbarte eine Dissoziation zwischen systemischer Entzündung und Krankheitsschweregrad, was individualisierte Therapie ermöglicht.</w:t>
      </w:r>
    </w:p>
    <w:p>
      <w:r>
        <w:rPr>
          <w:b/>
          <w:sz w:val="19"/>
        </w:rPr>
        <w:t xml:space="preserve">Übertragbarkeit: </w:t>
      </w:r>
      <w:r>
        <w:rPr>
          <w:sz w:val="19"/>
        </w:rPr>
        <w:t>China, aber Phänotypisierungskonzept unabhängig von Gesundheitssystem übertragbar</w:t>
      </w:r>
    </w:p>
    <w:p>
      <w:r>
        <w:rPr>
          <w:color w:val="5A7D3A"/>
          <w:sz w:val="18"/>
        </w:rPr>
        <w:t>https://pubmed.ncbi.nlm.nih.gov/42899181/</w:t>
      </w:r>
    </w:p>
    <w:p>
      <w:pPr>
        <w:pStyle w:val="Heading2"/>
      </w:pPr>
      <w:r>
        <w:t>DECAF-Score überlegen: 95,6 % Spezifität für Mortalitätsprognose bei COPD-Exazerbation</w:t>
      </w:r>
    </w:p>
    <w:p>
      <w:r>
        <w:rPr>
          <w:i/>
          <w:color w:val="666666"/>
          <w:sz w:val="18"/>
        </w:rPr>
        <w:t>Gode R et al.  ·  BMC Pulm Med  ·  23.07.2026  ·  PMID 42897561</w:t>
      </w:r>
    </w:p>
    <w:p>
      <w:r>
        <w:t>Türkische Klinikkohorte verglich zwei Prognosescores (HALP und DECAF) bei 499 Patienten mit akuter COPD-Exazerbation zur Vorhersage 30-Tage-Krankenhaussterblichkeit mittels ROC-Analyse und logistischer Regression.</w:t>
      </w:r>
    </w:p>
    <w:p>
      <w:r>
        <w:rPr>
          <w:b/>
        </w:rPr>
        <w:t xml:space="preserve">Ergebnis: </w:t>
      </w:r>
      <w:r>
        <w:t>63 Patienten (12,6 %) starben innerhalb 30 Tage. DECAF-Score zeigte überlegene Diskriminierung (AUC 0,932) gegenüber HALP (AUC 0,724; p&lt;0,001). Bei DECAF ≥4 betrugen Sensitivität 76,2 %, Spezifität 95,6 %, negativer prädiktiver Wert 96,5 %. HALP bot nur begrenzte prognostische Information. DECAF bleibt robuster und klinisch anwendbarer Prädiktor für Kurzzeitergebnisse im Notfalleinsatz.</w:t>
      </w:r>
    </w:p>
    <w:p>
      <w:r>
        <w:rPr>
          <w:b/>
          <w:sz w:val="19"/>
        </w:rPr>
        <w:t xml:space="preserve">Übertragbarkeit: </w:t>
      </w:r>
      <w:r>
        <w:rPr>
          <w:sz w:val="19"/>
        </w:rPr>
        <w:t>Türkische Notfallmedizin, Score international validiert und einsetzbar</w:t>
      </w:r>
    </w:p>
    <w:p>
      <w:r>
        <w:rPr>
          <w:color w:val="5A7D3A"/>
          <w:sz w:val="18"/>
        </w:rPr>
        <w:t>https://pubmed.ncbi.nlm.nih.gov/42897561/</w:t>
      </w:r>
    </w:p>
    <w:p>
      <w:pPr>
        <w:pStyle w:val="Heading2"/>
      </w:pPr>
      <w:r>
        <w:t>Messinstrument für Therapieunsicherheit bei Dialysepatienten validiert</w:t>
      </w:r>
    </w:p>
    <w:p>
      <w:r>
        <w:rPr>
          <w:i/>
          <w:color w:val="666666"/>
          <w:sz w:val="18"/>
        </w:rPr>
        <w:t>Gündoğan R et al.  ·  BMC Nephrol  ·  23.07.2026  ·  PMID 42897558</w:t>
      </w:r>
    </w:p>
    <w:p>
      <w:r>
        <w:t>Türkische Validierungsstudie entwickelte eine reliable und valide Skala (UC-D&amp;TS) zur Messung von Unsicherheit über Erkrankung und Behandlung bei 155 Dialysepatienten, angewendet um den Zusammenhang zwischen Unsicherheit, Adhärenz und psychosozialem Wohlbefinden zu untersuchen.</w:t>
      </w:r>
    </w:p>
    <w:p>
      <w:r>
        <w:rPr>
          <w:b/>
        </w:rPr>
        <w:t xml:space="preserve">Ergebnis: </w:t>
      </w:r>
      <w:r>
        <w:t>Die Skala zeigte hohe interne Konsistenz (Cronbach α = 0,872), eine vier-Faktoren-Struktur, die 59,13 % der Varianz erklärte, und exzellente Test-Retest-Reliabilität (r = 0,986). Messmodell passte akzeptabel (χ²/df = 1,77; CFI = 0,94). Das Instrument ist einsatzreif für klinische Praxis und Forschung zur Rolle von Unsicherheit bei Therapietreue und psychischem Wohlbefinden von Dialysepatienten.</w:t>
      </w:r>
    </w:p>
    <w:p>
      <w:r>
        <w:rPr>
          <w:b/>
          <w:sz w:val="19"/>
        </w:rPr>
        <w:t xml:space="preserve">Übertragbarkeit: </w:t>
      </w:r>
      <w:r>
        <w:rPr>
          <w:sz w:val="19"/>
        </w:rPr>
        <w:t>Validierungsstudie an türkischer Population; Instrument für internationale Verwendung adaptierbar</w:t>
      </w:r>
    </w:p>
    <w:p>
      <w:r>
        <w:rPr>
          <w:color w:val="5A7D3A"/>
          <w:sz w:val="18"/>
        </w:rPr>
        <w:t>https://pubmed.ncbi.nlm.nih.gov/42897558/</w:t>
      </w:r>
    </w:p>
    <w:p>
      <w:pPr>
        <w:pStyle w:val="Heading2"/>
      </w:pPr>
      <w:r>
        <w:t>Südafrika: Hypertonie und Diabetes verdoppelt – Mehrfacherkrankung bei älteren Frauen am höchsten</w:t>
      </w:r>
    </w:p>
    <w:p>
      <w:r>
        <w:rPr>
          <w:i/>
          <w:color w:val="666666"/>
          <w:sz w:val="18"/>
        </w:rPr>
        <w:t>Chironda CT et al.  ·  BMC Public Health  ·  23.07.2026  ·  PMID 42897543</w:t>
      </w:r>
    </w:p>
    <w:p>
      <w:r>
        <w:t>Südafrikanische Verbal-Autopsy-Studie an 5.892 Verstorbenen analysierte Trends chronischer Erkrankungen und Multimorbidität-Cluster über 11 Jahre mittels Clusteranalyse und latenter Klassenanalyse, um epidemiologischen Wandel in ländlicher Region zu dokumentieren.</w:t>
      </w:r>
    </w:p>
    <w:p>
      <w:r>
        <w:rPr>
          <w:b/>
        </w:rPr>
        <w:t xml:space="preserve">Ergebnis: </w:t>
      </w:r>
      <w:r>
        <w:t>Hypertonie stieg von 25 % (2012) auf über 50 % (2022), Diabetes von 10 % auf 25 %. Tuberkulose fiel von 23 % auf 11 %, HIV-Prävalenz schwankte um 20 %. Multimorbidität (≥2 Erkrankungen) wuchs, Komplexmultimorbidität (≥3) verdoppelte sich von 8 % (2012) auf 15 % (2019). Cluster verschwanden progressiv vom HIV/TB-Muster zu kardio-metabolischen Mustern (Hypertonie-Diabetes). Ältere Erwachsene (≥65 Jahre) und Frauen trugen höchste Multimorbidität-Last. Dies zeigt: ländliche Bevölkerung unterliegt Epidemiologischem Übergang; Versorgung muss Nichtübertragbare Krankheiten priorisieren und Mehrfacherkrankungen adressieren.</w:t>
      </w:r>
    </w:p>
    <w:p>
      <w:r>
        <w:rPr>
          <w:b/>
          <w:sz w:val="19"/>
        </w:rPr>
        <w:t xml:space="preserve">Übertragbarkeit: </w:t>
      </w:r>
      <w:r>
        <w:rPr>
          <w:sz w:val="19"/>
        </w:rPr>
        <w:t>Südafrika, ländliches Setting; epidemiologischer Wandel global relevant, Gesundheitssysteme unterschiedlich</w:t>
      </w:r>
    </w:p>
    <w:p>
      <w:r>
        <w:rPr>
          <w:color w:val="5A7D3A"/>
          <w:sz w:val="18"/>
        </w:rPr>
        <w:t>https://pubmed.ncbi.nlm.nih.gov/42897543/</w:t>
      </w:r>
    </w:p>
    <w:p>
      <w:pPr>
        <w:pStyle w:val="Heading2"/>
      </w:pPr>
      <w:r>
        <w:t>Nierentransplantation senkt Kosten dramatisch: Krankenhauskosten 82 % niedriger als bei Dialyse</w:t>
      </w:r>
    </w:p>
    <w:p>
      <w:r>
        <w:rPr>
          <w:i/>
          <w:color w:val="666666"/>
          <w:sz w:val="18"/>
        </w:rPr>
        <w:t>Santamaria R et al.  ·  BMC Nephrol  ·  22.07.2026  ·  PMID 42897541</w:t>
      </w:r>
    </w:p>
    <w:p>
      <w:r>
        <w:t>Spanische Kohortenstudie verglich Gesundheitskosten und Krankenhausnutzung bei 588 Patienten mit Dialyse oder Nierentransplantation über zwei Jahre, gemessen an Hospitalisierungen, schwerwiegenden kardiovaskulären Ereignissen und Mortalität.</w:t>
      </w:r>
    </w:p>
    <w:p>
      <w:r>
        <w:rPr>
          <w:b/>
        </w:rPr>
        <w:t xml:space="preserve">Ergebnis: </w:t>
      </w:r>
      <w:r>
        <w:t>Durchschnittliche Jahreskosten für Dialysepatienten betrugen 25.410 €, für Transplantierte 4.473 €. Bei Dialysepatienten waren schwerwiegende kardiovaskuläre Ereignisse 3,2-mal häufiger (276,3 vs. 85,9 pro 1000 Patientenjahre), Hospitalisierungsrate 1,3-mal höher (245,7 vs. 183,0 pro 1000), Sterblichkeit 7,1-mal höher (253,8 vs. 35,6). Hospitalisierungen verursachten 72,4 % der Dialysekosten, bei Transplantation nur 39,8 %. Die Ergebnisse bestätigen Transplantation als kosteneffektivste Therapie chronischer Nierenfunktionsstörung.</w:t>
      </w:r>
    </w:p>
    <w:p>
      <w:r>
        <w:rPr>
          <w:b/>
          <w:sz w:val="19"/>
        </w:rPr>
        <w:t xml:space="preserve">Übertragbarkeit: </w:t>
      </w:r>
      <w:r>
        <w:rPr>
          <w:sz w:val="19"/>
        </w:rPr>
        <w:t>Spanisches Gesundheitssystem, vergleichbar mit deutschem Versicherungsmodell</w:t>
      </w:r>
    </w:p>
    <w:p>
      <w:r>
        <w:rPr>
          <w:color w:val="5A7D3A"/>
          <w:sz w:val="18"/>
        </w:rPr>
        <w:t>https://pubmed.ncbi.nlm.nih.gov/42897541/</w:t>
      </w:r>
    </w:p>
    <w:p>
      <w:pPr>
        <w:pStyle w:val="Heading2"/>
      </w:pPr>
      <w:r>
        <w:t>Schlafmangel erhöht Multimorbidität-Risiko um 375 %: Studie an postmenopausalen Frauen</w:t>
      </w:r>
    </w:p>
    <w:p>
      <w:r>
        <w:rPr>
          <w:i/>
          <w:color w:val="666666"/>
          <w:sz w:val="18"/>
        </w:rPr>
        <w:t>Xu J et al.  ·  BMC Public Health  ·  24.07.2026  ·  PMID 42897539</w:t>
      </w:r>
    </w:p>
    <w:p>
      <w:r>
        <w:t>Chinesische Längsschnittstudie an 2.859 postmenopausalen Frauen aus der CHARLS-Kohorte identifizierte Schlafmuster (Group-Based Trajectory Modeling) und untersuchte deren Assoziation mit kardio-renal-metabolischer Mehrfacherkrankung (kardiovaskulär, Niere, Stoffwechsel) über mittlere zwei Jahre Nachbeobachtung.</w:t>
      </w:r>
    </w:p>
    <w:p>
      <w:r>
        <w:rPr>
          <w:b/>
        </w:rPr>
        <w:t xml:space="preserve">Ergebnis: </w:t>
      </w:r>
      <w:r>
        <w:t>Drei Schlafmuster wurden identifiziert: normal-stabil (33,9 %), normal-fluktuierend abnehmend (52,0 %), kurz-rapide abnehmend (14,1 %). Während Nachbeobachtung entwickelten 108 Frauen (3,8 %) Multimorbidität. Gegenüber normal-stabil-Gruppe: normal-fluktuierend-abnehmend erhöhte Multimorbidität-Risiko um 130 % (OR 2,30; 95%KI 1,35–3,91), kurz-rapide-abnehmend um 275 % (OR 3,75; 95%KI 1,99–7,07). Effekte blieben in Subgruppen- und Sensitivitätsanalysen stabil. Stable ausreichende Schlafdauer ist protektiver Faktor gegen Multimorbidität.</w:t>
      </w:r>
    </w:p>
    <w:p>
      <w:r>
        <w:rPr>
          <w:b/>
          <w:sz w:val="19"/>
        </w:rPr>
        <w:t xml:space="preserve">Übertragbarkeit: </w:t>
      </w:r>
      <w:r>
        <w:rPr>
          <w:sz w:val="19"/>
        </w:rPr>
        <w:t>China; Phänomen biologisch universal, präventiventiver Ansatz systemunabhängig</w:t>
      </w:r>
    </w:p>
    <w:p>
      <w:r>
        <w:rPr>
          <w:color w:val="5A7D3A"/>
          <w:sz w:val="18"/>
        </w:rPr>
        <w:t>https://pubmed.ncbi.nlm.nih.gov/42897539/</w:t>
      </w:r>
    </w:p>
    <w:p>
      <w:pPr>
        <w:pStyle w:val="Heading1"/>
      </w:pPr>
      <w:r>
        <w:t>Aufgenommen am 20.10.2026</w:t>
      </w:r>
    </w:p>
    <w:p>
      <w:pPr>
        <w:pStyle w:val="Heading2"/>
      </w:pPr>
      <w:r>
        <w:t>Atherogenic-Frailty-Index sagt kardio-metabole Mehrfacherkrankung voraus: kumulative Last und Trajektorien</w:t>
      </w:r>
    </w:p>
    <w:p>
      <w:r>
        <w:rPr>
          <w:i/>
          <w:color w:val="666666"/>
          <w:sz w:val="18"/>
        </w:rPr>
        <w:t>Wu H et al.  ·  J Glob Health  ·  19.10.2026  ·  PMID 42895260</w:t>
      </w:r>
    </w:p>
    <w:p>
      <w:r>
        <w:t>Prospektive nationale chinesische Kohortenstudie (CHARLS) an 4.157 Erwachsenen ≥45 Jahren ohne baseline-Mehrfacherkrankung zur Assoziation von kumulativer Exposition und Longitudinal-Trajektorien eines kombinierten atherogenic-frailty-Index (AIP-FI) mit neu auftretender kardio-metaboler Mehrfacherkrankung.</w:t>
      </w:r>
    </w:p>
    <w:p>
      <w:r>
        <w:rPr>
          <w:b/>
        </w:rPr>
        <w:t xml:space="preserve">Ergebnis: </w:t>
      </w:r>
      <w:r>
        <w:t>Über 8,5 Jahre Nachverfolgung traten 612 neue Mehrfacherkrankungs-Fälle auf. Höherer baseline und kumulativer AIP-FI waren signifikant mit erhöhtem Mehrfacherkrankungs-Risiko assoziiert; kumulativer Effekt war stärker (adjustierte HR pro SD: 1,46; 95%-KI 1,38–1,54). Höchstes Quartil vs. niedrigstes: HR 3,95 (95%-KI 2,95–5,29). Hoch-stabile AIP-FI-Gruppen zeigten höchstes Risiko. AIP-FI hatte überlegene Vorhersageleistung (AUC 71,17%) mit verbesserter Reklassifikation (NRI 0,157).</w:t>
      </w:r>
    </w:p>
    <w:p>
      <w:r>
        <w:rPr>
          <w:b/>
          <w:sz w:val="19"/>
        </w:rPr>
        <w:t xml:space="preserve">Übertragbarkeit: </w:t>
      </w:r>
      <w:r>
        <w:rPr>
          <w:sz w:val="19"/>
        </w:rPr>
        <w:t>China, nationales Register, aber Mehrfacherkrankungs-Konzept und Biomarker-Ansatz europäisch relevant</w:t>
      </w:r>
    </w:p>
    <w:p>
      <w:r>
        <w:rPr>
          <w:color w:val="5A7D3A"/>
          <w:sz w:val="18"/>
        </w:rPr>
        <w:t>https://pubmed.ncbi.nlm.nih.gov/42895260/</w:t>
      </w:r>
    </w:p>
    <w:p>
      <w:pPr>
        <w:pStyle w:val="Heading2"/>
      </w:pPr>
      <w:r>
        <w:t>CKD als Kardio-Nieren-Stoffwechsel-Kontinuum: neue Phänotypen für Risikostratifikation</w:t>
      </w:r>
    </w:p>
    <w:p>
      <w:r>
        <w:rPr>
          <w:i/>
          <w:color w:val="666666"/>
          <w:sz w:val="18"/>
        </w:rPr>
        <w:t>Valtuille RA et al.  ·  Panminerva Med  ·  Sept. 2026  ·  PMID 42895046</w:t>
      </w:r>
    </w:p>
    <w:p>
      <w:r>
        <w:t>Narrative Übersichtsarbeit zu CKD als systemische Erkrankung mit mehreren Filtrationphänotypen, Entzündung und kardiovaskulärer Vulnerabilität; Integration von Nierenbiomarkern in Risikoprädiktion.</w:t>
      </w:r>
    </w:p>
    <w:p>
      <w:r>
        <w:rPr>
          <w:b/>
        </w:rPr>
        <w:t xml:space="preserve">Ergebnis: </w:t>
      </w:r>
      <w:r>
        <w:t>Neuartige Filtrationphänotypen (Kreatinin-Cystatin-C-basierte eGFR-Kategorien) verbessern klassisches Staging. Simulation an 5.000 virtuellen Patienten zeigt nicht-lineare, synergetische Effekte von eGFR, Albuminurie, Alter, Hypertonie, Diabetes und Lipidstörungen auf kardiovaskuläres Risiko. SGLT2-Inhibitoren, Finerenon und GLP-1-Agonisten bieten Multisystemvorteile.</w:t>
      </w:r>
    </w:p>
    <w:p>
      <w:r>
        <w:rPr>
          <w:b/>
          <w:sz w:val="19"/>
        </w:rPr>
        <w:t xml:space="preserve">Übertragbarkeit: </w:t>
      </w:r>
      <w:r>
        <w:rPr>
          <w:sz w:val="19"/>
        </w:rPr>
        <w:t>Europäische Fachliteratur, kontinuum-basierter Ansatz übertragbar auf deutsches DMP-System</w:t>
      </w:r>
    </w:p>
    <w:p>
      <w:r>
        <w:rPr>
          <w:color w:val="5A7D3A"/>
          <w:sz w:val="18"/>
        </w:rPr>
        <w:t>https://pubmed.ncbi.nlm.nih.gov/42895046/</w:t>
      </w:r>
    </w:p>
    <w:p>
      <w:pPr>
        <w:pStyle w:val="Heading2"/>
      </w:pPr>
      <w:r>
        <w:t>Osteoporose bei COPD: Erkenntnislücke zwischen Wissen und klinischer Praxis</w:t>
      </w:r>
    </w:p>
    <w:p>
      <w:r>
        <w:rPr>
          <w:i/>
          <w:color w:val="666666"/>
          <w:sz w:val="18"/>
        </w:rPr>
        <w:t>Siraj RA et al.  ·  Int J Chron Obstruct Pulmon Dis  ·  14.10.2026  ·  PMID 42894800</w:t>
      </w:r>
    </w:p>
    <w:p>
      <w:r>
        <w:t>Nationale Cross-sectional-Befragung von 977 saudi-arabischen Fachleuten (Hausärzte, Pneumologen, Intensivmediziner) zu Wahrnehmung, Selbstsicherheit und Routinetätigkeit bei Osteoporoserisiko-Assessment bei COPD-Patienten.</w:t>
      </w:r>
    </w:p>
    <w:p>
      <w:r>
        <w:rPr>
          <w:b/>
        </w:rPr>
        <w:t xml:space="preserve">Ergebnis: </w:t>
      </w:r>
      <w:r>
        <w:t>61% berichteten routinemäßiges Osteoporose-Risiko-Screening, aber Umsetzung war inkonsistent; Hauptbarrieren waren Priorisierung respiratorischer Symptome (58,9%), fehlende Klinik-Protokolle (55,1%), begrenzte Konsultationszeit (51,1%) und limitierter Ressourcenzugang (51,1%). Pulmonologen (aOR 1,53), höhere Patientenzahl (10–30 monatlich; aOR 1,70), formale Ausbildung (aOR 1,45) und Selbsteinschätzung (aOR 1,71) waren unabhängig assoziiert mit routinemäßigem Assessment.</w:t>
      </w:r>
    </w:p>
    <w:p>
      <w:r>
        <w:rPr>
          <w:b/>
          <w:sz w:val="19"/>
        </w:rPr>
        <w:t xml:space="preserve">Übertragbarkeit: </w:t>
      </w:r>
      <w:r>
        <w:rPr>
          <w:sz w:val="19"/>
        </w:rPr>
        <w:t>Saudi-Arabien, aber Barrieren-Struktur und Interventionsmöglichkeiten auf deutsches Mehrfacherkrankungs-Screening übertragbar</w:t>
      </w:r>
    </w:p>
    <w:p>
      <w:r>
        <w:rPr>
          <w:color w:val="5A7D3A"/>
          <w:sz w:val="18"/>
        </w:rPr>
        <w:t>https://pubmed.ncbi.nlm.nih.gov/42894800/</w:t>
      </w:r>
    </w:p>
    <w:p>
      <w:pPr>
        <w:pStyle w:val="Heading2"/>
      </w:pPr>
      <w:r>
        <w:t>Neutrophil-Lymphozyten-Ratio bei COPD: Assoziation mit beschleunigtem Lungenfunktionsverlust</w:t>
      </w:r>
    </w:p>
    <w:p>
      <w:r>
        <w:rPr>
          <w:i/>
          <w:color w:val="666666"/>
          <w:sz w:val="18"/>
        </w:rPr>
        <w:t>Xue H et al.  ·  Int J Chron Obstruct Pulmon Dis  ·  14.10.2026  ·  PMID 42894652</w:t>
      </w:r>
    </w:p>
    <w:p>
      <w:r>
        <w:t>Retrospektive Einzelzentrum-Kohortenstudie mit wiederholter Spirometrie zur Assoziation zwischen Ausgangswert des Neutrophil-Lymphozyten-Quotienten (NLR) und jährlicher FEV1-Veränderung bei klinisch stabiler COPD.</w:t>
      </w:r>
    </w:p>
    <w:p>
      <w:r>
        <w:rPr>
          <w:b/>
        </w:rPr>
        <w:t xml:space="preserve">Ergebnis: </w:t>
      </w:r>
      <w:r>
        <w:t>Bei 640 Patienten (2.525 Beobachtungen, Median 22 Monate) war höherer baseline-NLR (pro Verdopplung) nach Schweregrad-Anpassung mit zusätzlichem FEV1-Rückgang von 8,26 mL/Jahr verbunden (95%-KI 2,29–14,23; p=0,0068). Assoziation war modellabhängig und etablierte weder Kausalität noch individuellen Vorhersagewert.</w:t>
      </w:r>
    </w:p>
    <w:p>
      <w:r>
        <w:rPr>
          <w:b/>
          <w:sz w:val="19"/>
        </w:rPr>
        <w:t xml:space="preserve">Übertragbarkeit: </w:t>
      </w:r>
      <w:r>
        <w:rPr>
          <w:sz w:val="19"/>
        </w:rPr>
        <w:t>China (Einzelzentrum), retrograd strukturiert; Entzündungsmarker-Ansatz auf deutsches COPD-Monitoring übertragbar</w:t>
      </w:r>
    </w:p>
    <w:p>
      <w:r>
        <w:rPr>
          <w:color w:val="5A7D3A"/>
          <w:sz w:val="18"/>
        </w:rPr>
        <w:t>https://pubmed.ncbi.nlm.nih.gov/42894652/</w:t>
      </w:r>
    </w:p>
    <w:p>
      <w:pPr>
        <w:pStyle w:val="Heading2"/>
      </w:pPr>
      <w:r>
        <w:t>Asthma-COPD-Überlappung: erhöhte Exazerbationsrate bei Mehrfacherkrankung</w:t>
      </w:r>
    </w:p>
    <w:p>
      <w:r>
        <w:rPr>
          <w:i/>
          <w:color w:val="666666"/>
          <w:sz w:val="18"/>
        </w:rPr>
        <w:t>Athlin Å et al.  ·  Scand J Prim Health Care  ·  18.10.2026  ·  PMID 42894311</w:t>
      </w:r>
    </w:p>
    <w:p>
      <w:r>
        <w:t>Schwedische Kohortenstudie mit Patienten aus Primär- und Sekundärversorgung zur Häufigkeit und Auswirkung von Asthma-COPD-Überlappung auf Exazerbationen, Symptombelastung und Mortalität.</w:t>
      </w:r>
    </w:p>
    <w:p>
      <w:r>
        <w:rPr>
          <w:b/>
        </w:rPr>
        <w:t xml:space="preserve">Ergebnis: </w:t>
      </w:r>
      <w:r>
        <w:t>22% (2005) bzw. 9% (2014) der COPD-Patienten hatten komorbides Asthma; diese zeigten erhöhtes Exazerbationsrisiko (OR 1,58–2,20, p≤0,02), ohne signifikante Unterschiede in der Symptombelastung. Mortalität war nur in der 2014-Kohorte niedriger (HR 0,67, p=0,02). Reduktion der Asthma-COPD-Überlappung deutet auf verbesserte Diagnostik hin.</w:t>
      </w:r>
    </w:p>
    <w:p>
      <w:r>
        <w:rPr>
          <w:b/>
          <w:sz w:val="19"/>
        </w:rPr>
        <w:t xml:space="preserve">Übertragbarkeit: </w:t>
      </w:r>
      <w:r>
        <w:rPr>
          <w:sz w:val="19"/>
        </w:rPr>
        <w:t>Schweden, ambulante/stationäre Struktur vergleichbar mit Deutschland, 17 Jahre Verlauf</w:t>
      </w:r>
    </w:p>
    <w:p>
      <w:r>
        <w:rPr>
          <w:color w:val="5A7D3A"/>
          <w:sz w:val="18"/>
        </w:rPr>
        <w:t>https://pubmed.ncbi.nlm.nih.gov/42894311/</w:t>
      </w:r>
    </w:p>
    <w:p>
      <w:pPr>
        <w:pStyle w:val="Heading2"/>
      </w:pPr>
      <w:r>
        <w:t>CRP-Triglyzerid-Glukose-Index sagt kardio-metabole Mehrfacherkrankung postmenopausaler Frauen voraus</w:t>
      </w:r>
    </w:p>
    <w:p>
      <w:r>
        <w:rPr>
          <w:i/>
          <w:color w:val="666666"/>
          <w:sz w:val="18"/>
        </w:rPr>
        <w:t>Wang L et al.  ·  BMC Cardiovasc Disord  ·  22.07.2026  ·  PMID 42894124</w:t>
      </w:r>
    </w:p>
    <w:p>
      <w:r>
        <w:t>Prospektive nationale chinesische Kohortenstudie an 2.972 postmenopausalen Frauen (≥45 Jahre) ohne baseline-Mehrfacherkrankung (Median-Nachverfolgung 103,5 Monate) zur Assoziation eines kombinierten Entzündungs-Stoffwechsel-Index (CTI) mit neu auftretender kardio-metaboler Mehrfacherkrankung.</w:t>
      </w:r>
    </w:p>
    <w:p>
      <w:r>
        <w:rPr>
          <w:b/>
        </w:rPr>
        <w:t xml:space="preserve">Ergebnis: </w:t>
      </w:r>
      <w:r>
        <w:t>395 Teilnehmer (13,3%) entwickelten neue Mehrfacherkrankung. Jede 1-Punkt-CTI-Erhöhung: Risiko +95% (HR 1,95; 95%-KI 1,66–2,30). Höchstes vs. niedrigstes Quartil: HR 3,91 (95%-KI 2,62–5,82, p-Trend &lt;0,001). CTI-AUC 0,649 überlegen gegenüber TyG (0,616), CRP (0,612) und TG (0,582). Nomogramm (6 LASSO-Variablen) zeigte akzeptable Diskrimination (AUC Training 0,742, Validierung 0,703).</w:t>
      </w:r>
    </w:p>
    <w:p>
      <w:r>
        <w:rPr>
          <w:b/>
          <w:sz w:val="19"/>
        </w:rPr>
        <w:t xml:space="preserve">Übertragbarkeit: </w:t>
      </w:r>
      <w:r>
        <w:rPr>
          <w:sz w:val="19"/>
        </w:rPr>
        <w:t>China, nationales Langzeit-Panel, Entzündungs-Metabolit-Profil für deutsches Präventivscreening adaptierbar</w:t>
      </w:r>
    </w:p>
    <w:p>
      <w:r>
        <w:rPr>
          <w:color w:val="5A7D3A"/>
          <w:sz w:val="18"/>
        </w:rPr>
        <w:t>https://pubmed.ncbi.nlm.nih.gov/42894124/</w:t>
      </w:r>
    </w:p>
    <w:p>
      <w:pPr>
        <w:pStyle w:val="Heading1"/>
      </w:pPr>
      <w:r>
        <w:t>Aufgenommen am 19.10.2026</w:t>
      </w:r>
    </w:p>
    <w:p>
      <w:pPr>
        <w:pStyle w:val="Heading2"/>
      </w:pPr>
      <w:r>
        <w:t>Hämoglobin-Zielbereich 105-125 g/L erhöhte Sterblichkeit bei Hämodialysepatienten nicht</w:t>
      </w:r>
    </w:p>
    <w:p>
      <w:r>
        <w:rPr>
          <w:i/>
          <w:color w:val="666666"/>
          <w:sz w:val="18"/>
        </w:rPr>
        <w:t>Birnie K et al.  ·  Pharmacoepidemiol Drug Saf  ·  Nov. 2026  ·  PMID 42893801</w:t>
      </w:r>
    </w:p>
    <w:p>
      <w:r>
        <w:t>Elektronische Patientendaten aus 10 englischen Nierenzentren (2004-2016) verglichen mittels Target-Trial-Emulation verschiedene Hämoglobin-Zielwerte unter standardisierter Darbepoetindosierung.</w:t>
      </w:r>
    </w:p>
    <w:p>
      <w:r>
        <w:rPr>
          <w:b/>
        </w:rPr>
        <w:t xml:space="preserve">Ergebnis: </w:t>
      </w:r>
      <w:r>
        <w:t>Bei 8.628 Patienten (Medianalter 66 Jahre) zeigten sich für 105-125 g/L vs. 95-115 g/L Hazard Ratio 0,92 (95% KI 0,75-1,12), für &gt;125 g/L vs. 95-115 g/L HR 1,20 (95% KI 0,94-1,54). Ein moderat erhöhtes Ziel war nicht mit erhöhter Mortalität assoziiert, während Werte über 125 g/L das Mortalitätsrisiko möglicherweise steigern.</w:t>
      </w:r>
    </w:p>
    <w:p>
      <w:r>
        <w:rPr>
          <w:b/>
          <w:sz w:val="19"/>
        </w:rPr>
        <w:t xml:space="preserve">Übertragbarkeit: </w:t>
      </w:r>
      <w:r>
        <w:rPr>
          <w:sz w:val="19"/>
        </w:rPr>
        <w:t>UK-Nierenzentren mit vollständiger elektronischer Dokumentation, übertragbar auf Deutschland.</w:t>
      </w:r>
    </w:p>
    <w:p>
      <w:r>
        <w:rPr>
          <w:color w:val="5A7D3A"/>
          <w:sz w:val="18"/>
        </w:rPr>
        <w:t>https://pubmed.ncbi.nlm.nih.gov/42893801/</w:t>
      </w:r>
    </w:p>
    <w:p>
      <w:pPr>
        <w:pStyle w:val="Heading2"/>
      </w:pPr>
      <w:r>
        <w:t>COPD-Last in Asien stieg 2009-2023 um 41 Prozent trotz sinkender altersstandardisierter Raten</w:t>
      </w:r>
    </w:p>
    <w:p>
      <w:r>
        <w:rPr>
          <w:i/>
          <w:color w:val="666666"/>
          <w:sz w:val="18"/>
        </w:rPr>
        <w:t>Luo Q et al.  ·  Int J Chron Obstruct Pulmon Dis  ·  13.10.2026  ·  PMID 42893247</w:t>
      </w:r>
    </w:p>
    <w:p>
      <w:r>
        <w:t>Global Burden of Disease 2023 Analyse für 48 asiatische Länder (2009-2023) quantifizierte Inzidenz, Prävalenz, Todesfälle und DALYs mit Fokus auf demografische Treiber und Ungleichheit nach Sozio-demografischem Index.</w:t>
      </w:r>
    </w:p>
    <w:p>
      <w:r>
        <w:rPr>
          <w:b/>
        </w:rPr>
        <w:t xml:space="preserve">Ergebnis: </w:t>
      </w:r>
      <w:r>
        <w:t>Inzidenzfälle stiegen von 7,74 auf 10,75 Millionen (+38,9%), Prävalenz von 91,88 auf 129,76 Millionen (+41,2%), Todesfälle von 2,11 auf 2,63 Millionen (+24,8%). Altersstandardisierte Raten sanken jedoch in 34-43 der 48 Standorte. Von 522.061 zusätzlichen Todesfällen waren 345.084 auf Bevölkerungswachstum und 933.776 auf Alterung zurückzuführen. Sozioökonomische Konzentration der Todesfalllasten verschärfte sich (SII -69,90 auf -87,22).</w:t>
      </w:r>
    </w:p>
    <w:p>
      <w:r>
        <w:rPr>
          <w:b/>
          <w:sz w:val="19"/>
        </w:rPr>
        <w:t xml:space="preserve">Übertragbarkeit: </w:t>
      </w:r>
      <w:r>
        <w:rPr>
          <w:sz w:val="19"/>
        </w:rPr>
        <w:t>Asien, zeigt versorgungspolitischen Handlungsbedarf durch demografische Lasten unabhängig von Epidemiologie-Verbesserungen.</w:t>
      </w:r>
    </w:p>
    <w:p>
      <w:r>
        <w:rPr>
          <w:color w:val="5A7D3A"/>
          <w:sz w:val="18"/>
        </w:rPr>
        <w:t>https://pubmed.ncbi.nlm.nih.gov/42893247/</w:t>
      </w:r>
    </w:p>
    <w:p>
      <w:pPr>
        <w:pStyle w:val="Heading2"/>
      </w:pPr>
      <w:r>
        <w:t>Niedriges gewichtsadjustiertes Muskelvolumen fördert COPD-Exazerbationen bei niedrigem BMI</w:t>
      </w:r>
    </w:p>
    <w:p>
      <w:r>
        <w:rPr>
          <w:i/>
          <w:color w:val="666666"/>
          <w:sz w:val="18"/>
        </w:rPr>
        <w:t>Zhang Y et al.  ·  Int J Chron Obstruct Pulmon Dis  ·  13.10.2026  ·  PMID 42893075</w:t>
      </w:r>
    </w:p>
    <w:p>
      <w:r>
        <w:t>Querschnittstudie mit 419 COPD-Patienten untersuchte Assoziation zwischen Körperzusammensetzung (traditionell versus gewichtsadjustiert) und häufigen Exazerbationen (≥2 moderat oder ≥1 schwer im Vorjahr).</w:t>
      </w:r>
    </w:p>
    <w:p>
      <w:r>
        <w:rPr>
          <w:b/>
        </w:rPr>
        <w:t xml:space="preserve">Ergebnis: </w:t>
      </w:r>
      <w:r>
        <w:t>Niedriges ASM/BMI war mit häufigen Exazerbationen assoziiert (bereinigtes OR 1,74; 95% KI 1,07-2,87), besonders stark bei BMI &lt;24 kg/m² (aOR 5,66; 95% KI 2,22-17,66). Traditionelle Höhenindizes zeigten keine signifikante Assoziation (aOR 1,52; 95% KI 0,96-2,41).</w:t>
      </w:r>
    </w:p>
    <w:p>
      <w:r>
        <w:rPr>
          <w:b/>
          <w:sz w:val="19"/>
        </w:rPr>
        <w:t xml:space="preserve">Übertragbarkeit: </w:t>
      </w:r>
      <w:r>
        <w:rPr>
          <w:sz w:val="19"/>
        </w:rPr>
        <w:t>China, relevant für Versorgungspraxis: Muskelabbau als therapeutischer Angriffspunkt.</w:t>
      </w:r>
    </w:p>
    <w:p>
      <w:r>
        <w:rPr>
          <w:color w:val="5A7D3A"/>
          <w:sz w:val="18"/>
        </w:rPr>
        <w:t>https://pubmed.ncbi.nlm.nih.gov/42893075/</w:t>
      </w:r>
    </w:p>
    <w:p>
      <w:pPr>
        <w:pStyle w:val="Heading2"/>
      </w:pPr>
      <w:r>
        <w:t>Sehbehinderung reduziert Medikamentenadhärenz bei älteren Chronikern um bis zu 85 Prozent</w:t>
      </w:r>
    </w:p>
    <w:p>
      <w:r>
        <w:rPr>
          <w:i/>
          <w:color w:val="666666"/>
          <w:sz w:val="18"/>
        </w:rPr>
        <w:t>Shen Q et al.  ·  Med Sci Monit  ·  18.10.2026  ·  PMID 42892708</w:t>
      </w:r>
    </w:p>
    <w:p>
      <w:r>
        <w:t>Querschnittsstudie mit 100 Patienten &gt;60 Jahren an geriatrischer Klinik untersuchte Assoziation zwischen Grad der Sehbehinderung und Medikamentenadhärenz bei chronischen Erkrankungen mittels MMAS-8 Skala.</w:t>
      </w:r>
    </w:p>
    <w:p>
      <w:r>
        <w:rPr>
          <w:b/>
        </w:rPr>
        <w:t xml:space="preserve">Ergebnis: </w:t>
      </w:r>
      <w:r>
        <w:t>MMAS-8 Scores sanken von 7,32 (Normalsicht) auf 4,29 bei schwerer Sehbehinderung. Niedrige Adhärenz stieg von 3,7% (normal) auf 45,0% (mild), 71,4% (moderat) und 88,9% (schwer). Bereinigte Odds Ratios: milde Behinderung OR 3,45 (95% KI 1,18-10,13), moderate OR 8,72 (95% KI 2,94-25,83), schwere OR 16,45 (95% KI 4,21-64,23) versus Normalsicht.</w:t>
      </w:r>
    </w:p>
    <w:p>
      <w:r>
        <w:rPr>
          <w:b/>
          <w:sz w:val="19"/>
        </w:rPr>
        <w:t xml:space="preserve">Übertragbarkeit: </w:t>
      </w:r>
      <w:r>
        <w:rPr>
          <w:sz w:val="19"/>
        </w:rPr>
        <w:t>China, patientenschutzrelevant: Sehbehinderung als unerkanntes Adhärenzrisiko in der Praxis.</w:t>
      </w:r>
    </w:p>
    <w:p>
      <w:r>
        <w:rPr>
          <w:color w:val="5A7D3A"/>
          <w:sz w:val="18"/>
        </w:rPr>
        <w:t>https://pubmed.ncbi.nlm.nih.gov/42892708/</w:t>
      </w:r>
    </w:p>
    <w:p>
      <w:pPr>
        <w:pStyle w:val="Heading2"/>
      </w:pPr>
      <w:r>
        <w:t>CFTR-I556V-Variant erhöht COPD-Risiko um 96 Prozent nach Adjustierung</w:t>
      </w:r>
    </w:p>
    <w:p>
      <w:r>
        <w:rPr>
          <w:i/>
          <w:color w:val="666666"/>
          <w:sz w:val="18"/>
        </w:rPr>
        <w:t>Xu H et al.  ·  Int J Chron Obstruct Pulmon Dis  ·  11.10.2026  ·  PMID 42889849</w:t>
      </w:r>
    </w:p>
    <w:p>
      <w:r>
        <w:t>Klinische und experimentelle Studie mit 208 COPD-Patienten und 100 Kontrollen identifizierte CFTR-Genvarianten und untersuchte Auswirkungen der I556V-Variante auf ROS und Mitochondrienfunktion sowie Lungenparameter nach Zigarettenrauch in transgenen Mäusen.</w:t>
      </w:r>
    </w:p>
    <w:p>
      <w:r>
        <w:rPr>
          <w:b/>
        </w:rPr>
        <w:t xml:space="preserve">Ergebnis: </w:t>
      </w:r>
      <w:r>
        <w:t>I556V-Variante zeigte signifikante COPD-Assoziation (P=0,045), mit 2,12-fach erhöhtem Risiko (OR 2,12; 95% KI 1,16-3,86), nach Adjustierung für Alter, Geschlecht und Rauchen OR 1,96 (95% KI 1,01-3,81, +96%). In Mäusen führte I556V zu 23,03% erhöhter Atemwegswanddicke und 48,40% erhöhter Kollagenablagerung nach CS-Exposition mit exazerbierter Inflammation.</w:t>
      </w:r>
    </w:p>
    <w:p>
      <w:r>
        <w:rPr>
          <w:b/>
          <w:sz w:val="19"/>
        </w:rPr>
        <w:t xml:space="preserve">Übertragbarkeit: </w:t>
      </w:r>
      <w:r>
        <w:rPr>
          <w:sz w:val="19"/>
        </w:rPr>
        <w:t>China, Grundlage für genetische Stratifizierung und präventive Interventionen in Hochrisikopopulationen.</w:t>
      </w:r>
    </w:p>
    <w:p>
      <w:r>
        <w:rPr>
          <w:color w:val="5A7D3A"/>
          <w:sz w:val="18"/>
        </w:rPr>
        <w:t>https://pubmed.ncbi.nlm.nih.gov/42889849/</w:t>
      </w:r>
    </w:p>
    <w:p>
      <w:pPr>
        <w:pStyle w:val="Heading2"/>
      </w:pPr>
      <w:r>
        <w:t>Nilotinib senkt neurodegenerative Erkrankungen bei CML-Patienten um 63 Prozent</w:t>
      </w:r>
    </w:p>
    <w:p>
      <w:r>
        <w:rPr>
          <w:i/>
          <w:color w:val="666666"/>
          <w:sz w:val="18"/>
        </w:rPr>
        <w:t>Wittström F et al.  ·  Alzheimers Dement  ·  Okt. 2026  ·  PMID 42860391</w:t>
      </w:r>
    </w:p>
    <w:p>
      <w:r>
        <w:t>Schwedische populationsbasierte Kohortenstudie (2005-2024) verglich Inzidenz neurodegenerativer Erkrankungen bei 1.322 CML-Patienten unter verschiedenen Tyrosinkinasehemmern versus gematcht gesunde Vergleicher.</w:t>
      </w:r>
    </w:p>
    <w:p>
      <w:r>
        <w:rPr>
          <w:b/>
        </w:rPr>
        <w:t xml:space="preserve">Ergebnis: </w:t>
      </w:r>
      <w:r>
        <w:t>Bei 1.188 Imatinib-Nutzern (41 neurodegenerative Events) HR 0,98 (95% KI 0,71-1,36), bei 541 Dasatinib-Nutzern (15 Events) HR 1,18 (95% KI 0,68-2,03), bei 390 Nilotinib-Nutzern (5 Events) HR 0,37 (95% KI 0,15-0,90). Nur Nilotinib zeigte statistisch signifikante Assoziation mit reduzierter neurodegenerativer Erkrankung.</w:t>
      </w:r>
    </w:p>
    <w:p>
      <w:r>
        <w:rPr>
          <w:b/>
          <w:sz w:val="19"/>
        </w:rPr>
        <w:t xml:space="preserve">Übertragbarkeit: </w:t>
      </w:r>
      <w:r>
        <w:rPr>
          <w:sz w:val="19"/>
        </w:rPr>
        <w:t>Skandinavische Kohortendaten mit Universalversicherung, begrenzte Übertragbarkeit wegen Selektionseffekte bei Wirkstoffwahl.</w:t>
      </w:r>
    </w:p>
    <w:p>
      <w:r>
        <w:rPr>
          <w:color w:val="5A7D3A"/>
          <w:sz w:val="18"/>
        </w:rPr>
        <w:t>https://pubmed.ncbi.nlm.nih.gov/42860391/</w:t>
      </w:r>
    </w:p>
    <w:p>
      <w:pPr>
        <w:pStyle w:val="Heading1"/>
      </w:pPr>
      <w:r>
        <w:t>Aufgenommen am 18.10.2026</w:t>
      </w:r>
    </w:p>
    <w:p>
      <w:pPr>
        <w:pStyle w:val="Heading2"/>
      </w:pPr>
      <w:r>
        <w:t>COPD mit erhöhtem Pulsdruck verdoppelt Herzinfarktrisiko in Alter</w:t>
      </w:r>
    </w:p>
    <w:p>
      <w:r>
        <w:rPr>
          <w:i/>
          <w:color w:val="666666"/>
          <w:sz w:val="18"/>
        </w:rPr>
        <w:t>Liu G et al.  ·  Int J Chron Obstruct Pulmon Dis  ·  12.10.2026  ·  PMID 42891288</w:t>
      </w:r>
    </w:p>
    <w:p>
      <w:r>
        <w:t>Prospektive Kohortenstudie an 4183 älteren Chinesen (≥60 Jahre) mit 7-Jahres-Nachverfolgung zum Risiko kardiovaskulärer Ereignisse bei Mehrfacherkrankung (COPD und vaskuläres Altern).</w:t>
      </w:r>
    </w:p>
    <w:p>
      <w:r>
        <w:rPr>
          <w:b/>
        </w:rPr>
        <w:t xml:space="preserve">Ergebnis: </w:t>
      </w:r>
      <w:r>
        <w:t>COPD allein (HR 1,15, 95%-KI 0,84–1,57) und erhöhter Pulsdruck allein (HR 0,93, 95%-KI 0,70–1,25) waren nicht mit kardiovaskulären Ereignissen assoziiert. Beide zusammen zeigten HR 1,86 (95%-KI 1,26–2,76), primär getrieben durch Herzerkrankungen (HR 2,80, 95%-KI 1,94–4,05), nicht Schlaganfälle (HR 0,84, 95%-KI 0,43–1,65). Für Mortalität: HR 2,05 (95%-KI 1,54–2,73) bei beiden Expositionen vs. weder Exposition.</w:t>
      </w:r>
    </w:p>
    <w:p>
      <w:r>
        <w:rPr>
          <w:b/>
          <w:sz w:val="19"/>
        </w:rPr>
        <w:t xml:space="preserve">Übertragbarkeit: </w:t>
      </w:r>
      <w:r>
        <w:rPr>
          <w:sz w:val="19"/>
        </w:rPr>
        <w:t>China, Bevölkerungsstichprobe; Mehrfacherkrankung zentral, strukturelle Vergleichbarkeit begrenzt</w:t>
      </w:r>
    </w:p>
    <w:p>
      <w:r>
        <w:rPr>
          <w:color w:val="5A7D3A"/>
          <w:sz w:val="18"/>
        </w:rPr>
        <w:t>https://pubmed.ncbi.nlm.nih.gov/42891288/</w:t>
      </w:r>
    </w:p>
    <w:p>
      <w:pPr>
        <w:pStyle w:val="Heading2"/>
      </w:pPr>
      <w:r>
        <w:t>COPD-assoziierte Herzinsuffizienz stieg weltweit um 40%, Projektion bis 2050 weiter aufwärts</w:t>
      </w:r>
    </w:p>
    <w:p>
      <w:r>
        <w:rPr>
          <w:i/>
          <w:color w:val="666666"/>
          <w:sz w:val="18"/>
        </w:rPr>
        <w:t>Liu C et al.  ·  Int J Chron Obstruct Pulmon Dis  ·  12.10.2026  ·  PMID 42891260</w:t>
      </w:r>
    </w:p>
    <w:p>
      <w:r>
        <w:t>Systematische Analyse der Global Burden of Disease Study 2021 zu Prävalenz und Krankheitslast von COPD-assoziierter Herzinsuffizienz 1990–2021 mit Bayes'scher Projektion bis 2050 nach Geschlecht, Alter, Region und SDI-Kategorie.</w:t>
      </w:r>
    </w:p>
    <w:p>
      <w:r>
        <w:rPr>
          <w:b/>
        </w:rPr>
        <w:t xml:space="preserve">Ergebnis: </w:t>
      </w:r>
      <w:r>
        <w:t>2021: 3,61 Mio. Fälle COPD-assoziierte Herzinsuffizienz (1,4-facher Anstieg seit 1990). Altersstandarisierte Prävalenzrate und Years Lived with Disability stiegen insgesamt. Absolute Fälle stiegen in beiden Geschlechtern; altersstandarisierte Raten fielen bei Männern, stiegen bei Frauen. Lastspitze Alter 70–74 Jahre. Nur High-SDI-Regionen zeigten steigende altersstandarisierte Raten; Osteuropa fiel deutlich. Projektion 2022–2050: Anhaltender Anstieg altersstandarisierter Prävalenz und Krankheitslast, leicht höher bei Frauen.</w:t>
      </w:r>
    </w:p>
    <w:p>
      <w:r>
        <w:rPr>
          <w:b/>
          <w:sz w:val="19"/>
        </w:rPr>
        <w:t xml:space="preserve">Übertragbarkeit: </w:t>
      </w:r>
      <w:r>
        <w:rPr>
          <w:sz w:val="19"/>
        </w:rPr>
        <w:t>Globale GBD-Daten, Mehrfacherkrankung zentral, strukturelle Übertragbarkeit begrenzt</w:t>
      </w:r>
    </w:p>
    <w:p>
      <w:r>
        <w:rPr>
          <w:color w:val="5A7D3A"/>
          <w:sz w:val="18"/>
        </w:rPr>
        <w:t>https://pubmed.ncbi.nlm.nih.gov/42891260/</w:t>
      </w:r>
    </w:p>
    <w:p>
      <w:pPr>
        <w:pStyle w:val="Heading2"/>
      </w:pPr>
      <w:r>
        <w:t>CIDP in Saudi-Arabien: 89% erreichten klinische Besserung, 42% Relapse nach 11 Monaten</w:t>
      </w:r>
    </w:p>
    <w:p>
      <w:r>
        <w:rPr>
          <w:i/>
          <w:color w:val="666666"/>
          <w:sz w:val="18"/>
        </w:rPr>
        <w:t>Alhammad RM et al.  ·  Front Neurol  ·  01.10.2026  ·  PMID 42890075</w:t>
      </w:r>
    </w:p>
    <w:p>
      <w:r>
        <w:t>Multizentrische retrospektive Kohorte von 36 Patienten (18 m, 18 w) mit CIDP aus 5 Krankenhäusern in Saudi-Arabien (2014–2025) zur Charakterisierung Demografie, Klinik, Elektrophysiologie und Therapieergebnisse.</w:t>
      </w:r>
    </w:p>
    <w:p>
      <w:r>
        <w:rPr>
          <w:b/>
        </w:rPr>
        <w:t xml:space="preserve">Ergebnis: </w:t>
      </w:r>
      <w:r>
        <w:t>33 CIDP, 3 mögliche CIDP, Onset-Alter Durchschnitt 33 Jahre (Erwachsene: 40 Jahre). Typisch CIDP 72%, distal 8%, motorisch-dominiert 8%, multifokal 8%. Primär IVIG (42%) oder orale Steroide (33%) zur Erhaltung. Über 55 Monate: 89% erreichten mittlere Besserung im INCAT-Score (3,7-Punkte-Änderung) und 83% im MRCSS (11,9-Punkte-Änderung, p&lt;0,001). Relapse bei 42% nach mittleren 11 Monaten, meist durch suboptimale Therapie oder Nichtkompliance.</w:t>
      </w:r>
    </w:p>
    <w:p>
      <w:r>
        <w:rPr>
          <w:b/>
          <w:sz w:val="19"/>
        </w:rPr>
        <w:t xml:space="preserve">Übertragbarkeit: </w:t>
      </w:r>
      <w:r>
        <w:rPr>
          <w:sz w:val="19"/>
        </w:rPr>
        <w:t>Saudi-Arabien, multizentrische klinische Kohortendaten; regionales Benchmark für künftige Studien</w:t>
      </w:r>
    </w:p>
    <w:p>
      <w:r>
        <w:rPr>
          <w:color w:val="5A7D3A"/>
          <w:sz w:val="18"/>
        </w:rPr>
        <w:t>https://pubmed.ncbi.nlm.nih.gov/42890075/</w:t>
      </w:r>
    </w:p>
    <w:p>
      <w:pPr>
        <w:pStyle w:val="Heading2"/>
      </w:pPr>
      <w:r>
        <w:t>Hohes Parathormon vor Transplantation sagte persistierende Hyperparathyreose voraus</w:t>
      </w:r>
    </w:p>
    <w:p>
      <w:r>
        <w:rPr>
          <w:i/>
          <w:color w:val="666666"/>
          <w:sz w:val="18"/>
        </w:rPr>
        <w:t>Lam KH et al.  ·  Medicine (Baltimore)  ·  16.10.2026  ·  PMID 42888627</w:t>
      </w:r>
    </w:p>
    <w:p>
      <w:r>
        <w:t>Prospektive Kohorte von 104 Patienten mit Nierenterminalstadium nach Nierentransplantation zur Identifikation von Risikofaktoren für persistierende Hyperparathyreose (PTH ≥150 pg/mL) 6 Monate nach Transplantation.</w:t>
      </w:r>
    </w:p>
    <w:p>
      <w:r>
        <w:rPr>
          <w:b/>
        </w:rPr>
        <w:t xml:space="preserve">Ergebnis: </w:t>
      </w:r>
      <w:r>
        <w:t>Prävalenz persistierende Hyperparathyreose: 58,65%. Patienten mit persistierender Hyperparathyreose hatten signifikant höhere Baseline-PTH (Median 489 vs. 273 pg/mL, p&lt;0,001) und alkalische Phosphatase (Median 102,0 vs. 89,5 U/L, p=0,025). Längere Dialysedauer war assoziiert (Median 2,0 vs. 1,0 Jahre, p&lt;0,001). Höheres Baseline-PTH war unabhängig assoziiert mit persistierender Hyperparathyreose; Dialysedauer nur signifikant ≥1 Jahr.</w:t>
      </w:r>
    </w:p>
    <w:p>
      <w:r>
        <w:rPr>
          <w:b/>
          <w:sz w:val="19"/>
        </w:rPr>
        <w:t xml:space="preserve">Übertragbarkeit: </w:t>
      </w:r>
      <w:r>
        <w:rPr>
          <w:sz w:val="19"/>
        </w:rPr>
        <w:t>Vietnam, prospektive Klinikdaten; strukturelle Vergleichbarkeit eingeschränkt</w:t>
      </w:r>
    </w:p>
    <w:p>
      <w:r>
        <w:rPr>
          <w:color w:val="5A7D3A"/>
          <w:sz w:val="18"/>
        </w:rPr>
        <w:t>https://pubmed.ncbi.nlm.nih.gov/42888627/</w:t>
      </w:r>
    </w:p>
    <w:p>
      <w:pPr>
        <w:pStyle w:val="Heading2"/>
      </w:pPr>
      <w:r>
        <w:t>Medicare Advantage verschärft Zugang zu Nierendialyse und Transplantation</w:t>
      </w:r>
    </w:p>
    <w:p>
      <w:r>
        <w:rPr>
          <w:i/>
          <w:color w:val="666666"/>
          <w:sz w:val="18"/>
        </w:rPr>
        <w:t>Tyler DA et al.  ·  Health Serv Res  ·  Okt. 2026  ·  PMID 42888180</w:t>
      </w:r>
    </w:p>
    <w:p>
      <w:r>
        <w:t>Qualitative Studie mit 48 Interviews (56 Teilnehmende) aus Krankenversicherungsplänen, Dialyseanbieter und Nierenprogrammen in USA zur Versorgungszugang bei Nierenschädigung Terminal (ESRD) unter Medicare Advantage seit 2021.</w:t>
      </w:r>
    </w:p>
    <w:p>
      <w:r>
        <w:rPr>
          <w:b/>
        </w:rPr>
        <w:t xml:space="preserve">Ergebnis: </w:t>
      </w:r>
      <w:r>
        <w:t>Perspektiven divergierten zwischen Organisationen: Große Dialyseanbieter berichteten keine Zugangsbarrieren, kleine Anbieter beschrieben, dass Patienten zu weiter entfernten In-Network-Einrichtungen fahren mussten. Patienten waren sich Netzwerk-Restriktionen nicht bewusst. Versicherer beschrieben Beschränkungen auf «Centers of Excellence» für Transplantation; andere Teilnehmende berichteten, diese Restriktionen behinderten Transplantationszugang. Zusatzleistungen wurden von Führungskräften als wertvoll dargestellt, von Frontpersonal aber als weniger umfassend als angekündigt beschrieben.</w:t>
      </w:r>
    </w:p>
    <w:p>
      <w:r>
        <w:rPr>
          <w:b/>
          <w:sz w:val="19"/>
        </w:rPr>
        <w:t xml:space="preserve">Übertragbarkeit: </w:t>
      </w:r>
      <w:r>
        <w:rPr>
          <w:sz w:val="19"/>
        </w:rPr>
        <w:t>USA, Medicare Advantage; Übertragbarkeit auf deutsche Versichertenversorgung gering</w:t>
      </w:r>
    </w:p>
    <w:p>
      <w:r>
        <w:rPr>
          <w:color w:val="5A7D3A"/>
          <w:sz w:val="18"/>
        </w:rPr>
        <w:t>https://pubmed.ncbi.nlm.nih.gov/42888180/</w:t>
      </w:r>
    </w:p>
    <w:p>
      <w:pPr>
        <w:pStyle w:val="Heading2"/>
      </w:pPr>
      <w:r>
        <w:t>IL-6-Spiegeldynamik, nicht Baseline, zeigte Ansprechen auf B-Zell-Therapie bei MS</w:t>
      </w:r>
    </w:p>
    <w:p>
      <w:r>
        <w:rPr>
          <w:i/>
          <w:color w:val="666666"/>
          <w:sz w:val="18"/>
        </w:rPr>
        <w:t>Kölsche T et al.  ·  BMC Neurol  ·  21.08.2026  ·  PMID 42629559</w:t>
      </w:r>
    </w:p>
    <w:p>
      <w:r>
        <w:t>Retrospektive Kohortenstudie an 73 MS-Patienten (30 schubförmig-remittierend, 43 primär progredient) unter Ocrelizumab zur Validierung von Baseline-IL-6 und longitudinalen IL-6-Spiegeln als Biomarker für Therapieerfolg über 24 Monate.</w:t>
      </w:r>
    </w:p>
    <w:p>
      <w:r>
        <w:rPr>
          <w:b/>
        </w:rPr>
        <w:t xml:space="preserve">Ergebnis: </w:t>
      </w:r>
      <w:r>
        <w:t>Baseline-IL-6 unterschied sich nicht zwischen MS-Patienten und gesunden Kontrollen (p=0,178). Baseline-IL-6 war kein unabhängiger Prädiktor für Krankheitsaktivität (HR 1,83, 95%-KI 0,73–4,61, p=0,989). Longitudinal: Patienten, die NEDA-3 (No Evidence of Disease Activity) erhielten, zeigten 50% IL-6-Reduktion nach 12 Monaten (mittlere Änderung −1,30 pg/mL, p=0,0318); Verlust von NEDA-3 ging mit stabilen IL-6-Werten einher (0,09 pg/mL). Schlussfolgerung: Dynamische IL-6-Spiegel, nicht statische Baseline, reflektieren Therapieantwort besser.</w:t>
      </w:r>
    </w:p>
    <w:p>
      <w:r>
        <w:rPr>
          <w:b/>
          <w:sz w:val="19"/>
        </w:rPr>
        <w:t xml:space="preserve">Übertragbarkeit: </w:t>
      </w:r>
      <w:r>
        <w:rPr>
          <w:sz w:val="19"/>
        </w:rPr>
        <w:t>Deutschland (Düsseldorf), klinische Routinedaten MS-Zentren, vergleichbares System</w:t>
      </w:r>
    </w:p>
    <w:p>
      <w:r>
        <w:rPr>
          <w:color w:val="5A7D3A"/>
          <w:sz w:val="18"/>
        </w:rPr>
        <w:t>https://pubmed.ncbi.nlm.nih.gov/42629559/</w:t>
      </w:r>
    </w:p>
    <w:p>
      <w:pPr>
        <w:pStyle w:val="Heading1"/>
      </w:pPr>
      <w:r>
        <w:t>Aufgenommen am 17.10.2026</w:t>
      </w:r>
    </w:p>
    <w:p>
      <w:pPr>
        <w:pStyle w:val="Heading2"/>
      </w:pPr>
      <w:r>
        <w:t>Nierentransplantation verbessert Lebensqualität deutlich auch in Ländern mit niedrigem Einkommen</w:t>
      </w:r>
    </w:p>
    <w:p>
      <w:r>
        <w:rPr>
          <w:i/>
          <w:color w:val="666666"/>
          <w:sz w:val="18"/>
        </w:rPr>
        <w:t>Jafry NH et al.  ·  Exp Clin Transplant  ·  Sept. 2026  ·  PMID 42885702</w:t>
      </w:r>
    </w:p>
    <w:p>
      <w:r>
        <w:t>Querschnittstudie mit 205 erwachsenen Nierentransplantatempfängern (≥1 Jahr nach Transplantation) in Pakistan zu gesundheitsbezogener Lebensqualität mittels SF-36.</w:t>
      </w:r>
    </w:p>
    <w:p>
      <w:r>
        <w:rPr>
          <w:b/>
        </w:rPr>
        <w:t xml:space="preserve">Ergebnis: </w:t>
      </w:r>
      <w:r>
        <w:t>SF-36-Durchschnittswert 99,5±4,81 (hohe Lebensqualität). Körperfunktion 96,8±8,5 und soziale Funktion 95,5±15,7 besonders hoch; Allgemeingesundheitswahrnehmung niedriger (82,5±22,5). Männliche Patienten hatten bessere körperliche Funktion als weibliche (p=0,031). Strukturierte Transplantprogramme wirksam auch unter Ressourcenmangel; geschlechtsspezifische Nachsorge empfohlen.</w:t>
      </w:r>
    </w:p>
    <w:p>
      <w:r>
        <w:rPr>
          <w:b/>
          <w:sz w:val="19"/>
        </w:rPr>
        <w:t xml:space="preserve">Übertragbarkeit: </w:t>
      </w:r>
      <w:r>
        <w:rPr>
          <w:sz w:val="19"/>
        </w:rPr>
        <w:t>Pakistan; begrenzt auf ähnlich strukturierte Gesundheitssysteme ohne Versicherungsschutz</w:t>
      </w:r>
    </w:p>
    <w:p>
      <w:r>
        <w:rPr>
          <w:color w:val="5A7D3A"/>
          <w:sz w:val="18"/>
        </w:rPr>
        <w:t>https://pubmed.ncbi.nlm.nih.gov/42885702/</w:t>
      </w:r>
    </w:p>
    <w:p>
      <w:pPr>
        <w:pStyle w:val="Heading2"/>
      </w:pPr>
      <w:r>
        <w:t>Polypharmaka-Intensität erhöht Funktionsbehinderung bei Mehrfacherkrankung: 5-Jahres-Longitudinalstudie in China</w:t>
      </w:r>
    </w:p>
    <w:p>
      <w:r>
        <w:rPr>
          <w:i/>
          <w:color w:val="666666"/>
          <w:sz w:val="18"/>
        </w:rPr>
        <w:t>Wang QC et al.  ·  Geriatr Gerontol Int  ·  Okt. 2026  ·  PMID 42885111</w:t>
      </w:r>
    </w:p>
    <w:p>
      <w:r>
        <w:t>Längsschnittstudie mit 7.477 chinesischen Teilnehmern ≥45 Jahren mit ≥2 chronischen Erkrankungen (CHARLS 2015–2020) zum Zusammenhang zwischen multimorbidity-adjusted pharmacotherapy intensity (MA-PI) und funktioneller Behinderung.</w:t>
      </w:r>
    </w:p>
    <w:p>
      <w:r>
        <w:rPr>
          <w:b/>
        </w:rPr>
        <w:t xml:space="preserve">Ergebnis: </w:t>
      </w:r>
      <w:r>
        <w:t>2020: 33,5% mit ADL-Behinderung, 22,8% mit incident ADL-Behinderung, 26,3% mit Hospitalisierung. Höhere MA-PI (Q3 vs. Q1): OR 1,21 (95%-KI 1,01–1,44) für ADL-Behinderung; Q4: OR 1,28 (95%-KI 1,07–1,53). Incident disability ohne Baseline-Behinderung: Q4 OR 1,32 (95%-KI 1,06–1,64). Hospitalisierung Q3/Q4: OR 1,24/1,29. MA-PI kann Überbehandlung und Funktionsverlust in der Population identifizieren.</w:t>
      </w:r>
    </w:p>
    <w:p>
      <w:r>
        <w:rPr>
          <w:b/>
          <w:sz w:val="19"/>
        </w:rPr>
        <w:t xml:space="preserve">Übertragbarkeit: </w:t>
      </w:r>
      <w:r>
        <w:rPr>
          <w:sz w:val="19"/>
        </w:rPr>
        <w:t>China; Mehrfacherkrankung und Polypharmaka-Problematik universal, Übertragung auf deutsche Kohorte sinnvoll</w:t>
      </w:r>
    </w:p>
    <w:p>
      <w:r>
        <w:rPr>
          <w:color w:val="5A7D3A"/>
          <w:sz w:val="18"/>
        </w:rPr>
        <w:t>https://pubmed.ncbi.nlm.nih.gov/42885111/</w:t>
      </w:r>
    </w:p>
    <w:p>
      <w:pPr>
        <w:pStyle w:val="Heading2"/>
      </w:pPr>
      <w:r>
        <w:t>Mehrfacherkrankung im Krankenhaus: Was erschwert Entscheidungen bei komplexen Patienten</w:t>
      </w:r>
    </w:p>
    <w:p>
      <w:r>
        <w:rPr>
          <w:i/>
          <w:color w:val="666666"/>
          <w:sz w:val="18"/>
        </w:rPr>
        <w:t>Pretorius S et al.  ·  BMC Med  ·  16.10.2026  ·  PMID 42881454</w:t>
      </w:r>
    </w:p>
    <w:p>
      <w:r>
        <w:t>Qualitative Studie mit 40 Klinikstaffmitarbeitern in England zu Entscheidungsfindung bei hospitalisierten Patienten mit Mehrfacherkrankung.</w:t>
      </w:r>
    </w:p>
    <w:p>
      <w:r>
        <w:rPr>
          <w:b/>
        </w:rPr>
        <w:t xml:space="preserve">Ergebnis: </w:t>
      </w:r>
      <w:r>
        <w:t>Personalentscheidungen werden durch komplexe Patientenprofile, Systemdruck und inflexible Strukturen behindert. Ärzte nutzen Heuristiken und relationale Strategien zur Risikominderung, berichten aber, dass compensatory work allein unzureichend ist. Systemische Änderungen – bessere Gemeindeversorgung, generalistisches Fachwissen, flexible Versorgungspfade – könnten helfen.</w:t>
      </w:r>
    </w:p>
    <w:p>
      <w:r>
        <w:rPr>
          <w:b/>
          <w:sz w:val="19"/>
        </w:rPr>
        <w:t xml:space="preserve">Übertragbarkeit: </w:t>
      </w:r>
      <w:r>
        <w:rPr>
          <w:sz w:val="19"/>
        </w:rPr>
        <w:t>England, NHS-System; übertragbar auf deutsche Kliniken mit ähnlicher Spezialisierungslogik</w:t>
      </w:r>
    </w:p>
    <w:p>
      <w:r>
        <w:rPr>
          <w:color w:val="5A7D3A"/>
          <w:sz w:val="18"/>
        </w:rPr>
        <w:t>https://pubmed.ncbi.nlm.nih.gov/42881454/</w:t>
      </w:r>
    </w:p>
    <w:p>
      <w:pPr>
        <w:pStyle w:val="Heading2"/>
      </w:pPr>
      <w:r>
        <w:t>Patientenerfahrung mit Mehrfacherkrankung im Krankenhaus: Spezialisierung als Hindernis</w:t>
      </w:r>
    </w:p>
    <w:p>
      <w:r>
        <w:rPr>
          <w:i/>
          <w:color w:val="666666"/>
          <w:sz w:val="18"/>
        </w:rPr>
        <w:t>Bellass S et al.  ·  BMC Med  ·  16.10.2026  ·  PMID 42881406</w:t>
      </w:r>
    </w:p>
    <w:p>
      <w:r>
        <w:t>Qualitative Studie mit 44 hospitalisierten Patienten (44 mit 2–11 Erkrankungen) in England zu deren Versorgungserfahrung.</w:t>
      </w:r>
    </w:p>
    <w:p>
      <w:r>
        <w:rPr>
          <w:b/>
        </w:rPr>
        <w:t xml:space="preserve">Ergebnis: </w:t>
      </w:r>
      <w:r>
        <w:t>Patienten erleben Krankenhaus als Spezialistenumgebung, die auf Einzelerkrankungen ausgerichtet ist. Positive Versorgung hängt von Alignment zwischen Kliniker- und Patientenwissen ab. Organisatorische Barrieren gegen holistische Betreuung wahrgenommen. Empfehlung: Einbezug von Patient-Expertise in Entscheidungsprozesse; flexibles Servicedesign erforderlich.</w:t>
      </w:r>
    </w:p>
    <w:p>
      <w:r>
        <w:rPr>
          <w:b/>
          <w:sz w:val="19"/>
        </w:rPr>
        <w:t xml:space="preserve">Übertragbarkeit: </w:t>
      </w:r>
      <w:r>
        <w:rPr>
          <w:sz w:val="19"/>
        </w:rPr>
        <w:t>England, NHS-Universitätskliniken; Struktur- und Koordinationsprobleme vergleichbar mit deutschen Klinikabläufen</w:t>
      </w:r>
    </w:p>
    <w:p>
      <w:r>
        <w:rPr>
          <w:color w:val="5A7D3A"/>
          <w:sz w:val="18"/>
        </w:rPr>
        <w:t>https://pubmed.ncbi.nlm.nih.gov/42881406/</w:t>
      </w:r>
    </w:p>
    <w:p>
      <w:pPr>
        <w:pStyle w:val="Heading2"/>
      </w:pPr>
      <w:r>
        <w:t>Atemmuskelkraft prognostiziert Symptomverschlechterung bei COPD besser als Standard-Spirometrie</w:t>
      </w:r>
    </w:p>
    <w:p>
      <w:r>
        <w:rPr>
          <w:i/>
          <w:color w:val="666666"/>
          <w:sz w:val="18"/>
        </w:rPr>
        <w:t>Niu M et al.  ·  Clin Respir J  ·  Okt. 2026  ·  PMID 42878658</w:t>
      </w:r>
    </w:p>
    <w:p>
      <w:r>
        <w:t>Retrospektive Kohortenstudie mit 203 stabilen COPD-Patienten zur Vorhersage klinisch signifikanter CAT-Score-Verschlechterung (≥2 Punkte/12 Monate) mittels Atemmuskelkraft.</w:t>
      </w:r>
    </w:p>
    <w:p>
      <w:r>
        <w:rPr>
          <w:b/>
        </w:rPr>
        <w:t xml:space="preserve">Ergebnis: </w:t>
      </w:r>
      <w:r>
        <w:t>62 Patienten (30,5%) erlebten CAT-Verschlechterung. Niedrigere FEV₁%-Vorhersage, maximale inspiratorische Druckfunktion (MIP) und Zwerchfellverdickungsfraktion (DTF) waren protektiv. Modell mit MIP/DTF: AUC 0,873 (95%-KI 0,822–0,924), nach Optimismus-Korrektur 0,859. MIP/DTF erhöhten AUC von 0,801 auf 0,873 (NRI 0,527, IDI 0,058). Externe Validierung erforderlich.</w:t>
      </w:r>
    </w:p>
    <w:p>
      <w:r>
        <w:rPr>
          <w:b/>
          <w:sz w:val="19"/>
        </w:rPr>
        <w:t xml:space="preserve">Übertragbarkeit: </w:t>
      </w:r>
      <w:r>
        <w:rPr>
          <w:sz w:val="19"/>
        </w:rPr>
        <w:t>China; Atemmuskelprüfung in allen Ländern möglich, Übertragbarkeit des Prognose-Modells offen</w:t>
      </w:r>
    </w:p>
    <w:p>
      <w:r>
        <w:rPr>
          <w:color w:val="5A7D3A"/>
          <w:sz w:val="18"/>
        </w:rPr>
        <w:t>https://pubmed.ncbi.nlm.nih.gov/42878658/</w:t>
      </w:r>
    </w:p>
    <w:p>
      <w:pPr>
        <w:pStyle w:val="Heading2"/>
      </w:pPr>
      <w:r>
        <w:t>Akutes Nierenschädigungssyndrom nach akutem Nierenversagen: 45,6% entwickeln Chronizität innerhalb von 90 Tagen</w:t>
      </w:r>
    </w:p>
    <w:p>
      <w:r>
        <w:rPr>
          <w:i/>
          <w:color w:val="666666"/>
          <w:sz w:val="18"/>
        </w:rPr>
        <w:t>Hu S et al.  ·  Ren Fail  ·  15.10.2026  ·  PMID 42876246</w:t>
      </w:r>
    </w:p>
    <w:p>
      <w:r>
        <w:t>Retrospektive Kohortenstudie mit 23.868 erwachsenen Patienten nach mindestens einer AKI-Episode (2015–2024) in China zur Inzidenz und Prognose des Acute Kidney Disease (AKD).</w:t>
      </w:r>
    </w:p>
    <w:p>
      <w:r>
        <w:rPr>
          <w:b/>
        </w:rPr>
        <w:t xml:space="preserve">Ergebnis: </w:t>
      </w:r>
      <w:r>
        <w:t>10.884 von 23.868 Patienten (45,6%) entwickelten AKD. Unabhängige Risikofaktoren: hohes Alter, Hypertonie, Herzinsuffizienz, Zirrhose, Diuretikagebrauch, höheres AKI-Stadium, Dialyse-Bedarf. Unter 6.597 Patienten ohne vorbestehende CKD entwickelten 19,8% de novo CKD (HR 1,92; 95%-KI 1,70–2,17). Frühe Erkennung und Zielinterventionen für Risikopatienten essenziell.</w:t>
      </w:r>
    </w:p>
    <w:p>
      <w:r>
        <w:rPr>
          <w:b/>
          <w:sz w:val="19"/>
        </w:rPr>
        <w:t xml:space="preserve">Übertragbarkeit: </w:t>
      </w:r>
      <w:r>
        <w:rPr>
          <w:sz w:val="19"/>
        </w:rPr>
        <w:t>China; Datengründung und Risikofaktoren auf nicht-europäische Population bezogen</w:t>
      </w:r>
    </w:p>
    <w:p>
      <w:r>
        <w:rPr>
          <w:color w:val="5A7D3A"/>
          <w:sz w:val="18"/>
        </w:rPr>
        <w:t>https://pubmed.ncbi.nlm.nih.gov/42876246/</w:t>
      </w:r>
    </w:p>
    <w:p>
      <w:pPr>
        <w:pStyle w:val="Heading2"/>
      </w:pPr>
      <w:r>
        <w:t>Antivirale Therapie bei HBV-HCC untergenutzt: 3- und 5-Jahres-Überlebensraten um 20% höher mit Behandlung</w:t>
      </w:r>
    </w:p>
    <w:p>
      <w:r>
        <w:rPr>
          <w:i/>
          <w:color w:val="666666"/>
          <w:sz w:val="18"/>
        </w:rPr>
        <w:t>Kudaravalli S et al.  ·  J Viral Hepat  ·  Nov. 2026  ·  PMID 42876044</w:t>
      </w:r>
    </w:p>
    <w:p>
      <w:r>
        <w:t>Systematischer Review und Meta-Analyse von 78 Studien (68.243 Patienten, 2006–2024) zur Nutzung von Nukleosid(t)id-Analoga und Überleben bei HBV-assoziiertem hepatozellulärem Karzinom.</w:t>
      </w:r>
    </w:p>
    <w:p>
      <w:r>
        <w:rPr>
          <w:b/>
        </w:rPr>
        <w:t xml:space="preserve">Ergebnis: </w:t>
      </w:r>
      <w:r>
        <w:t>Gepoolte antivirale Behandlungsrate 53,1% (52 Studien, 41.345 Patienten); nur 17,2% erhielten Therapie vor HCC-Diagnose. Behandelte vs. Unbehandelte: 3-Jahres-OS 80,4% vs. 59,2% (p&lt;0,01), 5-Jahres-OS 72,1% vs. 46,8% (p&lt;0,01). Bei inaktivem HCC 5-Jahres-OS 78,0% vs. 56,4% (p&lt;0,01). Antivirale Therapie bleibt unabhängig mit verbessertem 5-Jahres-Überleben assoziiert.</w:t>
      </w:r>
    </w:p>
    <w:p>
      <w:r>
        <w:rPr>
          <w:b/>
          <w:sz w:val="19"/>
        </w:rPr>
        <w:t xml:space="preserve">Übertragbarkeit: </w:t>
      </w:r>
      <w:r>
        <w:rPr>
          <w:sz w:val="19"/>
        </w:rPr>
        <w:t>Globale Daten; Versorgungslücke universal, Kosteneffektivität muss regional geklärt werden</w:t>
      </w:r>
    </w:p>
    <w:p>
      <w:r>
        <w:rPr>
          <w:color w:val="5A7D3A"/>
          <w:sz w:val="18"/>
        </w:rPr>
        <w:t>https://pubmed.ncbi.nlm.nih.gov/42876044/</w:t>
      </w:r>
    </w:p>
    <w:p>
      <w:pPr>
        <w:pStyle w:val="Heading1"/>
      </w:pPr>
      <w:r>
        <w:t>Aufgenommen am 16.10.2026</w:t>
      </w:r>
    </w:p>
    <w:p>
      <w:pPr>
        <w:pStyle w:val="Heading2"/>
      </w:pPr>
      <w:r>
        <w:t>α1-Antitrypsin-Mangel unterdiagnostiziert: Testung bei nur 5,8 % der COPD-Patienten</w:t>
      </w:r>
    </w:p>
    <w:p>
      <w:r>
        <w:rPr>
          <w:i/>
          <w:color w:val="666666"/>
          <w:sz w:val="18"/>
        </w:rPr>
        <w:t>Baldomero AK et al.  ·  JAMA Netw Open  ·  01.10.2026  ·  PMID 42879152</w:t>
      </w:r>
    </w:p>
    <w:p>
      <w:r>
        <w:t>Retrospektive multizentrische Kohortenstudie mit 2.384.913 Personen mit COPD/Asthma aus US-Veteranensystem 2020–2024 zur Testungsrate und Therapie des α1-Antitrypsin-Mangels und deren Ungleichverteilung.</w:t>
      </w:r>
    </w:p>
    <w:p>
      <w:r>
        <w:rPr>
          <w:b/>
        </w:rPr>
        <w:t xml:space="preserve">Ergebnis: </w:t>
      </w:r>
      <w:r>
        <w:t>Von 2.384.913 Patienten wurden 138.278 (5,8 %) getestet; von 8.564 Diagnosefällen erhielten nur 320 (3,7 %) Augmentationstherapie. Assoziationen: höhere Testung mit Zirrhose (aOR 6,40; 95%-KI: 6,29–6,51) und Bronchiektasen (aOR 3,73; 95%-KI: 3,59–3,87). Niedrigere Testung: höheres Alter, aktiver Tabakkonsum, längere Anfahrtszeiten (&gt;90 vs. ≤30 min: aOR 0,63). Disparitäten nach Ethnizität und sozioökonomischem Status.</w:t>
      </w:r>
    </w:p>
    <w:p>
      <w:r>
        <w:rPr>
          <w:b/>
          <w:sz w:val="19"/>
        </w:rPr>
        <w:t xml:space="preserve">Übertragbarkeit: </w:t>
      </w:r>
      <w:r>
        <w:rPr>
          <w:sz w:val="19"/>
        </w:rPr>
        <w:t>USA – Befund der Unterdiagnose und Ungleichverteilung ist grundsätzlich übertragbar; System unterscheidet sich erheblich.</w:t>
      </w:r>
    </w:p>
    <w:p>
      <w:r>
        <w:rPr>
          <w:color w:val="5A7D3A"/>
          <w:sz w:val="18"/>
        </w:rPr>
        <w:t>https://pubmed.ncbi.nlm.nih.gov/42879152/</w:t>
      </w:r>
    </w:p>
    <w:p>
      <w:pPr>
        <w:pStyle w:val="Heading2"/>
      </w:pPr>
      <w:r>
        <w:t>Glukoseverwertung sagt Mehrfacherkrankung besser voraus als andere Marker</w:t>
      </w:r>
    </w:p>
    <w:p>
      <w:r>
        <w:rPr>
          <w:i/>
          <w:color w:val="666666"/>
          <w:sz w:val="18"/>
        </w:rPr>
        <w:t>Wang Z et al.  ·  Front Endocrinol (Lausanne)  ·  30.09.2026  ·  PMID 42877036</w:t>
      </w:r>
    </w:p>
    <w:p>
      <w:r>
        <w:t>Longitudinale Kohortenstudie mit 6.407 chinesischen Teilnehmern (45–79 Jahre) aus CHARLS 2011–2020 zur Vorhersage von kardiometabolischer Mehrfacherkrankung (mind. 2 von: Diabetes, Herzerkrankung, Schlaganfall) mittels eGDR, TyG und AIP.</w:t>
      </w:r>
    </w:p>
    <w:p>
      <w:r>
        <w:rPr>
          <w:b/>
        </w:rPr>
        <w:t xml:space="preserve">Ergebnis: </w:t>
      </w:r>
      <w:r>
        <w:t>593 Fälle von Mehrfacherkrankung. eGDR: HR 1,92 (95%-KI: 1,77–2,09) pro SD ungünstiger Richtung; TyG: HR 1,69 (95%-KI: 1,57–1,82); AIP: HR 1,51 (95%-KI: 1,39–1,64). eGDR zeigte größten Einzelmarker-Gewinn (ΔC-Index 0,041), TyG komplementär; AIP marginal. Interne Validierung bestätigt.</w:t>
      </w:r>
    </w:p>
    <w:p>
      <w:r>
        <w:rPr>
          <w:b/>
          <w:sz w:val="19"/>
        </w:rPr>
        <w:t xml:space="preserve">Übertragbarkeit: </w:t>
      </w:r>
      <w:r>
        <w:rPr>
          <w:sz w:val="19"/>
        </w:rPr>
        <w:t>China, repräsentative Kohortenstudie; Risikoscores unabhängig vom Gesundheitssystem übertragbar.</w:t>
      </w:r>
    </w:p>
    <w:p>
      <w:r>
        <w:rPr>
          <w:color w:val="5A7D3A"/>
          <w:sz w:val="18"/>
        </w:rPr>
        <w:t>https://pubmed.ncbi.nlm.nih.gov/42877036/</w:t>
      </w:r>
    </w:p>
    <w:p>
      <w:pPr>
        <w:pStyle w:val="Heading2"/>
      </w:pPr>
      <w:r>
        <w:t>PaCO₂-Schwellwert sagt Scheitern der NIV bei COPD-Exazerbation voraus</w:t>
      </w:r>
    </w:p>
    <w:p>
      <w:r>
        <w:rPr>
          <w:i/>
          <w:color w:val="666666"/>
          <w:sz w:val="18"/>
        </w:rPr>
        <w:t>Song F et al.  ·  Int J Chron Obstruct Pulmon Dis  ·  09.10.2026  ·  PMID 42876922</w:t>
      </w:r>
    </w:p>
    <w:p>
      <w:r>
        <w:t>Zweizentrische retrospektive Kohortenstudie mit 676 Patienten mit akuter COPD-Exazerbation und Typ-II-Ateminsuffizienz, behandelt mit nicht-invasiver Beatmung (NIV), zur Vorhersage von NIV-Versagen.</w:t>
      </w:r>
    </w:p>
    <w:p>
      <w:r>
        <w:rPr>
          <w:b/>
        </w:rPr>
        <w:t xml:space="preserve">Ergebnis: </w:t>
      </w:r>
      <w:r>
        <w:t>NIV-Versagen in 10,8 % (73 Patienten). Nach vollständiger Anpassung: jede Steigerung von PaCO₂ um 1 mmHg mit 3 % höherer Versagenswahrscheinlichkeit (OR 1,03; 95%-KI: 1,01–1,06). Schwellwert bei 60,2 mmHg identifiziert Hochrisikopatienten; AUC 0,805 des multivariaten Modells.</w:t>
      </w:r>
    </w:p>
    <w:p>
      <w:r>
        <w:rPr>
          <w:b/>
          <w:sz w:val="19"/>
        </w:rPr>
        <w:t xml:space="preserve">Übertragbarkeit: </w:t>
      </w:r>
      <w:r>
        <w:rPr>
          <w:sz w:val="19"/>
        </w:rPr>
        <w:t>China, klinische Routine; verfügbarer Bedside-Parameter, unabhängig von Gesundheitssystem.</w:t>
      </w:r>
    </w:p>
    <w:p>
      <w:r>
        <w:rPr>
          <w:color w:val="5A7D3A"/>
          <w:sz w:val="18"/>
        </w:rPr>
        <w:t>https://pubmed.ncbi.nlm.nih.gov/42876922/</w:t>
      </w:r>
    </w:p>
    <w:p>
      <w:pPr>
        <w:pStyle w:val="Heading2"/>
      </w:pPr>
      <w:r>
        <w:t>Koordinierte Pflege verbessert Versorgung von älteren Menschen mit Mehrfacherkrankungen</w:t>
      </w:r>
    </w:p>
    <w:p>
      <w:r>
        <w:rPr>
          <w:i/>
          <w:color w:val="666666"/>
          <w:sz w:val="18"/>
        </w:rPr>
        <w:t>Lagerin A et al.  ·  BMC Prim Care  ·  09.10.2026  ·  PMID 42875741</w:t>
      </w:r>
    </w:p>
    <w:p>
      <w:r>
        <w:t>Qualitative Studie mit 15 Bezirkspflegerinnen an fünf schwedischen Hausarztpraxen zur Versorgung älterer Menschen mit komplexer Mehrfacherkrankung und psychischen Problemen.</w:t>
      </w:r>
    </w:p>
    <w:p>
      <w:r>
        <w:rPr>
          <w:b/>
        </w:rPr>
        <w:t xml:space="preserve">Ergebnis: </w:t>
      </w:r>
      <w:r>
        <w:t>Fachkräfte fühlen sich fachlich kompetent und bereit, Verantwortung für Patienten mit Mehrfacherkrankungen zu übernehmen – wenn Zeit, Unterstützung und Struktur vorhanden sind. Zentrale Erkenntnisse: Bedarf nach verbindlich definierten Rollen, Grenzen für Koordinierungsaufgaben und struktureller Entlastung bei Kooperationslücken.</w:t>
      </w:r>
    </w:p>
    <w:p>
      <w:r>
        <w:rPr>
          <w:b/>
          <w:sz w:val="19"/>
        </w:rPr>
        <w:t xml:space="preserve">Übertragbarkeit: </w:t>
      </w:r>
      <w:r>
        <w:rPr>
          <w:sz w:val="19"/>
        </w:rPr>
        <w:t>Schweden, Hausarztpraxen; ähnliche Primärversorgungsstruktur wie Deutschland-Ansätze ohne verbindliche Steuerung.</w:t>
      </w:r>
    </w:p>
    <w:p>
      <w:r>
        <w:rPr>
          <w:color w:val="5A7D3A"/>
          <w:sz w:val="18"/>
        </w:rPr>
        <w:t>https://pubmed.ncbi.nlm.nih.gov/42875741/</w:t>
      </w:r>
    </w:p>
    <w:p>
      <w:pPr>
        <w:pStyle w:val="Heading2"/>
      </w:pPr>
      <w:r>
        <w:t>Post-COVID-Symptome bei Migranten: ethnische Unterschiede in Amsterdam</w:t>
      </w:r>
    </w:p>
    <w:p>
      <w:r>
        <w:rPr>
          <w:i/>
          <w:color w:val="666666"/>
          <w:sz w:val="18"/>
        </w:rPr>
        <w:t>Spronk M et al.  ·  Epidemiol Infect  ·  14.10.2026  ·  PMID 42870569</w:t>
      </w:r>
    </w:p>
    <w:p>
      <w:r>
        <w:t>Retrospektive Kohortenstudie mit 932 COVID-19-Erkrankten in Amsterdam zur Prävalenz von post-COVID-Symptomen (≥3 Monate) stratifiziert nach sechs ethnischen Gruppen.</w:t>
      </w:r>
    </w:p>
    <w:p>
      <w:r>
        <w:rPr>
          <w:b/>
        </w:rPr>
        <w:t xml:space="preserve">Ergebnis: </w:t>
      </w:r>
      <w:r>
        <w:t>31 % (95%-KI: 27–37 %) entwickelten post-COVID-Symptome. Nach 3 Monaten: 17 % bei niederländischer Herkunft vs. 41 % (95%-KI: 34–48 %) bei südostasiatisch-surinamischer Herkunft, beide p &lt; 0,001. Risikofaktoren: südostasiatisch-surinamische, türkische oder marokkanische Herkunft, höheres Alter, weiblich, niedrigere Bildung, Adipositas.</w:t>
      </w:r>
    </w:p>
    <w:p>
      <w:r>
        <w:rPr>
          <w:b/>
          <w:sz w:val="19"/>
        </w:rPr>
        <w:t xml:space="preserve">Übertragbarkeit: </w:t>
      </w:r>
      <w:r>
        <w:rPr>
          <w:sz w:val="19"/>
        </w:rPr>
        <w:t>Niederlande, vergleichbares Sozialsicherungssystem und Versorgungskontext.</w:t>
      </w:r>
    </w:p>
    <w:p>
      <w:r>
        <w:rPr>
          <w:color w:val="5A7D3A"/>
          <w:sz w:val="18"/>
        </w:rPr>
        <w:t>https://pubmed.ncbi.nlm.nih.gov/42870569/</w:t>
      </w:r>
    </w:p>
    <w:p>
      <w:pPr>
        <w:pStyle w:val="Heading2"/>
      </w:pPr>
      <w:r>
        <w:t>AA-Amyloidose bei autoinflammatorischen Erkrankungen: verzögerte Diagnose und hohe Krankheitslast</w:t>
      </w:r>
    </w:p>
    <w:p>
      <w:r>
        <w:rPr>
          <w:i/>
          <w:color w:val="666666"/>
          <w:sz w:val="18"/>
        </w:rPr>
        <w:t>El Moussaoui M et al.  ·  J Intern Med  ·  07.09.2026  ·  PMID 42706496</w:t>
      </w:r>
    </w:p>
    <w:p>
      <w:r>
        <w:t>Retrospektive Studie am französischen Referenzzentrum mit 181 Patienten mit sekundärer AA-Amyloidose; 50 davon (28 %) mit familiärem Mittelmeerfieber, CAPS, MKD oder TRAPS.</w:t>
      </w:r>
    </w:p>
    <w:p>
      <w:r>
        <w:rPr>
          <w:b/>
        </w:rPr>
        <w:t xml:space="preserve">Ergebnis: </w:t>
      </w:r>
      <w:r>
        <w:t>AA-Amyloidose ging der Diagnose der Grunderkrankung in 40 % der Fälle voraus (besonders bei Non-FMF). 46 % benötigten Nierentransplantation, Mortalität 26 % während Nachverfolgung. Erkrankungslast bleibt hoch trotz bekannter Erkrankung – weist auf verzögerte Diagnose hin.</w:t>
      </w:r>
    </w:p>
    <w:p>
      <w:r>
        <w:rPr>
          <w:b/>
          <w:sz w:val="19"/>
        </w:rPr>
        <w:t xml:space="preserve">Übertragbarkeit: </w:t>
      </w:r>
      <w:r>
        <w:rPr>
          <w:sz w:val="19"/>
        </w:rPr>
        <w:t>Frankreich, europäisches Referenzzentrum; übertragbar auf strukturierte Früherkennung in Deutschland.</w:t>
      </w:r>
    </w:p>
    <w:p>
      <w:r>
        <w:rPr>
          <w:color w:val="5A7D3A"/>
          <w:sz w:val="18"/>
        </w:rPr>
        <w:t>https://pubmed.ncbi.nlm.nih.gov/42706496/</w:t>
      </w:r>
    </w:p>
    <w:p>
      <w:pPr>
        <w:pStyle w:val="Heading1"/>
      </w:pPr>
      <w:r>
        <w:t>Aufgenommen am 15.10.2026</w:t>
      </w:r>
    </w:p>
    <w:p>
      <w:pPr>
        <w:pStyle w:val="Heading2"/>
      </w:pPr>
      <w:r>
        <w:t>COPD-Leitlinie: Gestaffelte Therapie senkt Exazerbationen in der Praxis</w:t>
      </w:r>
    </w:p>
    <w:p>
      <w:r>
        <w:rPr>
          <w:i/>
          <w:color w:val="666666"/>
          <w:sz w:val="18"/>
        </w:rPr>
        <w:t>D'Urzo AD et al.  ·  Can Fam Physician  ·  Okt. 2026  ·  PMID 42875068</w:t>
      </w:r>
    </w:p>
    <w:p>
      <w:r>
        <w:t>Umsetzungsleitlinie für Hausärzte zur 2023-Empfehlung der Canadian Thoracic Society beschreibt, wie Bronchodilator-Monotherapie bei leichter, Dualtherapie bei moderater und Tripeltherapie bei schwerer stabiler COPD die Symptome reduziert und Exazerbationen verhindert.</w:t>
      </w:r>
    </w:p>
    <w:p>
      <w:r>
        <w:rPr>
          <w:b/>
        </w:rPr>
        <w:t xml:space="preserve">Ergebnis: </w:t>
      </w:r>
      <w:r>
        <w:t>Stratifizierte Pharmakotherapie nach Symptombelastung und Exazerbationsrisiko: Single long-acting bronchodilator für milde, dual long-acting bronchodilator für moderate und single-inhaler triple therapy für schwere COPD mit hochem Exazerbationsrisiko reduziert Mortalität. Richtlinie betont Therapietreue als Erfolgsfaktor für Überlebensvorteil.</w:t>
      </w:r>
    </w:p>
    <w:p>
      <w:r>
        <w:rPr>
          <w:b/>
          <w:sz w:val="19"/>
        </w:rPr>
        <w:t xml:space="preserve">Übertragbarkeit: </w:t>
      </w:r>
      <w:r>
        <w:rPr>
          <w:sz w:val="19"/>
        </w:rPr>
        <w:t>Kanada, vergleichbare Primärversorgungsstruktur; direkt auf deutsche Disease-Management-Programme übertragbar</w:t>
      </w:r>
    </w:p>
    <w:p>
      <w:r>
        <w:rPr>
          <w:color w:val="5A7D3A"/>
          <w:sz w:val="18"/>
        </w:rPr>
        <w:t>https://pubmed.ncbi.nlm.nih.gov/42875068/</w:t>
      </w:r>
    </w:p>
    <w:p>
      <w:pPr>
        <w:pStyle w:val="Heading2"/>
      </w:pPr>
      <w:r>
        <w:t>Integriertes Care-Modell senkt Notaufnahmen bei High-Risk-COPD um 78 %</w:t>
      </w:r>
    </w:p>
    <w:p>
      <w:r>
        <w:rPr>
          <w:i/>
          <w:color w:val="666666"/>
          <w:sz w:val="18"/>
        </w:rPr>
        <w:t>Organista D et al.  ·  Acta Med Port  ·  01.10.2026  ·  PMID 42874036</w:t>
      </w:r>
    </w:p>
    <w:p>
      <w:r>
        <w:t>Portugiesische Vorher-nachher-Studie an 53 Hochrisiko-COPD-Patienten (LACE-Index &gt;9) evaluierte ein frühes, multidisziplinäres Versorgungsmodell mit ärztlicher, pflegerischer und sozialer Betreuung sowie hybrider Überwachung (vor Ort und remote).</w:t>
      </w:r>
    </w:p>
    <w:p>
      <w:r>
        <w:rPr>
          <w:b/>
        </w:rPr>
        <w:t xml:space="preserve">Ergebnis: </w:t>
      </w:r>
      <w:r>
        <w:t>Nach einem Jahr sanken mittlere Notaufnahmen von 3,09 auf 0,67 Besuche (−78 %, p&lt;0,001) und Hospitalisierungen von 1,39 auf 0,33 (−76 %, p&lt;0,001). Remote-Monitoring ermöglichte frühe klinische Interventionen; nur zwei Patienten mussten bei schwerem respiratorischen Versagen aufgenommen werden. Soziale Intervention half den meisten, häusliche Unterstützung zu halten.</w:t>
      </w:r>
    </w:p>
    <w:p>
      <w:r>
        <w:rPr>
          <w:b/>
          <w:sz w:val="19"/>
        </w:rPr>
        <w:t xml:space="preserve">Übertragbarkeit: </w:t>
      </w:r>
      <w:r>
        <w:rPr>
          <w:sz w:val="19"/>
        </w:rPr>
        <w:t>Portugal, ähnliche Sozialversicherungsstruktur; Koordination und Überwachungsmodelle auf deutsche integrierte Versorgung übertragbar</w:t>
      </w:r>
    </w:p>
    <w:p>
      <w:r>
        <w:rPr>
          <w:color w:val="5A7D3A"/>
          <w:sz w:val="18"/>
        </w:rPr>
        <w:t>https://pubmed.ncbi.nlm.nih.gov/42874036/</w:t>
      </w:r>
    </w:p>
    <w:p>
      <w:pPr>
        <w:pStyle w:val="Heading2"/>
      </w:pPr>
      <w:r>
        <w:t>Schwangerschaftskomplikationen erhöhen Risiko für Herz-Nieren-Erkrankungen</w:t>
      </w:r>
    </w:p>
    <w:p>
      <w:r>
        <w:rPr>
          <w:i/>
          <w:color w:val="666666"/>
          <w:sz w:val="18"/>
        </w:rPr>
        <w:t>Wambua S et al.  ·  BMJ Med  ·  06.10.2026  ·  PMID 42872422</w:t>
      </w:r>
    </w:p>
    <w:p>
      <w:r>
        <w:t>Longitudinale Kohortenstudie an 1,4 Millionen englischen Frauen untersuchte, wie Schwangerschaftskomplikationen das Risiko für kardiovaskuläre Erkrankungen, Typ-2-Diabetes, Hypertonie und chronische Nierenkrankheit in den Jahren nach der Schwangerschaft beeinflussen.</w:t>
      </w:r>
    </w:p>
    <w:p>
      <w:r>
        <w:rPr>
          <w:b/>
        </w:rPr>
        <w:t xml:space="preserve">Ergebnis: </w:t>
      </w:r>
      <w:r>
        <w:t>Gestationsdiabetes erhöhte das Typ-2-Diabetes-Risiko siebenfach (HR 7,0); Präeklampsie verdreifachte das Hypertonierisiko (HR 3,05) und verdoppelte das Nierenkrankheitsrisiko (HR 2,0). Postpartale Depression erhöhte alle vier Endpunkte um 35–56 % (HR 1,35–1,56). Diese Befunde unterstützen präventive Interventionen in der postpartalen Phase bei Frauen mit Schwangerschaftskomplikationen.</w:t>
      </w:r>
    </w:p>
    <w:p>
      <w:r>
        <w:rPr>
          <w:b/>
          <w:sz w:val="19"/>
        </w:rPr>
        <w:t xml:space="preserve">Übertragbarkeit: </w:t>
      </w:r>
      <w:r>
        <w:rPr>
          <w:sz w:val="19"/>
        </w:rPr>
        <w:t>England, vergleichbares Gesundheitssystem; Daten aus Primärversorgungsdatenbank</w:t>
      </w:r>
    </w:p>
    <w:p>
      <w:r>
        <w:rPr>
          <w:color w:val="5A7D3A"/>
          <w:sz w:val="18"/>
        </w:rPr>
        <w:t>https://pubmed.ncbi.nlm.nih.gov/42872422/</w:t>
      </w:r>
    </w:p>
    <w:p>
      <w:pPr>
        <w:pStyle w:val="Heading2"/>
      </w:pPr>
      <w:r>
        <w:t>Chronische Urtikaria erleichtert Früherkennung, aber nicht Kontrolle von Herz-Kreislauf-Erkrankungen</w:t>
      </w:r>
    </w:p>
    <w:p>
      <w:r>
        <w:rPr>
          <w:i/>
          <w:color w:val="666666"/>
          <w:sz w:val="18"/>
        </w:rPr>
        <w:t>Yang ZH et al.  ·  Biomed Environ Sci  ·  20.09.2026  ·  PMID 42870596</w:t>
      </w:r>
    </w:p>
    <w:p>
      <w:r>
        <w:t>Chinesische nationale Querschnittsstudie an 118.036 Erwachsenen mit Herz-Kreislauf-Erkrankungen untersuchte Prävalenz, Risikofaktoren und Auswirkungen chronischer Urtikaria auf Bewusstsein, Behandlung und Kontrolle von Hypertonie, Diabetes und Dyslipidämie.</w:t>
      </w:r>
    </w:p>
    <w:p>
      <w:r>
        <w:rPr>
          <w:b/>
        </w:rPr>
        <w:t xml:space="preserve">Ergebnis: </w:t>
      </w:r>
      <w:r>
        <w:t>Urtikaria-Prävalenz: 2,90 %, höher bei Frauen (3,41 % vs. 2,56 %) und Landbevölkerung. Risikofaktoren: aktuelles Rauchen (OR 1,17), Schlafmangel &lt;5h (OR 1,79) und &gt;10h (OR 1,39). Patienten mit Urtikaria zeigten höhere CMD-Bewusstseinraten (Hypertonie 50,7 % vs. 40,3 %) und Behandlungsquoten (Hypertonie 41,4 % vs. 34,2 %), aber vergleichbare Kontrollraten. Urtikaria wirkt als Marker, verbessert aber nicht die Krankheitskontrolle.</w:t>
      </w:r>
    </w:p>
    <w:p>
      <w:r>
        <w:rPr>
          <w:b/>
          <w:sz w:val="19"/>
        </w:rPr>
        <w:t xml:space="preserve">Übertragbarkeit: </w:t>
      </w:r>
      <w:r>
        <w:rPr>
          <w:sz w:val="19"/>
        </w:rPr>
        <w:t>China; Mehrfacherkrankung-Befunde aber unabhängig von Gesundheitssystem relevant</w:t>
      </w:r>
    </w:p>
    <w:p>
      <w:r>
        <w:rPr>
          <w:color w:val="5A7D3A"/>
          <w:sz w:val="18"/>
        </w:rPr>
        <w:t>https://pubmed.ncbi.nlm.nih.gov/42870596/</w:t>
      </w:r>
    </w:p>
    <w:p>
      <w:pPr>
        <w:pStyle w:val="Heading2"/>
      </w:pPr>
      <w:r>
        <w:t>Maresin-1-Profil markiert pädiatrische Nierenschädigung stadienabhängig</w:t>
      </w:r>
    </w:p>
    <w:p>
      <w:r>
        <w:rPr>
          <w:i/>
          <w:color w:val="666666"/>
          <w:sz w:val="18"/>
        </w:rPr>
        <w:t>Guler MA et al.  ·  BMC Nephrol  ·  28.09.2026  ·  PMID 42870244</w:t>
      </w:r>
    </w:p>
    <w:p>
      <w:r>
        <w:t>Türkische Querschnittsstudie an gesunden Kindern und Patienten mit CKD-Stadien 1–5 gemessen Serum-Maresin-1 (MaR1), ein pro-resolutives Lipidmediator-Biomarker, um dessen Rolle bei entzündlich-degenerativen Nierenprozessen zu charakterisieren.</w:t>
      </w:r>
    </w:p>
    <w:p>
      <w:r>
        <w:rPr>
          <w:b/>
        </w:rPr>
        <w:t xml:space="preserve">Ergebnis: </w:t>
      </w:r>
      <w:r>
        <w:t>Serum-MaR1-Konzentrationen zeigten stadienabhängiges Muster: Kontrollen 110,2 pg/mL, Stadium 1 CKD 20,0 pg/mL (deutlicher Abfall), dann progressive Erhöhung Stadium 2 (39,6), 3 (60,7), 4 (203,9), Stadium 5 (284,6 pg/mL). Markante Suppression in frühem Stadium gefolgt von progressiver Elevation in fortgeschrittenen Stadien deutet auf Biomarker-Potenzial hin, erfordert aber Validierung in Längsschnittstudien.</w:t>
      </w:r>
    </w:p>
    <w:p>
      <w:r>
        <w:rPr>
          <w:b/>
          <w:sz w:val="19"/>
        </w:rPr>
        <w:t xml:space="preserve">Übertragbarkeit: </w:t>
      </w:r>
      <w:r>
        <w:rPr>
          <w:sz w:val="19"/>
        </w:rPr>
        <w:t>Türkei; diagnostischer Biomarker-Ansatz prinzipiell systemunabhängig</w:t>
      </w:r>
    </w:p>
    <w:p>
      <w:r>
        <w:rPr>
          <w:color w:val="5A7D3A"/>
          <w:sz w:val="18"/>
        </w:rPr>
        <w:t>https://pubmed.ncbi.nlm.nih.gov/42870244/</w:t>
      </w:r>
    </w:p>
    <w:p>
      <w:pPr>
        <w:pStyle w:val="Heading2"/>
      </w:pPr>
      <w:r>
        <w:t>Frühe Nierenkoordinator-Überweisung verhindert ungeplante Dialyseeinleitung</w:t>
      </w:r>
    </w:p>
    <w:p>
      <w:r>
        <w:rPr>
          <w:i/>
          <w:color w:val="666666"/>
          <w:sz w:val="18"/>
        </w:rPr>
        <w:t>Tiew HW et al.  ·  BMC Nephrol  ·  05.08.2026  ·  PMID 42870239</w:t>
      </w:r>
    </w:p>
    <w:p>
      <w:r>
        <w:t>Singapurer Kohortenstudie mit 282 Patienten im Stadium 5 CKD untersuchte, wie der Zeitpunkt der Überweisung zu einem Nierenkoordinator (bei verschiedenen eGFR-Schwellwerten) das Risiko für ungeplante Dialyseeinleitung beeinflusst.</w:t>
      </w:r>
    </w:p>
    <w:p>
      <w:r>
        <w:rPr>
          <w:b/>
        </w:rPr>
        <w:t xml:space="preserve">Ergebnis: </w:t>
      </w:r>
      <w:r>
        <w:t>Überweisung bei eGFR 9–14 mL/min/1,73m² war mit 55 % niedrigerem Risiko für ungeplante Dialyseeinleitung assoziiert (HR 0,45, 95%-KI 0,22–0,91) im Vergleich zu späteren Überweisungen. Ungeplante Einleitung war häufiger bei CKD Stage 5 als Stage 4 (78,8 % vs. 62,5 %). Frühzeitige Koordination ermöglichte ausreichend Zeit für Vorbereitung eines permanenten Zugangs.</w:t>
      </w:r>
    </w:p>
    <w:p>
      <w:r>
        <w:rPr>
          <w:b/>
          <w:sz w:val="19"/>
        </w:rPr>
        <w:t xml:space="preserve">Übertragbarkeit: </w:t>
      </w:r>
      <w:r>
        <w:rPr>
          <w:sz w:val="19"/>
        </w:rPr>
        <w:t>Singapur, aber Case-Management-Prinzip auf deutsches Versorgungssystem und Hausarzt-Steuerung übertragbar</w:t>
      </w:r>
    </w:p>
    <w:p>
      <w:r>
        <w:rPr>
          <w:color w:val="5A7D3A"/>
          <w:sz w:val="18"/>
        </w:rPr>
        <w:t>https://pubmed.ncbi.nlm.nih.gov/42870239/</w:t>
      </w:r>
    </w:p>
    <w:p>
      <w:pPr>
        <w:pStyle w:val="Heading1"/>
      </w:pPr>
      <w:r>
        <w:t>Aufgenommen am 14.10.2026</w:t>
      </w:r>
    </w:p>
    <w:p>
      <w:pPr>
        <w:pStyle w:val="Heading2"/>
      </w:pPr>
      <w:r>
        <w:t>Arbeitsinklusion verbessert Therapietreue bei chronischen Erkrankungen</w:t>
      </w:r>
    </w:p>
    <w:p>
      <w:r>
        <w:rPr>
          <w:i/>
          <w:color w:val="666666"/>
          <w:sz w:val="18"/>
        </w:rPr>
        <w:t>Aalbers E et al.  ·  PLoS One  ·  13.10.2026  ·  PMID 42868134</w:t>
      </w:r>
    </w:p>
    <w:p>
      <w:r>
        <w:t>Niederländische Querschnittsstudie mit 309 erwerbstätigen Personen mit chronischen Erkrankungen und Medikamenteneinnahme untersuchte, wie Arbeitsmerkmale die Therapietreue beeinflussen.</w:t>
      </w:r>
    </w:p>
    <w:p>
      <w:r>
        <w:rPr>
          <w:b/>
        </w:rPr>
        <w:t xml:space="preserve">Ergebnis: </w:t>
      </w:r>
      <w:r>
        <w:t>Therapietreue betrug 56%. Arbeitsinklusion war unabhängig mit besserer Adhärenz assoziiert (AOR 1,50; 95%-KI 1,00–2,25; p=0,049). Moderate körperliche Arbeitsbelastung zeigte paradoxe schützende Assoziation (AOR 0,49; 95%-KI 0,26–0,92; p=0,026). Praktische Arbeitsmerkmale wie Stundenanzahl oder Vertragstyp waren nicht signifikant mit Adhärenz assoziiert.</w:t>
      </w:r>
    </w:p>
    <w:p>
      <w:r>
        <w:rPr>
          <w:b/>
          <w:sz w:val="19"/>
        </w:rPr>
        <w:t xml:space="preserve">Übertragbarkeit: </w:t>
      </w:r>
      <w:r>
        <w:rPr>
          <w:sz w:val="19"/>
        </w:rPr>
        <w:t>Niederlande, Versicherungssystem vergleichbar mit Deutschland; Frage der Arbeitsintegration für chronisch Kranke universell relevant.</w:t>
      </w:r>
    </w:p>
    <w:p>
      <w:r>
        <w:rPr>
          <w:color w:val="5A7D3A"/>
          <w:sz w:val="18"/>
        </w:rPr>
        <w:t>https://pubmed.ncbi.nlm.nih.gov/42868134/</w:t>
      </w:r>
    </w:p>
    <w:p>
      <w:pPr>
        <w:pStyle w:val="Heading2"/>
      </w:pPr>
      <w:r>
        <w:t>Kardiovaskuläre Mehrfacherkrankung verschärft Krankenhausergebnisse bei COPD-Exazerbation</w:t>
      </w:r>
    </w:p>
    <w:p>
      <w:r>
        <w:rPr>
          <w:i/>
          <w:color w:val="666666"/>
          <w:sz w:val="18"/>
        </w:rPr>
        <w:t>Fu Y et al.  ·  Int J Chron Obstruct Pulmon Dis  ·  07.10.2026  ·  PMID 42865926</w:t>
      </w:r>
    </w:p>
    <w:p>
      <w:r>
        <w:t>Chinesische Rückwärtskohorte mit 3.684 Aufnahmen von 2.281 COPD-Patienten (2015–2024) untersuchte den Einfluss kardiovaskulärer Komorbiditäten auf Krankenhausverweildauer und Wiederaufnahmen.</w:t>
      </w:r>
    </w:p>
    <w:p>
      <w:r>
        <w:rPr>
          <w:b/>
        </w:rPr>
        <w:t xml:space="preserve">Ergebnis: </w:t>
      </w:r>
      <w:r>
        <w:t>71,7% hatten mindestens eine kardiovaskuläre Erkrankung. Nach vollständiger Adjustierung: 2 kardiovaskuläre Erkrankungen erhöhten verlängerte Verweildauer (≥14 Tage) OR 1,60 (95%-KI 1,18–2,16); ≥3 Erkrankungen OR 1,95 (95%-KI 1,30–2,93; p&lt;0,001 Trend). 1-Jahres-Wiederaufnahmerate stieg mit Komorbidität (HR 1,38 für 1; 1,42 für 2; 1,68 für ≥3 Erkrankungen; p=0,006). HTN+IHD+PAD höchstes Risiko (OR 2,53). Kardiovaskuläre Mehrfacherkrankung ist unabhängiger Risikofaktor für Hospitalisierungsergebnisse bei AECOPD.</w:t>
      </w:r>
    </w:p>
    <w:p>
      <w:r>
        <w:rPr>
          <w:b/>
          <w:sz w:val="19"/>
        </w:rPr>
        <w:t xml:space="preserve">Übertragbarkeit: </w:t>
      </w:r>
      <w:r>
        <w:rPr>
          <w:sz w:val="19"/>
        </w:rPr>
        <w:t>China, aber Mehrfacherkrankung und klinische Ergebnisse in ähnlicher Versorgungsstruktur messbar.</w:t>
      </w:r>
    </w:p>
    <w:p>
      <w:r>
        <w:rPr>
          <w:color w:val="5A7D3A"/>
          <w:sz w:val="18"/>
        </w:rPr>
        <w:t>https://pubmed.ncbi.nlm.nih.gov/42865926/</w:t>
      </w:r>
    </w:p>
    <w:p>
      <w:pPr>
        <w:pStyle w:val="Heading2"/>
      </w:pPr>
      <w:r>
        <w:t>Sozialverschreibung wirkt durch Teilnahme, nicht bloße Überweisung</w:t>
      </w:r>
    </w:p>
    <w:p>
      <w:r>
        <w:rPr>
          <w:i/>
          <w:color w:val="666666"/>
          <w:sz w:val="18"/>
        </w:rPr>
        <w:t>Huang M et al.  ·  Front Public Health  ·  28.09.2026  ·  PMID 42865730</w:t>
      </w:r>
    </w:p>
    <w:p>
      <w:r>
        <w:t>Bayesianische Re-Analyse von 10 randomisierten Studien (4.840 Teilnehmer) zur Sozialverschreibung (Social Prescribing) bei chronischen Erkrankungen untersuchte, ob Empfehlung oder Programmteilnahme den Nutzen erklärt.</w:t>
      </w:r>
    </w:p>
    <w:p>
      <w:r>
        <w:rPr>
          <w:b/>
        </w:rPr>
        <w:t xml:space="preserve">Ergebnis: </w:t>
      </w:r>
      <w:r>
        <w:t>Intention-to-treat-Effekt auf körperliche Aktivität: OR 1,31 (95%-CrI 1,07–1,67; posterior probability 0,991). Kein konsistenter Dosis-Response-Effekt (Slope -1,29; 95%-CrI -6,17 bis 3,48). Hohe Programmteilnahme zeigte zusätzlichen Benefit von 0,26 klinisch bedeutsamen Einheiten (95%-CrI -0,07 bis 0,63; posterior probability 0,940). Positive Effekte über körperliche Aktivität, Körpergewicht, Blutdruck, psychisches Wohlbefinden, Lebensqualität. Erfolgreiche Teilnahme – nicht bloße Überweisung – ist primärer Wirkmechanismus.</w:t>
      </w:r>
    </w:p>
    <w:p>
      <w:r>
        <w:rPr>
          <w:b/>
          <w:sz w:val="19"/>
        </w:rPr>
        <w:t xml:space="preserve">Übertragbarkeit: </w:t>
      </w:r>
      <w:r>
        <w:rPr>
          <w:sz w:val="19"/>
        </w:rPr>
        <w:t>Überwiegend europäische und kanadische Studien; Konzept Social Prescribing mit Partizipation über Systeme hinweg relevant.</w:t>
      </w:r>
    </w:p>
    <w:p>
      <w:r>
        <w:rPr>
          <w:color w:val="5A7D3A"/>
          <w:sz w:val="18"/>
        </w:rPr>
        <w:t>https://pubmed.ncbi.nlm.nih.gov/42865730/</w:t>
      </w:r>
    </w:p>
    <w:p>
      <w:pPr>
        <w:pStyle w:val="Heading2"/>
      </w:pPr>
      <w:r>
        <w:t>Strukturiertes Trainungsprogramm verbessert Lungenfunktion bei COPD</w:t>
      </w:r>
    </w:p>
    <w:p>
      <w:r>
        <w:rPr>
          <w:i/>
          <w:color w:val="666666"/>
          <w:sz w:val="18"/>
        </w:rPr>
        <w:t>Cederberg A et al.  ·  Respir Res  ·  12.10.2026  ·  PMID 42864666</w:t>
      </w:r>
    </w:p>
    <w:p>
      <w:r>
        <w:t>Schwedische prospektive Interventionsstudie mit 62 COPD-Patienten evaluierte 12 Wochen ambulantes Kraft- und Ausdauertraining (3×/Woche) auf Lungenfunktion, Belastbarkeit und Symptombelastung.</w:t>
      </w:r>
    </w:p>
    <w:p>
      <w:r>
        <w:rPr>
          <w:b/>
        </w:rPr>
        <w:t xml:space="preserve">Ergebnis: </w:t>
      </w:r>
      <w:r>
        <w:t>Impulse-Oszillometrie zeigte signifikante Verbesserungen: R5 Δ=-0,75 z-Score (p=0,001), R5-R20 Δ=-0,18 z-Score (p=0,007), Fres Δ=-0,33 Hz (p=0,022), AX Δ=-0,05 kPa·s⁻¹ (p=0,042). 6-Minuten-Gehtest verbesserte sich um 15 m (p=0,002), 1-Minuten-Sit-to-Stand um 3 Wiederholungen (p&lt;0,0001). CAT-Score sank um 1,0 Punkt (p=0,014), CCQ um 0,1 (p=0,011). Spirometrie zeigte nur kleine FVC-Zunahme. Verbesserung der peripheren Atemwegsphysiologie ohne signifikante Spirometrieänderung.</w:t>
      </w:r>
    </w:p>
    <w:p>
      <w:r>
        <w:rPr>
          <w:b/>
          <w:sz w:val="19"/>
        </w:rPr>
        <w:t xml:space="preserve">Übertragbarkeit: </w:t>
      </w:r>
      <w:r>
        <w:rPr>
          <w:sz w:val="19"/>
        </w:rPr>
        <w:t>Schweden, vergleichbare Primärversorgung; strukturiertes Trainingskonzept für Praxen und Reha übertragbar.</w:t>
      </w:r>
    </w:p>
    <w:p>
      <w:r>
        <w:rPr>
          <w:color w:val="5A7D3A"/>
          <w:sz w:val="18"/>
        </w:rPr>
        <w:t>https://pubmed.ncbi.nlm.nih.gov/42864666/</w:t>
      </w:r>
    </w:p>
    <w:p>
      <w:pPr>
        <w:pStyle w:val="Heading2"/>
      </w:pPr>
      <w:r>
        <w:t>ME/CFS bei jungen Menschen: Unmet Needs in Versorgung und Betreuung</w:t>
      </w:r>
    </w:p>
    <w:p>
      <w:r>
        <w:rPr>
          <w:i/>
          <w:color w:val="666666"/>
          <w:sz w:val="18"/>
        </w:rPr>
        <w:t>Kircher A et al.  ·  BMC Public Health  ·  29.09.2026  ·  PMID 42864639</w:t>
      </w:r>
    </w:p>
    <w:p>
      <w:r>
        <w:t>Qualitative deutsche Studie mit 14 Patienten (12–25 Jahre) und 18 Eltern (Fokusgruppen und Tagebuch) identifizierte unerfüllte Versorgungsbedarfe bei ME/CFS.</w:t>
      </w:r>
    </w:p>
    <w:p>
      <w:r>
        <w:rPr>
          <w:b/>
        </w:rPr>
        <w:t xml:space="preserve">Ergebnis: </w:t>
      </w:r>
      <w:r>
        <w:t>Patienten benannten vier zentrale unerfüllte Bedarfe: (1) nicht alleine gelassen werden mit der Krankheit, (2) Flexibilität und Verständnis von Gesundheitsanbietern, (3) weniger Erklärungsdruck gegenüber anderen, (4) Anerkennung des Familieneinsatzes als Lückenbüßer. Eltern identifizierten parallel vier Themen: nicht alleine sein, krankheitsgerechte Versorgung, Wissen und Verständnis für ME/CFS, Handlungskompetenz. Bedarfe von Patienten und Eltern überlappten deutlich und zeigen Bedarf für bedarfsadaptierte Versorgungsstrukturen.</w:t>
      </w:r>
    </w:p>
    <w:p>
      <w:r>
        <w:rPr>
          <w:b/>
          <w:sz w:val="19"/>
        </w:rPr>
        <w:t xml:space="preserve">Übertragbarkeit: </w:t>
      </w:r>
      <w:r>
        <w:rPr>
          <w:sz w:val="19"/>
        </w:rPr>
        <w:t>Deutsche Studie; direkter Versorgungsbezug für Ausgestaltung von ME/CFS-Programmen in Deutschland.</w:t>
      </w:r>
    </w:p>
    <w:p>
      <w:r>
        <w:rPr>
          <w:color w:val="5A7D3A"/>
          <w:sz w:val="18"/>
        </w:rPr>
        <w:t>https://pubmed.ncbi.nlm.nih.gov/42864639/</w:t>
      </w:r>
    </w:p>
    <w:p>
      <w:pPr>
        <w:pStyle w:val="Heading2"/>
      </w:pPr>
      <w:r>
        <w:t>Sequenzielle Tyrosinkinase-Inhibitor-Therapie bei resistenter chronischer myeloischer Leukämie</w:t>
      </w:r>
    </w:p>
    <w:p>
      <w:r>
        <w:rPr>
          <w:i/>
          <w:color w:val="666666"/>
          <w:sz w:val="18"/>
        </w:rPr>
        <w:t>Gugliotta G et al.  ·  Clin Lymphoma Myeloma Leuk  ·  24.07.2026  ·  PMID 42608256</w:t>
      </w:r>
    </w:p>
    <w:p>
      <w:r>
        <w:t>Italienische Real-World-Kohortenstudie mit 69 CML-Patienten in chronischer Phase untersuchte Ergebnisse nach Wechsel auf Zweitlinien-TKI bei Versagen von Nilotinib oder Dasatinib.</w:t>
      </w:r>
    </w:p>
    <w:p>
      <w:r>
        <w:rPr>
          <w:b/>
        </w:rPr>
        <w:t xml:space="preserve">Ergebnis: </w:t>
      </w:r>
      <w:r>
        <w:t>Medianer Zeitpunkt zum Wechsel: 15 Monate. Ponatinib am häufigsten eingesetzt (68%). Als beste Molekülresponse: 78% erreichten BCR::ABL1IS &lt;1%. 3-Jahres-Rate für MR3: 69,4% (95%-KI 53,2–84,2%). 30% benötigten nach median 9 Monaten Drittlinien-Therapie, meist wegen Resistenz (81%); von diesen erreichten 50% BCR::ABL1IS &lt;1%. 9% zur Stammzelltransplantation; 7% Blastentransformation (alle starben). 5-Jahres-progressionsfreies und Gesamtüberleben: 87% (95%-KI 67,1–95,2%) und 83% (95%-KI 61,7–93%).</w:t>
      </w:r>
    </w:p>
    <w:p>
      <w:r>
        <w:rPr>
          <w:b/>
          <w:sz w:val="19"/>
        </w:rPr>
        <w:t xml:space="preserve">Übertragbarkeit: </w:t>
      </w:r>
      <w:r>
        <w:rPr>
          <w:sz w:val="19"/>
        </w:rPr>
        <w:t>Italien, ähnliche Versorgungsstrukturen und Dokumentation wie Deutschland; real-world Wirk­lichkeit von Sequenztherapien.</w:t>
      </w:r>
    </w:p>
    <w:p>
      <w:r>
        <w:rPr>
          <w:color w:val="5A7D3A"/>
          <w:sz w:val="18"/>
        </w:rPr>
        <w:t>https://pubmed.ncbi.nlm.nih.gov/42608256/</w:t>
      </w:r>
    </w:p>
    <w:p>
      <w:pPr>
        <w:pStyle w:val="Heading1"/>
      </w:pPr>
      <w:r>
        <w:t>Aufgenommen am 13.10.2026</w:t>
      </w:r>
    </w:p>
    <w:p>
      <w:pPr>
        <w:pStyle w:val="Heading2"/>
      </w:pPr>
      <w:r>
        <w:t>Selbstvertretung bei Hämodialysepatienten: aktive Partizipation nur bei 15%</w:t>
      </w:r>
    </w:p>
    <w:p>
      <w:r>
        <w:rPr>
          <w:i/>
          <w:color w:val="666666"/>
          <w:sz w:val="18"/>
        </w:rPr>
        <w:t>Xu W et al.  ·  BMC Nephrol  ·  07.08.2026  ·  PMID 42859166</w:t>
      </w:r>
    </w:p>
    <w:p>
      <w:r>
        <w:t>Querschnittsstudie an 429 Hämodialysepatienten zur Identifikation von Profilen der Patientenselbstvertretung und deren Einflussfaktoren.</w:t>
      </w:r>
    </w:p>
    <w:p>
      <w:r>
        <w:rPr>
          <w:b/>
        </w:rPr>
        <w:t xml:space="preserve">Ergebnis: </w:t>
      </w:r>
      <w:r>
        <w:t>Nur 15,0% der Patienten zeigten aktive Selbstvertretung ("Active Striving Type"), 58,5% moderate Partizipation und 26,5% passive Akzeptanz. Wahrgenommene soziale Unterstützung, Selbstmanagementfähigkeit und emotionale Last waren signifikante Einflussfaktoren (p&lt;0,05). Die Netzwerkanalyse identifizierte unterschiedliche zentrale Symptomknoten pro Gruppe.</w:t>
      </w:r>
    </w:p>
    <w:p>
      <w:r>
        <w:rPr>
          <w:b/>
          <w:sz w:val="19"/>
        </w:rPr>
        <w:t xml:space="preserve">Übertragbarkeit: </w:t>
      </w:r>
      <w:r>
        <w:rPr>
          <w:sz w:val="19"/>
        </w:rPr>
        <w:t>China, Versorgungspraxis anwendbar; Selbstvertretung als Versorgungsqualitätsmerkmal</w:t>
      </w:r>
    </w:p>
    <w:p>
      <w:r>
        <w:rPr>
          <w:color w:val="5A7D3A"/>
          <w:sz w:val="18"/>
        </w:rPr>
        <w:t>https://pubmed.ncbi.nlm.nih.gov/42859166/</w:t>
      </w:r>
    </w:p>
    <w:p>
      <w:pPr>
        <w:pStyle w:val="Heading2"/>
      </w:pPr>
      <w:r>
        <w:t>U-förmige Beziehung zwischen Schlaf und Nierenfunktion: CKD-Prävalenz bei Kurz- und Langschläfern erhöht</w:t>
      </w:r>
    </w:p>
    <w:p>
      <w:r>
        <w:rPr>
          <w:i/>
          <w:color w:val="666666"/>
          <w:sz w:val="18"/>
        </w:rPr>
        <w:t>Oh J et al.  ·  Medicine (Baltimore)  ·  09.10.2026  ·  PMID 42854001</w:t>
      </w:r>
    </w:p>
    <w:p>
      <w:r>
        <w:t>Populationsstudie mit 87.246 koreanischen Erwachsenen (≥19 Jahre) zur Assoziation zwischen Schlafmuster und CKD-Prävalenz über 16 Jahre.</w:t>
      </w:r>
    </w:p>
    <w:p>
      <w:r>
        <w:rPr>
          <w:b/>
        </w:rPr>
        <w:t xml:space="preserve">Ergebnis: </w:t>
      </w:r>
      <w:r>
        <w:t>CKD-Prävalenz zeigte U-förmige Assoziation mit Schlafdauer: &lt;6 h täglicher Schlaf (adjustierte OR 2,34, 95%-KI 2,04-2,69), ≥9 h Schlaf (OR 2,07, 95%-KI 1,77-2,41) versus optimale 7-8 h. Die CKD-Gesamtprävalenz sank von 2007-2009 (5,13%) auf 2020-2022 (3,53%). Assoziation blieb nach Adjustment für kardio-metabolische Komorbiditäten stabil.</w:t>
      </w:r>
    </w:p>
    <w:p>
      <w:r>
        <w:rPr>
          <w:b/>
          <w:sz w:val="19"/>
        </w:rPr>
        <w:t xml:space="preserve">Übertragbarkeit: </w:t>
      </w:r>
      <w:r>
        <w:rPr>
          <w:sz w:val="19"/>
        </w:rPr>
        <w:t>Südkorea mit universalversorgtem System; Schlafqualität als modifizierbarer Präventionfaktor</w:t>
      </w:r>
    </w:p>
    <w:p>
      <w:r>
        <w:rPr>
          <w:color w:val="5A7D3A"/>
          <w:sz w:val="18"/>
        </w:rPr>
        <w:t>https://pubmed.ncbi.nlm.nih.gov/42854001/</w:t>
      </w:r>
    </w:p>
    <w:p>
      <w:pPr>
        <w:pStyle w:val="Heading2"/>
      </w:pPr>
      <w:r>
        <w:t>Kamerun: 43% aller Todesfälle durch nicht übertragbare Krankheiten, aber nur 6% der Prävention finanziert</w:t>
      </w:r>
    </w:p>
    <w:p>
      <w:r>
        <w:rPr>
          <w:i/>
          <w:color w:val="666666"/>
          <w:sz w:val="18"/>
        </w:rPr>
        <w:t>Saidu Y et al.  ·  J Glob Health  ·  09.10.2026  ·  PMID 42853019</w:t>
      </w:r>
    </w:p>
    <w:p>
      <w:r>
        <w:t>Priorisierungsstudie auf Basis von Global Burden of Disease 2019 und systematischer Literaturanalyse zur Krankheitslast und Versorgungsinvestitionen für nicht übertragbare Erkrankungen in Kamerun.</w:t>
      </w:r>
    </w:p>
    <w:p>
      <w:r>
        <w:rPr>
          <w:b/>
        </w:rPr>
        <w:t xml:space="preserve">Ergebnis: </w:t>
      </w:r>
      <w:r>
        <w:t>NCD/Verletzungen verursachten 2019 43% aller Todesfälle, 29% davon in der Altersgruppe &lt;40 Jahre. DALYs stiegen seit 1990 kontinuierlich an. 61% der NCDI-DALYs stammen aus Bereichen außerhalb der "Big Four" (Diabetes, Krebs, Atemwegserkrankungen, Kardiovaskulär). Trotz dieser Last wurden 2016-2020 nur 6% der Präventionsmittel für NCD verwendet. 49 Prioritätsbedingungen und 123 Interventionen identifiziert.</w:t>
      </w:r>
    </w:p>
    <w:p>
      <w:r>
        <w:rPr>
          <w:b/>
          <w:sz w:val="19"/>
        </w:rPr>
        <w:t xml:space="preserve">Übertragbarkeit: </w:t>
      </w:r>
      <w:r>
        <w:rPr>
          <w:sz w:val="19"/>
        </w:rPr>
        <w:t>Kamerun/LMIC; zentral für Versorgungsungleichheit und Priorisierung in ressourcenbegrenzten Systemen</w:t>
      </w:r>
    </w:p>
    <w:p>
      <w:r>
        <w:rPr>
          <w:color w:val="5A7D3A"/>
          <w:sz w:val="18"/>
        </w:rPr>
        <w:t>https://pubmed.ncbi.nlm.nih.gov/42853019/</w:t>
      </w:r>
    </w:p>
    <w:p>
      <w:pPr>
        <w:pStyle w:val="Heading2"/>
      </w:pPr>
      <w:r>
        <w:t>Long COVID: Olfaktorische Dysfunktion bei 77% trotz schwacher Selbstwahrnehmung</w:t>
      </w:r>
    </w:p>
    <w:p>
      <w:r>
        <w:rPr>
          <w:i/>
          <w:color w:val="666666"/>
          <w:sz w:val="18"/>
        </w:rPr>
        <w:t>Degen CV et al.  ·  Am J Otolaryngol  ·  25.08.2026  ·  PMID 42679644</w:t>
      </w:r>
    </w:p>
    <w:p>
      <w:r>
        <w:t>Querschnittsstudie mit 154 Teilnehmern (Long COVID n=122, genesen n=9, Kontrollen n=24) zur objektiven und subjektiven Erfassung von Riech- und Geschmacksstörungen.</w:t>
      </w:r>
    </w:p>
    <w:p>
      <w:r>
        <w:rPr>
          <w:b/>
        </w:rPr>
        <w:t xml:space="preserve">Ergebnis: </w:t>
      </w:r>
      <w:r>
        <w:t>Long-COVID-Patienten zeigten signifikant schlechtere Ergebnisse bei objektivem Riech- und Geschmackstest versus Kontrollen. Subjektive Einschätzung korrelierte nur schwach mit objektiven Messwerten (r=-0,525, p&lt;0,001). Zeitspanne seit Infektion korrelierte nicht mit Schweregrad. Olfaktorisches Training als wirksame Behandlung ist verfügbar.</w:t>
      </w:r>
    </w:p>
    <w:p>
      <w:r>
        <w:rPr>
          <w:b/>
          <w:sz w:val="19"/>
        </w:rPr>
        <w:t xml:space="preserve">Übertragbarkeit: </w:t>
      </w:r>
      <w:r>
        <w:rPr>
          <w:sz w:val="19"/>
        </w:rPr>
        <w:t>Deutschland, deutsche Studienzentren; Screening-Empfehlung für Long-COVID-Management</w:t>
      </w:r>
    </w:p>
    <w:p>
      <w:r>
        <w:rPr>
          <w:color w:val="5A7D3A"/>
          <w:sz w:val="18"/>
        </w:rPr>
        <w:t>https://pubmed.ncbi.nlm.nih.gov/42679644/</w:t>
      </w:r>
    </w:p>
    <w:p>
      <w:pPr>
        <w:pStyle w:val="Heading2"/>
      </w:pPr>
      <w:r>
        <w:t>EIT-gestützte Inhalationstechnik verbessert Hyperinflation bei COPD</w:t>
      </w:r>
    </w:p>
    <w:p>
      <w:r>
        <w:rPr>
          <w:i/>
          <w:color w:val="666666"/>
          <w:sz w:val="18"/>
        </w:rPr>
        <w:t>Stolz S et al.  ·  Sci Rep  ·  24.08.2026  ·  PMID 42637795</w:t>
      </w:r>
    </w:p>
    <w:p>
      <w:r>
        <w:t>Randomisierte, kontrollierte Pilotstudie (n=29 COPD-Patienten) zum Effekt von visueller EIT-Rückmeldung auf Lungenfunktion während Inhalationstherapie.</w:t>
      </w:r>
    </w:p>
    <w:p>
      <w:r>
        <w:rPr>
          <w:b/>
        </w:rPr>
        <w:t xml:space="preserve">Ergebnis: </w:t>
      </w:r>
      <w:r>
        <w:t>Interventionsgruppe mit EIT-Feedback zeigte signifikante FRC-Reduktion gegenüber Kontrolle (Intervention -0,4 L vs. Kontrolle -0,1 L, p&lt;0,05). Keine signifikanten Unterschiede bei FEV1 zwischen Gruppen. Widerstände tendierten zur Zunahme in der Interventionsgruppe. Subjektiver Benefit und EIT-Parameter zeigten keine Unterschiede.</w:t>
      </w:r>
    </w:p>
    <w:p>
      <w:r>
        <w:rPr>
          <w:b/>
          <w:sz w:val="19"/>
        </w:rPr>
        <w:t xml:space="preserve">Übertragbarkeit: </w:t>
      </w:r>
      <w:r>
        <w:rPr>
          <w:sz w:val="19"/>
        </w:rPr>
        <w:t>Deutschland, Universitätsklinik Saarland; methodische Machbarkeitsstudie, längerfristige Effekte offen</w:t>
      </w:r>
    </w:p>
    <w:p>
      <w:r>
        <w:rPr>
          <w:color w:val="5A7D3A"/>
          <w:sz w:val="18"/>
        </w:rPr>
        <w:t>https://pubmed.ncbi.nlm.nih.gov/42637795/</w:t>
      </w:r>
    </w:p>
    <w:p>
      <w:pPr>
        <w:pStyle w:val="Heading2"/>
      </w:pPr>
      <w:r>
        <w:t>CKD-Screening in der Hausarztpraxis: Politischer Aktionsplan für Europa</w:t>
      </w:r>
    </w:p>
    <w:p>
      <w:r>
        <w:rPr>
          <w:i/>
          <w:color w:val="666666"/>
          <w:sz w:val="18"/>
        </w:rPr>
        <w:t>De Nicola L et al.  ·  J Nephrol  ·  10.10.2026  ·  PMID 42627753</w:t>
      </w:r>
    </w:p>
    <w:p>
      <w:r>
        <w:t>Positionspapier der Italienischen Nephrologischen Gesellschaft zu einem strukturierten CKD-Screening und Managementprogramm für die primäre Versorgung.</w:t>
      </w:r>
    </w:p>
    <w:p>
      <w:r>
        <w:rPr>
          <w:b/>
        </w:rPr>
        <w:t xml:space="preserve">Ergebnis: </w:t>
      </w:r>
      <w:r>
        <w:t>WHO und UN erkannten CKD 2025 als globale Gesundheitspriorität an. Die Italienische Gesellschaft hat ein Screening-Programm für die Hausarztpraxis entwickelt (aktuell im italienischen Parlament in Diskussion) mit kombinierter Edukation zur CKD-Früherkennung. Remission von CKD ist zunehmend erreichbar; niedriges Bewusstsein bei Patienten und Nicht-Nephrologen bleibt Hauptbarriere.</w:t>
      </w:r>
    </w:p>
    <w:p>
      <w:r>
        <w:rPr>
          <w:b/>
          <w:sz w:val="19"/>
        </w:rPr>
        <w:t xml:space="preserve">Übertragbarkeit: </w:t>
      </w:r>
      <w:r>
        <w:rPr>
          <w:sz w:val="19"/>
        </w:rPr>
        <w:t>Italien/Europa, vergleichbare Gesundheitssysteme; skalierbar auf Deutschland</w:t>
      </w:r>
    </w:p>
    <w:p>
      <w:r>
        <w:rPr>
          <w:color w:val="5A7D3A"/>
          <w:sz w:val="18"/>
        </w:rPr>
        <w:t>https://pubmed.ncbi.nlm.nih.gov/42627753/</w:t>
      </w:r>
    </w:p>
    <w:p>
      <w:pPr>
        <w:pStyle w:val="Heading1"/>
      </w:pPr>
      <w:r>
        <w:t>Aufgenommen am 12.10.2026</w:t>
      </w:r>
    </w:p>
    <w:p>
      <w:pPr>
        <w:pStyle w:val="Heading2"/>
      </w:pPr>
      <w:r>
        <w:t>Sturzrisiko bei COPD: Gleichgewichtsstörungen stärker assoziiert als Muskelschwäche</w:t>
      </w:r>
    </w:p>
    <w:p>
      <w:r>
        <w:rPr>
          <w:i/>
          <w:color w:val="666666"/>
          <w:sz w:val="18"/>
        </w:rPr>
        <w:t>Zangi M et al.  ·  Int J Chron Obstruct Pulmon Dis  ·  06.10.2026  ·  PMID 42859794</w:t>
      </w:r>
    </w:p>
    <w:p>
      <w:r>
        <w:t>Systematische Übersicht von 25 Studien mit 1.295 Teilnehmenden zu Zusammenhängen zwischen neuromuskulären Faktoren, Balance, Gangcharakteristika und Sturzereignissen bei COPD.</w:t>
      </w:r>
    </w:p>
    <w:p>
      <w:r>
        <w:rPr>
          <w:b/>
        </w:rPr>
        <w:t xml:space="preserve">Ergebnis: </w:t>
      </w:r>
      <w:r>
        <w:t>17 von 25 Studien zeigten signifikante Assoziationen zwischen Studienparametern und Sturzrisiko. Gleichgewichtsstörungen wiesen die konsistenteste Beziehung auf (14 von 17 Studien mit positiven Assoziationen). Die Evidenz für Muskelkraft war gemischt: Während einige Studien Quadrizeps-Schwäche mit erhöhtem Sturzrisiko verbanden (Odds Ratio 2,9 in einer Studie), fanden andere keine signifikante Assoziation. Veränderte Gangcharakteristika, insbesondere erhöhte Schrittzeit-Variabilität, wurden ebenfalls mit Stürzen assoziiert.</w:t>
      </w:r>
    </w:p>
    <w:p>
      <w:r>
        <w:rPr>
          <w:b/>
          <w:sz w:val="19"/>
        </w:rPr>
        <w:t xml:space="preserve">Übertragbarkeit: </w:t>
      </w:r>
      <w:r>
        <w:rPr>
          <w:sz w:val="19"/>
        </w:rPr>
        <w:t>Deutsche Rehaeinrichtungen, weit verbreitet in COPD-Versorgung; prospektive Studien zur Kausalität noch ausstehend.</w:t>
      </w:r>
    </w:p>
    <w:p>
      <w:r>
        <w:rPr>
          <w:color w:val="5A7D3A"/>
          <w:sz w:val="18"/>
        </w:rPr>
        <w:t>https://pubmed.ncbi.nlm.nih.gov/42859794/</w:t>
      </w:r>
    </w:p>
    <w:p>
      <w:pPr>
        <w:pStyle w:val="Heading2"/>
      </w:pPr>
      <w:r>
        <w:t>Mehrfacherkrankung verschlechtert Lebensqualität in Dosis-Wirkungs-Beziehung</w:t>
      </w:r>
    </w:p>
    <w:p>
      <w:r>
        <w:rPr>
          <w:i/>
          <w:color w:val="666666"/>
          <w:sz w:val="18"/>
        </w:rPr>
        <w:t>Manríquez-Robles D et al.  ·  Qual Life Res  ·  10.10.2026  ·  PMID 42859314</w:t>
      </w:r>
    </w:p>
    <w:p>
      <w:r>
        <w:t>Bevölkerungsrepräsentative chilenische Stichprobe (n=16.469) zur Identifikation von Mehrfacherkrankungs-Profilen und deren Zusammenhang mit globaler Lebensqualität mittels Latent-Class-Analyse und Strukturgleichungsmodellierung.</w:t>
      </w:r>
    </w:p>
    <w:p>
      <w:r>
        <w:rPr>
          <w:b/>
        </w:rPr>
        <w:t xml:space="preserve">Ergebnis: </w:t>
      </w:r>
      <w:r>
        <w:t>Drei Klassen wurden identifiziert: niedrige Belastung (untere Gruppe), mittlere Belastung (58,5%) und hohe Belastung (15,0%). Globale Lebensqualität war bei Personen mit mittlerer Belastung um β=-0,132 (p&lt;0,001) und bei hoher Belastung um β=-0,341 (p&lt;0,001) niedriger als in der Referenzgruppe. Schulbildung (β=0,142) und Haushaltseinkommen (β=0,139) waren positiv mit Lebensqualität assoziiert. Mehrfacherkrankung und funktionale Einschränkung waren die stärksten Differenzierungsmerkmale der Profile.</w:t>
      </w:r>
    </w:p>
    <w:p>
      <w:r>
        <w:rPr>
          <w:b/>
          <w:sz w:val="19"/>
        </w:rPr>
        <w:t xml:space="preserve">Übertragbarkeit: </w:t>
      </w:r>
      <w:r>
        <w:rPr>
          <w:sz w:val="19"/>
        </w:rPr>
        <w:t>Lateinamerika; ähnliche Sozialversicherungsstruktur wie deutschsprachige Länder; vergleichbare Erfassung chronischer Erkrankungen.</w:t>
      </w:r>
    </w:p>
    <w:p>
      <w:r>
        <w:rPr>
          <w:color w:val="5A7D3A"/>
          <w:sz w:val="18"/>
        </w:rPr>
        <w:t>https://pubmed.ncbi.nlm.nih.gov/42859314/</w:t>
      </w:r>
    </w:p>
    <w:p>
      <w:pPr>
        <w:pStyle w:val="Heading2"/>
      </w:pPr>
      <w:r>
        <w:t>Körperzusammensetzung bei älteren Menschen: Fettmasse stärker mit Hypertonie assoziiert als BMI allein</w:t>
      </w:r>
    </w:p>
    <w:p>
      <w:r>
        <w:rPr>
          <w:i/>
          <w:color w:val="666666"/>
          <w:sz w:val="18"/>
        </w:rPr>
        <w:t>Wei M et al.  ·  Front Public Health  ·  24.09.2026  ·  PMID 42851637</w:t>
      </w:r>
    </w:p>
    <w:p>
      <w:r>
        <w:t>Chinesische Querschnittsstudie mit 324 älteren Erwachsenen (≥65 Jahre) zur Messung der Körperzusammensetzung mittels InBody-Analysegerät und Assoziation mit Hypertonie, Dyslipidämie und Diabetes.</w:t>
      </w:r>
    </w:p>
    <w:p>
      <w:r>
        <w:rPr>
          <w:b/>
        </w:rPr>
        <w:t xml:space="preserve">Ergebnis: </w:t>
      </w:r>
      <w:r>
        <w:t>Prävalenzen: Hypertonie 62,3%, Dyslipidämie 53,7%, Diabetes 19,8%. Signifikante Geschlechts- und Altersunterschiede: Frauen hatten höheren Körperfettanteil (PBF) und niedrigere Skelettmuskelmasse (SMM), Personen ≥75 Jahre niedrigere SMM und höheres PBF. Multivariate Regressionen zeigten: höheres PBF und höheres Viszeralfett (VFL) unabhängig mit Hypertonie assoziiert; niedrigere SMM und höheres PBF mit Dyslipidämie; höheres PBF, niedrigere SMM und höherer Rumpffettanteil mit Diabetes. Assoziationen zeigten Heterogenität nach Geschlecht und Alter: Überschüssiges Körperfett prominenter bei Frauen, niedrige SMM stärker bei älteren Altersgruppen.</w:t>
      </w:r>
    </w:p>
    <w:p>
      <w:r>
        <w:rPr>
          <w:b/>
          <w:sz w:val="19"/>
        </w:rPr>
        <w:t xml:space="preserve">Übertragbarkeit: </w:t>
      </w:r>
      <w:r>
        <w:rPr>
          <w:sz w:val="19"/>
        </w:rPr>
        <w:t>China; ähnliche demografische Struktur und Mehrfacherkrankungs-Muster wie alternde deutsche Bevölkerung.</w:t>
      </w:r>
    </w:p>
    <w:p>
      <w:r>
        <w:rPr>
          <w:color w:val="5A7D3A"/>
          <w:sz w:val="18"/>
        </w:rPr>
        <w:t>https://pubmed.ncbi.nlm.nih.gov/42851637/</w:t>
      </w:r>
    </w:p>
    <w:p>
      <w:pPr>
        <w:pStyle w:val="Heading2"/>
      </w:pPr>
      <w:r>
        <w:t>Nierenfunktionsstörung bei indigener Bevölkerung: Machine Learning identifiziert Hochrisiko-Profile für Screening</w:t>
      </w:r>
    </w:p>
    <w:p>
      <w:r>
        <w:rPr>
          <w:i/>
          <w:color w:val="666666"/>
          <w:sz w:val="18"/>
        </w:rPr>
        <w:t>Kshatri JS et al.  ·  Indian J Med Res  ·  Aug. 2026  ·  PMID 42851230</w:t>
      </w:r>
    </w:p>
    <w:p>
      <w:r>
        <w:t>Sekundäranalyse der Odisha Tribal Family Health Survey mit 19.703 erwachsenen Angehörigen von 53 indigenen Gemeinschaften zur Prävalenz eingeschränkter Nierenfunktion (eGFR &lt;90) und Entwicklung von Deep-Neural-Network- und XGBoost-Vorhersagemodellen.</w:t>
      </w:r>
    </w:p>
    <w:p>
      <w:r>
        <w:rPr>
          <w:b/>
        </w:rPr>
        <w:t xml:space="preserve">Ergebnis: </w:t>
      </w:r>
      <w:r>
        <w:t>Gesamtprävalenz eingeschränkter Nierenfunktion 24,8% (95%-KI 23,8-25,9): davon 16,6% mild, 6,4% moderat, 1,5% schwer, 0,3% Nierenversagen. Prävalenz stieg mit Alter (5,6% bei 18-30 Jahren vs. 79,4% bei &gt;70 Jahren). Deep-Neural-Network-Modell: Genauigkeit 0,78, Recall 0,69 (verbessert auf 0,78 bei Schwellenwert 0,4). SHAP-Analyse identifizierte Alter, Hypertonie, Diabetes, Tabak- und Alkoholkonsum sowie niedrige Ernährungsdiversität als Schlüsselprädikatoren. Decision-Curve-Analyse deutete auf Nutzen ML-basierter gezielter Screenings hin.</w:t>
      </w:r>
    </w:p>
    <w:p>
      <w:r>
        <w:rPr>
          <w:b/>
          <w:sz w:val="19"/>
        </w:rPr>
        <w:t xml:space="preserve">Übertragbarkeit: </w:t>
      </w:r>
      <w:r>
        <w:rPr>
          <w:sz w:val="19"/>
        </w:rPr>
        <w:t>Südasien mit extremem Ressourcenmangel; ML-Modelle könnten auch in ähnlich ressourcenlimitierten deutschen Settings (ländliche Regionen) einsetzbar sein.</w:t>
      </w:r>
    </w:p>
    <w:p>
      <w:r>
        <w:rPr>
          <w:color w:val="5A7D3A"/>
          <w:sz w:val="18"/>
        </w:rPr>
        <w:t>https://pubmed.ncbi.nlm.nih.gov/42851230/</w:t>
      </w:r>
    </w:p>
    <w:p>
      <w:pPr>
        <w:pStyle w:val="Heading2"/>
      </w:pPr>
      <w:r>
        <w:t>Post-Lyme-Syndrom nach Antibiotika: Kliniker identifizieren weniger Fälle als Patienten-Fragebögen</w:t>
      </w:r>
    </w:p>
    <w:p>
      <w:r>
        <w:rPr>
          <w:i/>
          <w:color w:val="666666"/>
          <w:sz w:val="18"/>
        </w:rPr>
        <w:t>Yu H et al.  ·  Pathogens  ·  01.08.2026  ·  PMID 42654748</w:t>
      </w:r>
    </w:p>
    <w:p>
      <w:r>
        <w:t>Prospektive europäische Multiländer-Studie (Frankreich, Deutschland, Polen, Österreich, Skandinavien, Slowenien) zur Prävalenz und Klassifikation von Post-Behandlungs-Lyme-Borreliose-Syndrom (PTLDS) anhand klinischer Bewertung versus Patient-Reported Outcomes (n=242 mit kompletter Antibiotikabehandlung).</w:t>
      </w:r>
    </w:p>
    <w:p>
      <w:r>
        <w:rPr>
          <w:b/>
        </w:rPr>
        <w:t xml:space="preserve">Ergebnis: </w:t>
      </w:r>
      <w:r>
        <w:t>299 Patienten (40,9%) berichteten ≥1 Symptom (Müdigkeit, Muskel-Skelett-Schmerz oder kognitives Defizit) 10 Monate nach Diagnose. 15 Patienten (6,2%) erfüllten PTLDS-Kriterien nach klinischer oder Fragebogen-Bewertung; 4 (1,7%) erfüllten beide Kriterien. Fragebogen-PTLDS und Patienten mit persistierenden Symptomen berichteten höhere Symptomschweregrad und schlechtere physische Funktion als klinisch diagnostiziertes PTLDS, was darauf hindeutet, dass unterschiedliche Bewertungsmethoden teilweise unterschiedliche Patientengruppen erfassen.</w:t>
      </w:r>
    </w:p>
    <w:p>
      <w:r>
        <w:rPr>
          <w:b/>
          <w:sz w:val="19"/>
        </w:rPr>
        <w:t xml:space="preserve">Übertragbarkeit: </w:t>
      </w:r>
      <w:r>
        <w:rPr>
          <w:sz w:val="19"/>
        </w:rPr>
        <w:t>Europäische Mehrzenterdaten; direkt auf Deutschland und deutschsprachigen Raum übertragbar.</w:t>
      </w:r>
    </w:p>
    <w:p>
      <w:r>
        <w:rPr>
          <w:color w:val="5A7D3A"/>
          <w:sz w:val="18"/>
        </w:rPr>
        <w:t>https://pubmed.ncbi.nlm.nih.gov/42654748/</w:t>
      </w:r>
    </w:p>
    <w:p>
      <w:pPr>
        <w:pStyle w:val="Heading2"/>
      </w:pPr>
      <w:r>
        <w:t>Erektile Dysfunktion bei COPD: 87,5% Prävalenz; Dyslipidämie und Airflow-Limitation sind unabhängige Prädiktoren</w:t>
      </w:r>
    </w:p>
    <w:p>
      <w:r>
        <w:rPr>
          <w:i/>
          <w:color w:val="666666"/>
          <w:sz w:val="18"/>
        </w:rPr>
        <w:t>Alcalá-Rivera N et al.  ·  Rev Assoc Med Bras (1992)  ·  07.08.2026  ·  PMID 42585471</w:t>
      </w:r>
    </w:p>
    <w:p>
      <w:r>
        <w:t>Spanische Querschnittsstudie mit 120 männlichen COPD-Patienten zur Erfassung sexueller Funktionsstörungen mittels International Index of Erectile Function (IIEF ≤16 als klinisch signifikant).</w:t>
      </w:r>
    </w:p>
    <w:p>
      <w:r>
        <w:rPr>
          <w:b/>
        </w:rPr>
        <w:t xml:space="preserve">Ergebnis: </w:t>
      </w:r>
      <w:r>
        <w:t>113 Patienten (94,2%) berichteten Veränderungen ihrer Sexualfunktion, 42 (36%) waren unzufrieden. Erektile Dysfunktion-Prävalenz 87,5% (mild 27,5%, mild-moderat 21,7%, moderat 17,5%, schwer 20,8%). Hauptursachen laut Patientenaussage: Grunderkrankung (53,3%), Medikamente (20,8%), psychische Probleme (20%). Multivariate Analyse: Dyslipidämie (OR 4,03; 95%-KI 1,43-11,36; p=0,008) und verminderte %pFEV1 (OR 0,937; 95%-KI 0,906-0,968; p&lt;0,001) waren unabhängige Prädiktoren für klinisch signifikante erektile Dysfunktion.</w:t>
      </w:r>
    </w:p>
    <w:p>
      <w:r>
        <w:rPr>
          <w:b/>
          <w:sz w:val="19"/>
        </w:rPr>
        <w:t xml:space="preserve">Übertragbarkeit: </w:t>
      </w:r>
      <w:r>
        <w:rPr>
          <w:sz w:val="19"/>
        </w:rPr>
        <w:t>Südeuropa, vergleichbare COPD-Versorgungsstrukturen; sexuelle Gesundheit als unterschätzte Komponente chronischer Erkrankungen in der Praxis.</w:t>
      </w:r>
    </w:p>
    <w:p>
      <w:r>
        <w:rPr>
          <w:color w:val="5A7D3A"/>
          <w:sz w:val="18"/>
        </w:rPr>
        <w:t>https://pubmed.ncbi.nlm.nih.gov/42585471/</w:t>
      </w:r>
    </w:p>
    <w:p>
      <w:pPr>
        <w:pStyle w:val="Heading1"/>
      </w:pPr>
      <w:r>
        <w:t>Aufgenommen am 11.10.2026</w:t>
      </w:r>
    </w:p>
    <w:p>
      <w:pPr>
        <w:pStyle w:val="Heading2"/>
      </w:pPr>
      <w:r>
        <w:t>Urin-Dipstick-Test verbessert CKD-Screening durch Albumin-Kreatinin-Ratio</w:t>
      </w:r>
    </w:p>
    <w:p>
      <w:r>
        <w:rPr>
          <w:i/>
          <w:color w:val="666666"/>
          <w:sz w:val="18"/>
        </w:rPr>
        <w:t>Samaan F et al.  ·  BMC Nephrol  ·  03.09.2026  ·  PMID 42855677</w:t>
      </w:r>
    </w:p>
    <w:p>
      <w:r>
        <w:t>Brasilianische Pilotvalidierungsstudie an 410 Erwachsenen mit ≥1 CKD-Risikofaktor; Vergleich von zwei kommerziellen Urin-Dipsticks (Gesamtprotein vs. Albumin-Kreatinin-Ratio) gegen Referenzstandard quantitative UACR.</w:t>
      </w:r>
    </w:p>
    <w:p>
      <w:r>
        <w:rPr>
          <w:b/>
        </w:rPr>
        <w:t xml:space="preserve">Ergebnis: </w:t>
      </w:r>
      <w:r>
        <w:t>Albumin-Kreatinin-Dipstick (S12) zeigte höhere Sensitivität als Gesamtprotein-Dipstick (S10) für UACR ≥30 mg/g: 95% (95%-CI 92–98%) vs. 64% (57–71%; p&lt;0,001), für UACR 30–300 mg/g 56% vs. 36% (p=0,009), für UACR &gt;300 mg/g 95% vs. 79% (p=0,001). Hochrechnung auf 777.096 jährliche Routinetests: Ersatz würde 12.045 falsch-negative Fälle (86%) mit UACR ≥30 mg/g verhindern.</w:t>
      </w:r>
    </w:p>
    <w:p>
      <w:r>
        <w:rPr>
          <w:b/>
          <w:sz w:val="19"/>
        </w:rPr>
        <w:t xml:space="preserve">Übertragbarkeit: </w:t>
      </w:r>
      <w:r>
        <w:rPr>
          <w:sz w:val="19"/>
        </w:rPr>
        <w:t>Brasilien, private Krankenversicherung; Screening-Ansatz auf primärversorgende Strukturen übertragbar</w:t>
      </w:r>
    </w:p>
    <w:p>
      <w:r>
        <w:rPr>
          <w:color w:val="5A7D3A"/>
          <w:sz w:val="18"/>
        </w:rPr>
        <w:t>https://pubmed.ncbi.nlm.nih.gov/42855677/</w:t>
      </w:r>
    </w:p>
    <w:p>
      <w:pPr>
        <w:pStyle w:val="Heading2"/>
      </w:pPr>
      <w:r>
        <w:t>Semaglutid plus Dapagliflozin senkt HbA1c und Proteinurie bei Diabetes und CKD</w:t>
      </w:r>
    </w:p>
    <w:p>
      <w:r>
        <w:rPr>
          <w:i/>
          <w:color w:val="666666"/>
          <w:sz w:val="18"/>
        </w:rPr>
        <w:t>Gong C et al.  ·  Medicine (Baltimore)  ·  09.10.2026  ·  PMID 42854065</w:t>
      </w:r>
    </w:p>
    <w:p>
      <w:r>
        <w:t>Retrospektive chinesische Beobachtungsstudie an 126 Patienten mit Typ-2-Diabetes und CKD; Vergleich von Monotherapien (Semaglutid oder Dapagliflozin) mit Kombinationstherapie über 8 Wochen; Messung von Glukoseindizes, Nierenfunktion und Entzündungsmarkern.</w:t>
      </w:r>
    </w:p>
    <w:p>
      <w:r>
        <w:rPr>
          <w:b/>
        </w:rPr>
        <w:t xml:space="preserve">Ergebnis: </w:t>
      </w:r>
      <w:r>
        <w:t>Kombinationstherapie zeigte signifikant stärkere Reduktionen: HbA1c -1,8% (Kombination) vs. -1,2% (Monotherapie), 24-h-Proteinurie -0,42 g/Tag (Kombination) vs. -0,28 g/Tag (Monotherapie), IL-6 und CRP stärker gesenkt. Klinische Ansprechrate höher in Kombinationsgruppe. Keine erhöhten Nebenwirkungen nach 8 Wochen. Befunde begrenzt durch retrospektives Design und kurze Beobachtungsdauer.</w:t>
      </w:r>
    </w:p>
    <w:p>
      <w:r>
        <w:rPr>
          <w:b/>
          <w:sz w:val="19"/>
        </w:rPr>
        <w:t xml:space="preserve">Übertragbarkeit: </w:t>
      </w:r>
      <w:r>
        <w:rPr>
          <w:sz w:val="19"/>
        </w:rPr>
        <w:t>China, ähnliche Mehrfacherkrankungen; kurze Beobachtung, längerfristige Effekte unklar</w:t>
      </w:r>
    </w:p>
    <w:p>
      <w:r>
        <w:rPr>
          <w:color w:val="5A7D3A"/>
          <w:sz w:val="18"/>
        </w:rPr>
        <w:t>https://pubmed.ncbi.nlm.nih.gov/42854065/</w:t>
      </w:r>
    </w:p>
    <w:p>
      <w:pPr>
        <w:pStyle w:val="Heading2"/>
      </w:pPr>
      <w:r>
        <w:t>Lungenvolumenreduktion bei Antikoagulation sicher durchführbar</w:t>
      </w:r>
    </w:p>
    <w:p>
      <w:r>
        <w:rPr>
          <w:i/>
          <w:color w:val="666666"/>
          <w:sz w:val="18"/>
        </w:rPr>
        <w:t>Aleem MS et al.  ·  COPD  ·  27.09.2026  ·  PMID 42852569</w:t>
      </w:r>
    </w:p>
    <w:p>
      <w:r>
        <w:t>Retrospektive US-Datenbankanalyse der National Inpatient Sample (2016–2023) an 16.340 gewichteten Bronchoskopie-Hospitalisierungen mit Lungenvolumenreduktion; 7,8% erhielten chronische Antikoagulation; Vergleich von Blutungs- und anderen Komplikationen.</w:t>
      </w:r>
    </w:p>
    <w:p>
      <w:r>
        <w:rPr>
          <w:b/>
        </w:rPr>
        <w:t xml:space="preserve">Ergebnis: </w:t>
      </w:r>
      <w:r>
        <w:t>Antikoagulierte Patienten: Hämothorax 2,7% vs. 1,1% (nicht-antikoaguliert), Lungenblutung 7,1% vs. 4,7%, jedoch nach multivariater Analyse kein signifikanter unabhängiger Unterschied. Keine signifikanten Unterschiede in Mortalität, Pneumothorax oder Krankenhausverweildauer. Die Studie zeigt, dass Lungenvolumenreduktion auch bei antikoagulierten COPD-Patienten mit vergleichbaren Kurzzeitergebnissen durchführbar ist.</w:t>
      </w:r>
    </w:p>
    <w:p>
      <w:r>
        <w:rPr>
          <w:b/>
          <w:sz w:val="19"/>
        </w:rPr>
        <w:t xml:space="preserve">Übertragbarkeit: </w:t>
      </w:r>
      <w:r>
        <w:rPr>
          <w:sz w:val="19"/>
        </w:rPr>
        <w:t>USA-Krankenhauskodierungsdaten; Procedere übertragbar, Finanzierungsstrukturen unterscheiden sich</w:t>
      </w:r>
    </w:p>
    <w:p>
      <w:r>
        <w:rPr>
          <w:color w:val="5A7D3A"/>
          <w:sz w:val="18"/>
        </w:rPr>
        <w:t>https://pubmed.ncbi.nlm.nih.gov/42852569/</w:t>
      </w:r>
    </w:p>
    <w:p>
      <w:pPr>
        <w:pStyle w:val="Heading2"/>
      </w:pPr>
      <w:r>
        <w:t>Symptombelastung und Exazerbationen prägen Lebensqualität bei Alpha-1-Antitrypsinmangel</w:t>
      </w:r>
    </w:p>
    <w:p>
      <w:r>
        <w:rPr>
          <w:i/>
          <w:color w:val="666666"/>
          <w:sz w:val="18"/>
        </w:rPr>
        <w:t>Aljama C et al.  ·  Pulmonology  ·  07.10.2026  ·  PMID 42841174</w:t>
      </w:r>
    </w:p>
    <w:p>
      <w:r>
        <w:t>Europäische Querschnittsstudie aus dem EARCO-Register an 1710 Pi*ZZ-Patienten; Messung der gesundheitsbezogenen Lebensqualität (EQ-5D); Identifikation von Faktoren, die Lebensqualität beeinflussen.</w:t>
      </w:r>
    </w:p>
    <w:p>
      <w:r>
        <w:rPr>
          <w:b/>
        </w:rPr>
        <w:t xml:space="preserve">Ergebnis: </w:t>
      </w:r>
      <w:r>
        <w:t>Mittleres EQ-5D-Index 0,82±0,22; Patienten mit COPD hatten signifikant schlechtere Werte (0,75±0,24 vs. 0,90±0,16; p&lt;0,001). In multivariater Analyse: höhere Symptombelastung (CAT, mMRC), Langzeitsauerstofftherapie, Arbeitslosigkeit, Exazerbationen, Bronchiektasen und niedrigeres Bildungsniveau waren unabhängig mit schlechterer Lebensqualität assoziiert. Symptombelastung und Exazerbationen waren stärkere Determinanten der Lebensqualität als Lungenfunktion allein.</w:t>
      </w:r>
    </w:p>
    <w:p>
      <w:r>
        <w:rPr>
          <w:b/>
          <w:sz w:val="19"/>
        </w:rPr>
        <w:t xml:space="preserve">Übertragbarkeit: </w:t>
      </w:r>
      <w:r>
        <w:rPr>
          <w:sz w:val="19"/>
        </w:rPr>
        <w:t>Europäische Multizenterstudie (Spanien, Schweden, UK, Dänemark, Schweiz, Portugal, Italien, Frankreich, Tschechien), vergleichbare Gesundheitssysteme</w:t>
      </w:r>
    </w:p>
    <w:p>
      <w:r>
        <w:rPr>
          <w:color w:val="5A7D3A"/>
          <w:sz w:val="18"/>
        </w:rPr>
        <w:t>https://pubmed.ncbi.nlm.nih.gov/42841174/</w:t>
      </w:r>
    </w:p>
    <w:p>
      <w:pPr>
        <w:pStyle w:val="Heading2"/>
      </w:pPr>
      <w:r>
        <w:t>KRT verbesserte Überleben bei über 80-jährigen mit fortgeschrittener Nierenerkrankung</w:t>
      </w:r>
    </w:p>
    <w:p>
      <w:r>
        <w:rPr>
          <w:i/>
          <w:color w:val="666666"/>
          <w:sz w:val="18"/>
        </w:rPr>
        <w:t>Gómez-Rojas I et al.  ·  J Nephrol  ·  10.10.2026  ·  PMID 42634179</w:t>
      </w:r>
    </w:p>
    <w:p>
      <w:r>
        <w:t>Spanische Multizenterstudie an 492 Patienten über 80 Jahren mit eGFR &lt;15 mL/min/1,73 m², die konservative Therapie oder Nierenersatztherapie erhielten; Vergleich von Sterblichkeit und Krankenhausaufenthalten.</w:t>
      </w:r>
    </w:p>
    <w:p>
      <w:r>
        <w:rPr>
          <w:b/>
        </w:rPr>
        <w:t xml:space="preserve">Ergebnis: </w:t>
      </w:r>
      <w:r>
        <w:t>262 Patienten (53,3%) wählten konservative Therapie, 230 (46,7%) begannen Nierenersatztherapie. Konservative Therapie war unabhängig mit höherer Mortalität assoziiert (HR 2,554; p&lt;0,001). Bei geplanter (nicht dringlicher) Nierenersatztherapie bessere Prognose als bei dringlicher Einleitung. Bei erwarteter Überlebensdauer &lt;12 Monate ähnliche Ergebnisse in beiden Gruppen. Die Studie zeigt, dass strukturierte Nierenersatztherapie auch bei sehr alten Patienten mit fortgeschrittener CKD Überlebensvorteil bringt, sofern nicht dringlich eingeleitet.</w:t>
      </w:r>
    </w:p>
    <w:p>
      <w:r>
        <w:rPr>
          <w:b/>
          <w:sz w:val="19"/>
        </w:rPr>
        <w:t xml:space="preserve">Übertragbarkeit: </w:t>
      </w:r>
      <w:r>
        <w:rPr>
          <w:sz w:val="19"/>
        </w:rPr>
        <w:t>Spanische Klinikdaten, vergleichbares Versicherungssystem zur deutschen Versorgung</w:t>
      </w:r>
    </w:p>
    <w:p>
      <w:r>
        <w:rPr>
          <w:color w:val="5A7D3A"/>
          <w:sz w:val="18"/>
        </w:rPr>
        <w:t>https://pubmed.ncbi.nlm.nih.gov/42634179/</w:t>
      </w:r>
    </w:p>
    <w:p>
      <w:pPr>
        <w:pStyle w:val="Heading2"/>
      </w:pPr>
      <w:r>
        <w:t>Self-Management bei Nierenerkrankung: Hürden im NHS-System</w:t>
      </w:r>
    </w:p>
    <w:p>
      <w:r>
        <w:rPr>
          <w:i/>
          <w:color w:val="666666"/>
          <w:sz w:val="18"/>
        </w:rPr>
        <w:t>Patel NA et al.  ·  J Nephrol  ·  10.10.2026  ·  PMID 42598916</w:t>
      </w:r>
    </w:p>
    <w:p>
      <w:r>
        <w:t>Qualitative Studie mit 42 UK-Fachkräften des NHS zu deren Sicht auf Self-Management-Unterstützung bei Nierenerkrankung; Erkundung von Barrieren und Ressourcenbedarf in der Routinepraxis.</w:t>
      </w:r>
    </w:p>
    <w:p>
      <w:r>
        <w:rPr>
          <w:b/>
        </w:rPr>
        <w:t xml:space="preserve">Ergebnis: </w:t>
      </w:r>
      <w:r>
        <w:t>Vier übergeordnete Themen identifiziert: (1) Unzureichende Unterstützung durch NHS-Struktur für Self-Management, (2) Notwendigkeit personalisierter Ansätze, (3) Mangel an zugänglichen Self-Management-Ressourcen, (4) Forderung nach Gesundheitsgerechtigkeit. Fachkräfte berichten, dass strukturierte, evidenzbasierte Interventionen für Self-Management fehlen und dass individuelle Bedürfnisse nicht adäquat berücksichtigt werden.</w:t>
      </w:r>
    </w:p>
    <w:p>
      <w:r>
        <w:rPr>
          <w:b/>
          <w:sz w:val="19"/>
        </w:rPr>
        <w:t xml:space="preserve">Übertragbarkeit: </w:t>
      </w:r>
      <w:r>
        <w:rPr>
          <w:sz w:val="19"/>
        </w:rPr>
        <w:t>Großbritannien, NHS-System; Koordinierungsprobleme sind übertragbar auf deutsche Praxen</w:t>
      </w:r>
    </w:p>
    <w:p>
      <w:r>
        <w:rPr>
          <w:color w:val="5A7D3A"/>
          <w:sz w:val="18"/>
        </w:rPr>
        <w:t>https://pubmed.ncbi.nlm.nih.gov/42598916/</w:t>
      </w:r>
    </w:p>
    <w:p>
      <w:pPr>
        <w:pStyle w:val="Heading1"/>
      </w:pPr>
      <w:r>
        <w:t>Aufgenommen am 10.10.2026</w:t>
      </w:r>
    </w:p>
    <w:p>
      <w:pPr>
        <w:pStyle w:val="Heading2"/>
      </w:pPr>
      <w:r>
        <w:t>Kognitive Verhaltenstherapie reduzierte Müdigkeit und verbesserte Funktionsfähigkeit bei CFS nachhaltig</w:t>
      </w:r>
    </w:p>
    <w:p>
      <w:r>
        <w:rPr>
          <w:i/>
          <w:color w:val="666666"/>
          <w:sz w:val="18"/>
        </w:rPr>
        <w:t>Jiang X et al.  ·  Medicine (Baltimore)  ·  09.10.2026  ·  PMID 42854071</w:t>
      </w:r>
    </w:p>
    <w:p>
      <w:r>
        <w:t>Systematische Übersicht und Metaanalyse von 15 randomisierten Studien mit 2.270 CFS-Patienten prüfte Langzeiteffektivität von kognitiver Verhaltenstherapie auf Müdigkeit und Lebensqualität.</w:t>
      </w:r>
    </w:p>
    <w:p>
      <w:r>
        <w:rPr>
          <w:b/>
        </w:rPr>
        <w:t xml:space="preserve">Ergebnis: </w:t>
      </w:r>
      <w:r>
        <w:t>CBT reduzierte Müdigkeit postinterventionell (Chalder: SMD −0,44; KI −0,57 bis −0,32), verbesserte körperliche Funktionsfähigkeit (SMD 0,32; KI 0,23–0,41) und Psyche (Symptom Checklist 90: SMD −0,44). Nutzen blieben in Kurz- (≤6 Monate) und Langzeitfolge (6–24 Monate) bestehen (Müdigkeit SMD −0,35; KI −0,50 bis −0,19). Keine signifikanten Nebenwirkungen.</w:t>
      </w:r>
    </w:p>
    <w:p>
      <w:r>
        <w:rPr>
          <w:b/>
          <w:sz w:val="19"/>
        </w:rPr>
        <w:t xml:space="preserve">Übertragbarkeit: </w:t>
      </w:r>
      <w:r>
        <w:rPr>
          <w:sz w:val="19"/>
        </w:rPr>
        <w:t>Metaanalyse internationaler Studien, Versorgungsevidenz, psychologische Verfahren</w:t>
      </w:r>
    </w:p>
    <w:p>
      <w:r>
        <w:rPr>
          <w:color w:val="5A7D3A"/>
          <w:sz w:val="18"/>
        </w:rPr>
        <w:t>https://pubmed.ncbi.nlm.nih.gov/42854071/</w:t>
      </w:r>
    </w:p>
    <w:p>
      <w:pPr>
        <w:pStyle w:val="Heading2"/>
      </w:pPr>
      <w:r>
        <w:t>Therapeutische Rahmenbedingungen für ME/CFS: Validierung und Vertrauensbildung durch erlebte Verbesserung</w:t>
      </w:r>
    </w:p>
    <w:p>
      <w:r>
        <w:rPr>
          <w:i/>
          <w:color w:val="666666"/>
          <w:sz w:val="18"/>
        </w:rPr>
        <w:t>Bakken AK et al.  ·  Int J Qual Stud Health Well-being  ·  31.12.2026  ·  PMID 42853299</w:t>
      </w:r>
    </w:p>
    <w:p>
      <w:r>
        <w:t>Reflexive Themenanalyse von Fokusgruppen und Interviews mit 16 Fachpersonen aus 5 Berufen, die mit psychologisch-verhaltenswissenschaftlichen Methoden ME/CFS-Patienten behandeln.</w:t>
      </w:r>
    </w:p>
    <w:p>
      <w:r>
        <w:rPr>
          <w:b/>
        </w:rPr>
        <w:t xml:space="preserve">Ergebnis: </w:t>
      </w:r>
      <w:r>
        <w:t>Vier Kernthemen: (1) Patienten in ‚Niemandsland' treffen (Unsicherheitstoleranz), (2) erklärende ‚Karte' anbieten (Integration biologisch-psychosozial), (3) danach navigieren (Regulationsstörung vs. maladaptives Lernen), (4) Vertrauen bewahren (kontrastive Krankheitserzählungen). Validierung und Agenzystärkung zentral; körperlich erlebte Verbesserung kritisch für Vertrauensaufbau.</w:t>
      </w:r>
    </w:p>
    <w:p>
      <w:r>
        <w:rPr>
          <w:b/>
          <w:sz w:val="19"/>
        </w:rPr>
        <w:t xml:space="preserve">Übertragbarkeit: </w:t>
      </w:r>
      <w:r>
        <w:rPr>
          <w:sz w:val="19"/>
        </w:rPr>
        <w:t>Qualitative Versorgungsforschung, Norwegen, Anwendbarkeit für Patient-Provider-Modelle</w:t>
      </w:r>
    </w:p>
    <w:p>
      <w:r>
        <w:rPr>
          <w:color w:val="5A7D3A"/>
          <w:sz w:val="18"/>
        </w:rPr>
        <w:t>https://pubmed.ncbi.nlm.nih.gov/42853299/</w:t>
      </w:r>
    </w:p>
    <w:p>
      <w:pPr>
        <w:pStyle w:val="Heading2"/>
      </w:pPr>
      <w:r>
        <w:t>Schwangerschaftskomplikationen erhöhen Risiko für Herz-, Nieren- und Stoffwechselerkrankungen deutlich</w:t>
      </w:r>
    </w:p>
    <w:p>
      <w:r>
        <w:rPr>
          <w:i/>
          <w:color w:val="666666"/>
          <w:sz w:val="18"/>
        </w:rPr>
        <w:t>Wambua S et al.  ·  BMJ Med  ·  06.10.2026  ·  PMID 42851766</w:t>
      </w:r>
    </w:p>
    <w:p>
      <w:r>
        <w:t>Kohortenstudie mit 1,4 Millionen Frauen in England untersuchte, ob Schwangerschaftskomplikationen das spätere Risiko für Herz-Kreislauf-, Stoffwechsel- und Nierenerkrankungen erhöhen.</w:t>
      </w:r>
    </w:p>
    <w:p>
      <w:r>
        <w:rPr>
          <w:b/>
        </w:rPr>
        <w:t xml:space="preserve">Ergebnis: </w:t>
      </w:r>
      <w:r>
        <w:t>Gestationshypertonie und Präeklampsie verdreifachten das Hypertonierisiko und verdoppelten das Nierenerkrankungsrisiko. Gestationsdiabetes erhöhte das Typ-2-Diabetes-Risiko um das Siebenfache. Postnatale Depression erhöhte alle vier Endpunkte um 35–56 % (z. B. Hypertonie HR 1,36; KI 1,33–1,40). Diese Erkenntnisse ermöglichen Früherkennung von Frauen mit hohem Risiko.</w:t>
      </w:r>
    </w:p>
    <w:p>
      <w:r>
        <w:rPr>
          <w:b/>
          <w:sz w:val="19"/>
        </w:rPr>
        <w:t xml:space="preserve">Übertragbarkeit: </w:t>
      </w:r>
      <w:r>
        <w:rPr>
          <w:sz w:val="19"/>
        </w:rPr>
        <w:t>UK-Daten, vergleichbare GKV-Dokumentation, prädiktive Stratifizierung möglich</w:t>
      </w:r>
    </w:p>
    <w:p>
      <w:r>
        <w:rPr>
          <w:color w:val="5A7D3A"/>
          <w:sz w:val="18"/>
        </w:rPr>
        <w:t>https://pubmed.ncbi.nlm.nih.gov/42851766/</w:t>
      </w:r>
    </w:p>
    <w:p>
      <w:pPr>
        <w:pStyle w:val="Heading2"/>
      </w:pPr>
      <w:r>
        <w:t>Schwedisches Nierenchronikerregister: Echtzeit-Überwachung der Nierenersatztherapie auf nationaler Ebene</w:t>
      </w:r>
    </w:p>
    <w:p>
      <w:r>
        <w:rPr>
          <w:i/>
          <w:color w:val="666666"/>
          <w:sz w:val="18"/>
        </w:rPr>
        <w:t>Rydell H et al.  ·  Lakartidningen  ·  08.10.2026  ·  PMID 42847836</w:t>
      </w:r>
    </w:p>
    <w:p>
      <w:r>
        <w:t>Beschreibung des schwedischen Nierenregisters, das über 90.000 Patienten vom Diagnosebereich bis zur Transplantation verfolgt und als Versorgungsmonitor fungiert.</w:t>
      </w:r>
    </w:p>
    <w:p>
      <w:r>
        <w:rPr>
          <w:b/>
        </w:rPr>
        <w:t xml:space="preserve">Ergebnis: </w:t>
      </w:r>
      <w:r>
        <w:t>Das Register erfasst alle 9 Nephrologieabteilungen Schwedens mit hoher Datenqualität. Es ermöglicht Echtzeitüberwachung fortlaufender therapeutischer Entwicklungen – etwa rasch evolvierende Anti-CKD-Therapien und spezifische Diagnose-Therapien – und identifiziert Versorgungslücken systematisch.</w:t>
      </w:r>
    </w:p>
    <w:p>
      <w:r>
        <w:rPr>
          <w:b/>
          <w:sz w:val="19"/>
        </w:rPr>
        <w:t xml:space="preserve">Übertragbarkeit: </w:t>
      </w:r>
      <w:r>
        <w:rPr>
          <w:sz w:val="19"/>
        </w:rPr>
        <w:t>Skandinavien, hochstrukturiertes nationales Register, Modell für Versorgungsmonitoring</w:t>
      </w:r>
    </w:p>
    <w:p>
      <w:r>
        <w:rPr>
          <w:color w:val="5A7D3A"/>
          <w:sz w:val="18"/>
        </w:rPr>
        <w:t>https://pubmed.ncbi.nlm.nih.gov/42847836/</w:t>
      </w:r>
    </w:p>
    <w:p>
      <w:pPr>
        <w:pStyle w:val="Heading2"/>
      </w:pPr>
      <w:r>
        <w:t>ME/CFS zeigt latente physiologische Dysregulation über Atemwegs-, kardiovaskuläre und Thermoregulationsstörungen</w:t>
      </w:r>
    </w:p>
    <w:p>
      <w:r>
        <w:rPr>
          <w:i/>
          <w:color w:val="666666"/>
          <w:sz w:val="18"/>
        </w:rPr>
        <w:t>Habermann-Horstmeier L et al.  ·  J Transl Med  ·  28.09.2026  ·  PMID 42806383</w:t>
      </w:r>
    </w:p>
    <w:p>
      <w:r>
        <w:t>Querschnittsanalyse von 736 ME/CFS-Patienten untersuchte, wie Muskelprobleme mit anderen Symptomdomänen verknüpft sind und ob ein gemeinsamer pathophysiologischer Faktor dahintersteckt.</w:t>
      </w:r>
    </w:p>
    <w:p>
      <w:r>
        <w:rPr>
          <w:b/>
        </w:rPr>
        <w:t xml:space="preserve">Ergebnis: </w:t>
      </w:r>
      <w:r>
        <w:t>Faktorenanalyse identifizierte einen latenten physiologischen Dysregulationsfaktor, dem Atemwegs-, Herz-Kreislauf-, Thermoregulations-, visuelle und grippeähnliche Symptome zuzurechnen sind (RMSEA 0,046, CFI 0,971). Muskelprobleme waren unabhängig mit Atembeschwerden (OR 2,49), Grippeähnlichkeit (OR 1,97) und Temperaturstörungen (OR 1,97) assoziiert. Befund unterstützt multiorganbeteiligung statt Einzelsymptomfokus.</w:t>
      </w:r>
    </w:p>
    <w:p>
      <w:r>
        <w:rPr>
          <w:b/>
          <w:sz w:val="19"/>
        </w:rPr>
        <w:t xml:space="preserve">Übertragbarkeit: </w:t>
      </w:r>
      <w:r>
        <w:rPr>
          <w:sz w:val="19"/>
        </w:rPr>
        <w:t>Deutschland, Patientenregister, zeigt Mehrfacherkrankung als Kernmerkmal</w:t>
      </w:r>
    </w:p>
    <w:p>
      <w:r>
        <w:rPr>
          <w:color w:val="5A7D3A"/>
          <w:sz w:val="18"/>
        </w:rPr>
        <w:t>https://pubmed.ncbi.nlm.nih.gov/42806383/</w:t>
      </w:r>
    </w:p>
    <w:p>
      <w:pPr>
        <w:pStyle w:val="Heading2"/>
      </w:pPr>
      <w:r>
        <w:t>SGLT2-Inhibitoren reduzierten kardiovaskuläre Ereignisse und Nierenersatztherapie um 20–33 %</w:t>
      </w:r>
    </w:p>
    <w:p>
      <w:r>
        <w:rPr>
          <w:i/>
          <w:color w:val="666666"/>
          <w:sz w:val="18"/>
        </w:rPr>
        <w:t>Österman J et al.  ·  Clin J Am Soc Nephrol  ·  01.10.2026  ·  PMID 42560763</w:t>
      </w:r>
    </w:p>
    <w:p>
      <w:r>
        <w:t>Schwedische Kohortenstudie mit 32.856 Nierenkranken in nephrologischer Betreuung untersuchte Wirkung von SGLT2-Inhibitoren auf kardiovaskuläre und renale Outcomes in der Praxis.</w:t>
      </w:r>
    </w:p>
    <w:p>
      <w:r>
        <w:rPr>
          <w:b/>
        </w:rPr>
        <w:t xml:space="preserve">Ergebnis: </w:t>
      </w:r>
      <w:r>
        <w:t>SGLT2-Inhibitor-Anwender hatten niedrigeres Risiko für Major Adverse Cardiovascular Events (OR 0,80; KI 0,71–0,91) und Nierenersatztherapie (OR 0,67; KI 0,52–0,85). Kein Unterschied bei Gesamtsterblichkeit. Effekte konsistent über Subgruppen. Randomisierte Studienergebnisse bestätigen sich in der Regelversorgung.</w:t>
      </w:r>
    </w:p>
    <w:p>
      <w:r>
        <w:rPr>
          <w:b/>
          <w:sz w:val="19"/>
        </w:rPr>
        <w:t xml:space="preserve">Übertragbarkeit: </w:t>
      </w:r>
      <w:r>
        <w:rPr>
          <w:sz w:val="19"/>
        </w:rPr>
        <w:t>Skandinavien, vergleichbares System, Routinedaten nephrologischer Zentren</w:t>
      </w:r>
    </w:p>
    <w:p>
      <w:r>
        <w:rPr>
          <w:color w:val="5A7D3A"/>
          <w:sz w:val="18"/>
        </w:rPr>
        <w:t>https://pubmed.ncbi.nlm.nih.gov/42560763/</w:t>
      </w:r>
    </w:p>
    <w:p>
      <w:pPr>
        <w:pStyle w:val="Heading1"/>
      </w:pPr>
      <w:r>
        <w:t>Aufgenommen am 09.10.2026</w:t>
      </w:r>
    </w:p>
    <w:p>
      <w:pPr>
        <w:pStyle w:val="Heading2"/>
      </w:pPr>
      <w:r>
        <w:t>Intersektionale Diskriminierung erhöht Stress und Alkoholkonsum bei Minderheiten</w:t>
      </w:r>
    </w:p>
    <w:p>
      <w:r>
        <w:rPr>
          <w:i/>
          <w:color w:val="666666"/>
          <w:sz w:val="18"/>
        </w:rPr>
        <w:t>Smith MS et al.  ·  Ann Behav Med  ·  07.01.2026  ·  PMID 42847391</w:t>
      </w:r>
    </w:p>
    <w:p>
      <w:r>
        <w:t>Zwei Querschnittsstudien mit insgesamt 1.181 sexuellen Minderheitenmännern of Color zum Zusammenhang zwischen intersektionaler Diskriminierung (Rassismus und Heterosexismus gleichzeitig) und kardiometabolischen Risikofaktoren.</w:t>
      </w:r>
    </w:p>
    <w:p>
      <w:r>
        <w:rPr>
          <w:b/>
        </w:rPr>
        <w:t xml:space="preserve">Ergebnis: </w:t>
      </w:r>
      <w:r>
        <w:t>Intersektionale Diskriminierung war unabhängig mit wahrgenommenem Stress und Alkoholkonsum assoziiert (beide p &lt;0,05), ebenso mit erhöhtem BMI. Dies zeigt, dass überlappende Diskriminierungserfahrungen Gesundheitsverhalten ungünstiger beeinflussen als einzelne Diskriminierungsformen.</w:t>
      </w:r>
    </w:p>
    <w:p>
      <w:r>
        <w:rPr>
          <w:b/>
          <w:sz w:val="19"/>
        </w:rPr>
        <w:t xml:space="preserve">Übertragbarkeit: </w:t>
      </w:r>
      <w:r>
        <w:rPr>
          <w:sz w:val="19"/>
        </w:rPr>
        <w:t>USA-Studie, Mechanismus aber auf alle Mehrfachdiskriminierungs-Settings übertragbar, Deutschland mit migrantischen Communities.</w:t>
      </w:r>
    </w:p>
    <w:p>
      <w:r>
        <w:rPr>
          <w:color w:val="5A7D3A"/>
          <w:sz w:val="18"/>
        </w:rPr>
        <w:t>https://pubmed.ncbi.nlm.nih.gov/42847391/</w:t>
      </w:r>
    </w:p>
    <w:p>
      <w:pPr>
        <w:pStyle w:val="Heading2"/>
      </w:pPr>
      <w:r>
        <w:t>Yoga verbesserte Nierenfunktion bei CKD-Stadien 3–4 um 6,94 mL/min/1,73m² innerhalb 12 Wochen</w:t>
      </w:r>
    </w:p>
    <w:p>
      <w:r>
        <w:rPr>
          <w:i/>
          <w:color w:val="666666"/>
          <w:sz w:val="18"/>
        </w:rPr>
        <w:t>Nair RG et al.  ·  Ann Behav Med  ·  07.01.2026  ·  PMID 42847350</w:t>
      </w:r>
    </w:p>
    <w:p>
      <w:r>
        <w:t>Randomisierte kontrollierte Studie mit 81 CKD-Patienten in Stadien 3 und 4 (diabetische oder hypertensive Ätiologie), die 12 Wochen lang Yoga-Praktiken (5 Stunden pro Woche) zusätzlich zur Standardbehandlung erhielten.</w:t>
      </w:r>
    </w:p>
    <w:p>
      <w:r>
        <w:rPr>
          <w:b/>
        </w:rPr>
        <w:t xml:space="preserve">Ergebnis: </w:t>
      </w:r>
      <w:r>
        <w:t>Yoga-Gruppe zeigte signifikante Verbesserungen: Serum-Kreatinin -0,42 (p=0,013), geschätzte glomeruläre Filtrationsrate +6,94 mL/min/1,73m² (p=0,030), Urin-Albumin-Kreatinin-Ratio -464,2 mg/g (p=0,029) und TGF-β1 -218,2 pg/mL (p=0,021). Mediationsanalyse zeigt reduziertes TGF-β1 als Wirkpfad.</w:t>
      </w:r>
    </w:p>
    <w:p>
      <w:r>
        <w:rPr>
          <w:b/>
          <w:sz w:val="19"/>
        </w:rPr>
        <w:t xml:space="preserve">Übertragbarkeit: </w:t>
      </w:r>
      <w:r>
        <w:rPr>
          <w:sz w:val="19"/>
        </w:rPr>
        <w:t>Indien, aber Intervention universell einsetzbar, Kosteneffektivität, geringe Implementierungsbarrieren.</w:t>
      </w:r>
    </w:p>
    <w:p>
      <w:r>
        <w:rPr>
          <w:color w:val="5A7D3A"/>
          <w:sz w:val="18"/>
        </w:rPr>
        <w:t>https://pubmed.ncbi.nlm.nih.gov/42847350/</w:t>
      </w:r>
    </w:p>
    <w:p>
      <w:pPr>
        <w:pStyle w:val="Heading2"/>
      </w:pPr>
      <w:r>
        <w:t>Community-basierte Co-Design-Studie zu nachhaltiger Gesundheit bei Jugendlichen in Kanada und Jamaika</w:t>
      </w:r>
    </w:p>
    <w:p>
      <w:r>
        <w:rPr>
          <w:i/>
          <w:color w:val="666666"/>
          <w:sz w:val="18"/>
        </w:rPr>
        <w:t>Stennett R et al.  ·  BMJ Open  ·  07.10.2026  ·  PMID 42843868</w:t>
      </w:r>
    </w:p>
    <w:p>
      <w:r>
        <w:t>Protokoll einer Multimethod-Community-Based-Participatory-Research-Studie zur Entwicklung einer Intervention für Jugendliche (15–25 Jahre) zu nachhaltigem Lebensstil und Prävention nichtübertragbarer Erkrankungen durch Umwelt- und Gesundheitsperspektiven in zwei Phasen (kontextuelle Kartierung, Co-Design).</w:t>
      </w:r>
    </w:p>
    <w:p>
      <w:r>
        <w:rPr>
          <w:b/>
        </w:rPr>
        <w:t xml:space="preserve">Ergebnis: </w:t>
      </w:r>
      <w:r>
        <w:t>Dies ist ein Studienprotokoll, das die Machbarkeit, Umsetzungstreue und kontextuelle Passung einer SHAL-Intervention (Sustainability Healthy Active Living) in equity-deserving Populationen untersuchen wird. Erkenntnisse werden zur Finalisierung der Intervention und zu Best-Practice-Wissenstransfer in Konferenzen und Workshops führen. Fokus auf Jugendliche als Change Agents in präventiven, umweltbezogenen Systemen.</w:t>
      </w:r>
    </w:p>
    <w:p>
      <w:r>
        <w:rPr>
          <w:b/>
          <w:sz w:val="19"/>
        </w:rPr>
        <w:t xml:space="preserve">Übertragbarkeit: </w:t>
      </w:r>
      <w:r>
        <w:rPr>
          <w:sz w:val="19"/>
        </w:rPr>
        <w:t>Kanada mit vergleichbarem Versicherungssystem, präventives Gesundheitssystem mit Fokus auf Lebensstil und Mehrfacherkrankungen.</w:t>
      </w:r>
    </w:p>
    <w:p>
      <w:r>
        <w:rPr>
          <w:color w:val="5A7D3A"/>
          <w:sz w:val="18"/>
        </w:rPr>
        <w:t>https://pubmed.ncbi.nlm.nih.gov/42843868/</w:t>
      </w:r>
    </w:p>
    <w:p>
      <w:pPr>
        <w:pStyle w:val="Heading2"/>
      </w:pPr>
      <w:r>
        <w:t>COPD-Symptommonitoring in Pulmonalrehabilitation sagte schwere Exazerbationen nicht zuverlässig voraus</w:t>
      </w:r>
    </w:p>
    <w:p>
      <w:r>
        <w:rPr>
          <w:i/>
          <w:color w:val="666666"/>
          <w:sz w:val="18"/>
        </w:rPr>
        <w:t>Machefert M et al.  ·  Pulmonology  ·  07.10.2026  ·  PMID 42841793</w:t>
      </w:r>
    </w:p>
    <w:p>
      <w:r>
        <w:t>Prospektive Multicenterstudie mit 128 stabilen COPD-Patienten in Erhaltungs-Pulmonalrehabilitationen in Frankreich über ein Jahr mit 4.200 dokumentierten Sitzungen zur Vorhersage schwerer Exazerbationen durch klinische und Belastungsparameter.</w:t>
      </w:r>
    </w:p>
    <w:p>
      <w:r>
        <w:rPr>
          <w:b/>
        </w:rPr>
        <w:t xml:space="preserve">Ergebnis: </w:t>
      </w:r>
      <w:r>
        <w:t>Von 128 Patienten erlebten 19 (14,8%) schwere Exazerbationen. Routinemäßig dokumentierte klinische Marker (COPD Assessment Test, modifizierte Borg-Skala, Belastungsleistung) zeigten begrenzte Vorhersagekraft (AUC 0,45–0,58, alle p&gt;0,1); schwache zeitliche Assoziationen zwischen Symptomen und Leistung. Dies unterstreicht Komplexität der Exazerbationen und Bedarf für digitales Multiparameter-Monitoring.</w:t>
      </w:r>
    </w:p>
    <w:p>
      <w:r>
        <w:rPr>
          <w:b/>
          <w:sz w:val="19"/>
        </w:rPr>
        <w:t xml:space="preserve">Übertragbarkeit: </w:t>
      </w:r>
      <w:r>
        <w:rPr>
          <w:sz w:val="19"/>
        </w:rPr>
        <w:t>Frankreich, vergleichbare ambulante Strukturen, Finanzierung und Reha-Programme ähnlich Deutschland.</w:t>
      </w:r>
    </w:p>
    <w:p>
      <w:r>
        <w:rPr>
          <w:color w:val="5A7D3A"/>
          <w:sz w:val="18"/>
        </w:rPr>
        <w:t>https://pubmed.ncbi.nlm.nih.gov/42841793/</w:t>
      </w:r>
    </w:p>
    <w:p>
      <w:pPr>
        <w:pStyle w:val="Heading2"/>
      </w:pPr>
      <w:r>
        <w:t>Adipositas erhöhte chirurgische Komplikationen nach Nierentransplantation, nicht aber Langzeitüberleben</w:t>
      </w:r>
    </w:p>
    <w:p>
      <w:r>
        <w:rPr>
          <w:i/>
          <w:color w:val="666666"/>
          <w:sz w:val="18"/>
        </w:rPr>
        <w:t>Melera E et al.  ·  Clin Transplant  ·  Okt. 2026  ·  PMID 42839226</w:t>
      </w:r>
    </w:p>
    <w:p>
      <w:r>
        <w:t>Schweizer Einzelzentrum-Retrospektivstudie mit 953 aufeinanderfolgenden Nierenpatienten (150 adipös, BMI ≥30; 803 nicht adipös) von 1999 bis 2023 zur Auswirkung von Empfängeradipositas auf kurz- und langfristige Transplantationsergebnisse.</w:t>
      </w:r>
    </w:p>
    <w:p>
      <w:r>
        <w:rPr>
          <w:b/>
        </w:rPr>
        <w:t xml:space="preserve">Ergebnis: </w:t>
      </w:r>
      <w:r>
        <w:t>Adipöse Empfänger hatten höhere Raten von Operationsstellen-Infektionen (11 % vs. 3 %, p&lt;0,001), Gesamtinfektionen (29 % vs. 5 %, p&lt;0,001), Lymphozylen (18 % vs. 10 %, p=0,007), inkisionalen Hernien (10 % vs. 5 %, p=0,032) und verspäteter Transplantatalfunction (21 % vs. 14 %, p=0,024). Längerer Aufenthalt: 19 vs. 17 Tage (p=0,038). Patienten- und Transplantat-Überleben nach 7,3 Jahren gleich (Hazard Ratio 1,09 bzw. 0,92, p&gt;0,05). Adipositas sollte kein Kontraindikationskriterium sein.</w:t>
      </w:r>
    </w:p>
    <w:p>
      <w:r>
        <w:rPr>
          <w:b/>
          <w:sz w:val="19"/>
        </w:rPr>
        <w:t xml:space="preserve">Übertragbarkeit: </w:t>
      </w:r>
      <w:r>
        <w:rPr>
          <w:sz w:val="19"/>
        </w:rPr>
        <w:t>Schweiz, vergleichbares Sozialsystem und Transplantationsstruktur wie Deutschland und DACH-Region.</w:t>
      </w:r>
    </w:p>
    <w:p>
      <w:r>
        <w:rPr>
          <w:color w:val="5A7D3A"/>
          <w:sz w:val="18"/>
        </w:rPr>
        <w:t>https://pubmed.ncbi.nlm.nih.gov/42839226/</w:t>
      </w:r>
    </w:p>
    <w:p>
      <w:pPr>
        <w:pStyle w:val="Heading2"/>
      </w:pPr>
      <w:r>
        <w:t>Typ-2-Diabetes: Nierenerkrankungsrate sank von 55,3 auf 43,7 pro 1000 Personenjahre</w:t>
      </w:r>
    </w:p>
    <w:p>
      <w:r>
        <w:rPr>
          <w:i/>
          <w:color w:val="666666"/>
          <w:sz w:val="18"/>
        </w:rPr>
        <w:t>Lee CJ et al.  ·  Diabetes Obes Metab  ·  09.08.2026  ·  PMID 42571988</w:t>
      </w:r>
    </w:p>
    <w:p>
      <w:r>
        <w:t>Dänische Registeranalyse zur Prävalenz, Inzidenz und Mortalität der chronischen Nierenerkrankung bei 1,3 Millionen Personen mit Typ-1 und Typ-2-Diabetes zwischen 2016 und 2024.</w:t>
      </w:r>
    </w:p>
    <w:p>
      <w:r>
        <w:rPr>
          <w:b/>
        </w:rPr>
        <w:t xml:space="preserve">Ergebnis: </w:t>
      </w:r>
      <w:r>
        <w:t>Die Prävalenz der Nierenerkrankung stieg bei Typ-2-Diabetes von 24,8 % auf 37,3 %, die Inzidenz sank aber von 55,3 auf 43,7 pro 1000 Personenjahre (Hochaltrigkeit ≥70 Jahre: von 93,6 auf 74,3), die Mortalität blieb bei Patienten mit Nierenerkrankung erhöht. Das zeigt Prävention wirkt, Früherkennung aber lückenhaft.</w:t>
      </w:r>
    </w:p>
    <w:p>
      <w:r>
        <w:rPr>
          <w:b/>
          <w:sz w:val="19"/>
        </w:rPr>
        <w:t xml:space="preserve">Übertragbarkeit: </w:t>
      </w:r>
      <w:r>
        <w:rPr>
          <w:sz w:val="19"/>
        </w:rPr>
        <w:t>Dänisches Register mit deutschen Strukturen vergleichbar, DMP-Daten könnten ähnliche Trends zeigen.</w:t>
      </w:r>
    </w:p>
    <w:p>
      <w:r>
        <w:rPr>
          <w:color w:val="5A7D3A"/>
          <w:sz w:val="18"/>
        </w:rPr>
        <w:t>https://pubmed.ncbi.nlm.nih.gov/42571988/</w:t>
      </w:r>
    </w:p>
    <w:p>
      <w:pPr>
        <w:pStyle w:val="Heading1"/>
      </w:pPr>
      <w:r>
        <w:t>Aufgenommen am 08.10.2026</w:t>
      </w:r>
    </w:p>
    <w:p>
      <w:pPr>
        <w:pStyle w:val="Heading2"/>
      </w:pPr>
      <w:r>
        <w:t>Präoperative Versorgungspfade für Patienten mit Mehrfacherkrankungen: kaum spezialisierte Programme vorhanden</w:t>
      </w:r>
    </w:p>
    <w:p>
      <w:r>
        <w:rPr>
          <w:i/>
          <w:color w:val="666666"/>
          <w:sz w:val="18"/>
        </w:rPr>
        <w:t>Mikula-Noble NM et al.  ·  BMJ Open  ·  07.10.2026  ·  PMID 42843878</w:t>
      </w:r>
    </w:p>
    <w:p>
      <w:r>
        <w:t>Systematische Übersicht über präoperative Interventionen für Patienten mit Mehrfacherkrankungen vor großen Operationen – Suche nach spezifischen Programmen für diese Hochrisikogruppe.</w:t>
      </w:r>
    </w:p>
    <w:p>
      <w:r>
        <w:rPr>
          <w:b/>
        </w:rPr>
        <w:t xml:space="preserve">Ergebnis: </w:t>
      </w:r>
      <w:r>
        <w:t>Von 138 Studien mit Mehrfacherkrankungskohorten wurden 34 eingeschlossen: nur 6 (18 %) diskutierten Interventionen für gemischte Kohorten, nur 3 (9 %) berichteten über allgemeine chirurgische Interventionen bei Mehrfacherkrankten. Es existieren praktisch keine auf Mehrfacherkrankung zugeschnittenen präoperativen Programme.</w:t>
      </w:r>
    </w:p>
    <w:p>
      <w:r>
        <w:rPr>
          <w:b/>
          <w:sz w:val="19"/>
        </w:rPr>
        <w:t xml:space="preserve">Übertragbarkeit: </w:t>
      </w:r>
      <w:r>
        <w:rPr>
          <w:sz w:val="19"/>
        </w:rPr>
        <w:t>Großbritannien – vergleichbare perioperative Strukturen und Dokumentation, Problem der fehlenden Spezialisierung übertragbar.</w:t>
      </w:r>
    </w:p>
    <w:p>
      <w:r>
        <w:rPr>
          <w:color w:val="5A7D3A"/>
          <w:sz w:val="18"/>
        </w:rPr>
        <w:t>https://pubmed.ncbi.nlm.nih.gov/42843878/</w:t>
      </w:r>
    </w:p>
    <w:p>
      <w:pPr>
        <w:pStyle w:val="Heading2"/>
      </w:pPr>
      <w:r>
        <w:t>Insulinresistenz sagte Hepatokarzinom bei viruskontrollierter Hepatitis B voraus</w:t>
      </w:r>
    </w:p>
    <w:p>
      <w:r>
        <w:rPr>
          <w:i/>
          <w:color w:val="666666"/>
          <w:sz w:val="18"/>
        </w:rPr>
        <w:t>Sinn DH et al.  ·  J Korean Med Sci  ·  05.10.2026  ·  PMID 42843350</w:t>
      </w:r>
    </w:p>
    <w:p>
      <w:r>
        <w:t>Prospektive Multizenterstudie an 334 HBV-Zirrhose-Patienten unter antiviraler Therapie zur Prognosevalenz der Insulinresistenz (HOMA2-IR) für HCC-Entwicklung.</w:t>
      </w:r>
    </w:p>
    <w:p>
      <w:r>
        <w:rPr>
          <w:b/>
        </w:rPr>
        <w:t xml:space="preserve">Ergebnis: </w:t>
      </w:r>
      <w:r>
        <w:t>Bei Median-Nachbeobachtung von 7,45 Jahren entwickelten 62 Patienten (18,6 %) HCC. Jede HOMA2-IR-Einheitssteigerung korrelierte mit erhöhtem HCC-Risiko (HR 1,53; 95 % KI 1,16–2,04). Patienten mit HOMA2-IR ≥ 2,3 hatten 5-Jahres-HCC-Inzidenz von 30,6 % versus 12,3 % bei HOMA2-IR &lt; 2,3 (adjustierte HR 2,62; 95 % KI 1,40–4,91).</w:t>
      </w:r>
    </w:p>
    <w:p>
      <w:r>
        <w:rPr>
          <w:b/>
          <w:sz w:val="19"/>
        </w:rPr>
        <w:t xml:space="preserve">Übertragbarkeit: </w:t>
      </w:r>
      <w:r>
        <w:rPr>
          <w:sz w:val="19"/>
        </w:rPr>
        <w:t>Südkorea – Multizenterstudie; Biomarker unabhängig vom Gesundheitssystem; aber HCC-Screening-Algorithmen regional unterschiedlich.</w:t>
      </w:r>
    </w:p>
    <w:p>
      <w:r>
        <w:rPr>
          <w:color w:val="5A7D3A"/>
          <w:sz w:val="18"/>
        </w:rPr>
        <w:t>https://pubmed.ncbi.nlm.nih.gov/42843350/</w:t>
      </w:r>
    </w:p>
    <w:p>
      <w:pPr>
        <w:pStyle w:val="Heading2"/>
      </w:pPr>
      <w:r>
        <w:t>Integrierte Atemwegsversorgung in Irland: Hausärzte berichten Chancen und Lücken</w:t>
      </w:r>
    </w:p>
    <w:p>
      <w:r>
        <w:rPr>
          <w:i/>
          <w:color w:val="666666"/>
          <w:sz w:val="18"/>
        </w:rPr>
        <w:t>O'Brien H et al.  ·  Prim Health Care Res Dev  ·  07.10.2026  ·  PMID 42839305</w:t>
      </w:r>
    </w:p>
    <w:p>
      <w:r>
        <w:t>Qualitative Befragung von 112 Hausärzten zur Umsetzung eines neuen Disease-Management-Programms für COPD und Asthma mit lokalen Fachteams in Irland.</w:t>
      </w:r>
    </w:p>
    <w:p>
      <w:r>
        <w:rPr>
          <w:b/>
        </w:rPr>
        <w:t xml:space="preserve">Ergebnis: </w:t>
      </w:r>
      <w:r>
        <w:t>87 % bewerteten integrierte Care-Hubs als gut bis ausgezeichnet und 84 % als überlegen gegenüber Krankenhausambulanzen, doch 52 % berichteten unzureichende Diagnostik, 45 % verzögerte Rückmeldungen und 50 % mangelnde Spezialunterstützung. Selbstberichtete Sicherheit in Leitlinienwissen moderat (7/10 für beide Erkrankungen), sehr niedrig bei Lungenfunktionstests (3/10).</w:t>
      </w:r>
    </w:p>
    <w:p>
      <w:r>
        <w:rPr>
          <w:b/>
          <w:sz w:val="19"/>
        </w:rPr>
        <w:t xml:space="preserve">Übertragbarkeit: </w:t>
      </w:r>
      <w:r>
        <w:rPr>
          <w:sz w:val="19"/>
        </w:rPr>
        <w:t>Irland – comparable Primarversorgung, ähnliche NHS-Finanzierung, jedoch spezifische Koordinationsstruktur.</w:t>
      </w:r>
    </w:p>
    <w:p>
      <w:r>
        <w:rPr>
          <w:color w:val="5A7D3A"/>
          <w:sz w:val="18"/>
        </w:rPr>
        <w:t>https://pubmed.ncbi.nlm.nih.gov/42839305/</w:t>
      </w:r>
    </w:p>
    <w:p>
      <w:pPr>
        <w:pStyle w:val="Heading2"/>
      </w:pPr>
      <w:r>
        <w:t>Dupilumab reduzierte Exazerbationen bei COPD mit Typ-2-Entzündung um 70 Prozent</w:t>
      </w:r>
    </w:p>
    <w:p>
      <w:r>
        <w:rPr>
          <w:i/>
          <w:color w:val="666666"/>
          <w:sz w:val="18"/>
        </w:rPr>
        <w:t>Abdo M et al.  ·  Respir Res  ·  06.10.2026  ·  PMID 42839285</w:t>
      </w:r>
    </w:p>
    <w:p>
      <w:r>
        <w:t>Multizentrische Analyse deutscher Kliniken zur Wirksamkeit von Dupilumab bei COPD-Patienten mit Typ-2-Entzündung unter Routinebedingungen.</w:t>
      </w:r>
    </w:p>
    <w:p>
      <w:r>
        <w:rPr>
          <w:b/>
        </w:rPr>
        <w:t xml:space="preserve">Ergebnis: </w:t>
      </w:r>
      <w:r>
        <w:t>Bei 99 Patienten sank die annualisierte Rate moderater bis schwerer Exazerbationen von 3,52 auf 1,04 pro Jahr (70 % Reduktion), der CAT-Score verbesserte sich um 4,5 Punkte, konsistent über Subgruppen hinweg. 8 Patienten zeigten keine Reduktion unter Behandlung.</w:t>
      </w:r>
    </w:p>
    <w:p>
      <w:r>
        <w:rPr>
          <w:b/>
          <w:sz w:val="19"/>
        </w:rPr>
        <w:t xml:space="preserve">Übertragbarkeit: </w:t>
      </w:r>
      <w:r>
        <w:rPr>
          <w:sz w:val="19"/>
        </w:rPr>
        <w:t>Deutsche Klinikdaten, vergleichbare Dokumentationspflichten und Versorgungsstruktur.</w:t>
      </w:r>
    </w:p>
    <w:p>
      <w:r>
        <w:rPr>
          <w:color w:val="5A7D3A"/>
          <w:sz w:val="18"/>
        </w:rPr>
        <w:t>https://pubmed.ncbi.nlm.nih.gov/42839285/</w:t>
      </w:r>
    </w:p>
    <w:p>
      <w:pPr>
        <w:pStyle w:val="Heading2"/>
      </w:pPr>
      <w:r>
        <w:t>Anhaltende Symptombelastung bei Lupus erythematodes: ein klinischer Phänotyp ähnlich ME/CFS identifiziert</w:t>
      </w:r>
    </w:p>
    <w:p>
      <w:r>
        <w:rPr>
          <w:i/>
          <w:color w:val="666666"/>
          <w:sz w:val="18"/>
        </w:rPr>
        <w:t>Habermann-Horstmeier L  ·  J Transl Med  ·  25.09.2026  ·  PMID 42806386</w:t>
      </w:r>
    </w:p>
    <w:p>
      <w:r>
        <w:t>Hypothesengenerierendes Rahmenwerk zur Charakterisierung einer Untergruppe von Patienten mit langjährigem systemischem Lupus erythematodes, die trotz niedriger Krankheitsaktivität persistierende Müdigkeit, Funktionsbeeinträchtigung und kognititive Symptome aufweisen.</w:t>
      </w:r>
    </w:p>
    <w:p>
      <w:r>
        <w:rPr>
          <w:b/>
        </w:rPr>
        <w:t xml:space="preserve">Ergebnis: </w:t>
      </w:r>
      <w:r>
        <w:t>Vorgeschlagene SLE-ME/CFS-Forschungsphänotyp kombiniert persistierende funktionslimitierende Symptome trotz Remission oder niedriger Aktivität mit Müdigkeit seit mindestens 6 Monaten, postexertioneller Symptomverschlechterung, unerquicklichem Schlaf und kognitiven Symptomen. Evidenz unterstützt Beteiligung residualer Immunaktivierung, oxidativen Stresses, Mitochondrienstörungen und Endotheldysfunktion.</w:t>
      </w:r>
    </w:p>
    <w:p>
      <w:r>
        <w:rPr>
          <w:b/>
          <w:sz w:val="19"/>
        </w:rPr>
        <w:t xml:space="preserve">Übertragbarkeit: </w:t>
      </w:r>
      <w:r>
        <w:rPr>
          <w:sz w:val="19"/>
        </w:rPr>
        <w:t>Deutschland – Literaturanalyse, Konzeptentwicklung; Validierung in Kohortenstudien notwendig, aber Phänotypisierung für Versorgung relevant.</w:t>
      </w:r>
    </w:p>
    <w:p>
      <w:r>
        <w:rPr>
          <w:color w:val="5A7D3A"/>
          <w:sz w:val="18"/>
        </w:rPr>
        <w:t>https://pubmed.ncbi.nlm.nih.gov/42806386/</w:t>
      </w:r>
    </w:p>
    <w:p>
      <w:pPr>
        <w:pStyle w:val="Heading2"/>
      </w:pPr>
      <w:r>
        <w:t>Kollagen-Abbau-Biomarker im Urin erfasst Fibrose über Organgrenzen hinweg</w:t>
      </w:r>
    </w:p>
    <w:p>
      <w:r>
        <w:rPr>
          <w:i/>
          <w:color w:val="666666"/>
          <w:sz w:val="18"/>
        </w:rPr>
        <w:t>Mina IK et al.  ·  Mol Med  ·  23.09.2026  ·  PMID 42778889</w:t>
      </w:r>
    </w:p>
    <w:p>
      <w:r>
        <w:t>Multikohorten-Proteomik-Studie zur Identifikation eines gemeinsamen Signatures von Kollagen-Typ-I-Abbau-Peptiden im Urin, das Leberfibrose, chronische Nierenerkrankung und Herzinsuffizienz charakterisiert.</w:t>
      </w:r>
    </w:p>
    <w:p>
      <w:r>
        <w:rPr>
          <w:b/>
        </w:rPr>
        <w:t xml:space="preserve">Ergebnis: </w:t>
      </w:r>
      <w:r>
        <w:t>50 Kollagen-Typ-I-Abbau-Produkte definierten eine gemeinsame Fibrose-Signatur; Support-Vector-Machine-Modell erreichte AUC 0,935 (95 % KI 0,917–0,953) in externer Validierung über gepoolte Erkrankungsgruppen, erhalten für Leber (AUC 0,917), Niere (0,951) und Herz (0,950). Modellwerte korrelierten mit Fibrosestadium in Leber und interstitieller Fibrose in Niere.</w:t>
      </w:r>
    </w:p>
    <w:p>
      <w:r>
        <w:rPr>
          <w:b/>
          <w:sz w:val="19"/>
        </w:rPr>
        <w:t xml:space="preserve">Übertragbarkeit: </w:t>
      </w:r>
      <w:r>
        <w:rPr>
          <w:sz w:val="19"/>
        </w:rPr>
        <w:t>Multinationale europäische und britische Kohorten, Urindiagnostik universell verfügbar; Fibrose-Screening unabhängig vom Organ übertragbar.</w:t>
      </w:r>
    </w:p>
    <w:p>
      <w:r>
        <w:rPr>
          <w:color w:val="5A7D3A"/>
          <w:sz w:val="18"/>
        </w:rPr>
        <w:t>https://pubmed.ncbi.nlm.nih.gov/42778889/</w:t>
      </w:r>
    </w:p>
    <w:p>
      <w:pPr>
        <w:pStyle w:val="Heading1"/>
      </w:pPr>
      <w:r>
        <w:t>Aufgenommen am 07.10.2026</w:t>
      </w:r>
    </w:p>
    <w:p>
      <w:pPr>
        <w:pStyle w:val="Heading2"/>
      </w:pPr>
      <w:r>
        <w:t>Chronische Nierenkrankheit in der Tertiärversorgung: Screening deckt Unterbehandlung auf</w:t>
      </w:r>
    </w:p>
    <w:p>
      <w:r>
        <w:rPr>
          <w:i/>
          <w:color w:val="666666"/>
          <w:sz w:val="18"/>
        </w:rPr>
        <w:t>Zahradka I et al.  ·  BMJ Open  ·  06.10.2026  ·  PMID 42838586</w:t>
      </w:r>
    </w:p>
    <w:p>
      <w:r>
        <w:t>Querschnittstudie an 2.903 Patienten in Tertiärkliniken Mitteleuropas zur Prävalenz chronischer Nierenkrankheit (CKD) und Nutzung renoprotek­tiver Therapien.</w:t>
      </w:r>
    </w:p>
    <w:p>
      <w:r>
        <w:rPr>
          <w:b/>
        </w:rPr>
        <w:t xml:space="preserve">Ergebnis: </w:t>
      </w:r>
      <w:r>
        <w:t>CKD-Prävalenz 32,5 %; eine neue Diagnose pro 5,2 Gescreente. Renoprotek­tive Therapie stark untergenutzt: SGLT2-Inhibitoren 42 %, GLP-1-Rezeptoragonisten 41,7 %, nichtsteroidale Mineralokortikoidrezeptorantagonisten 6,7 % der Berechtigten. Modellierte Gewinnchancen dialysefreier Zeit durch Therapieeinleitung: 11,13 Monate pro Patient im Durchschnitt.</w:t>
      </w:r>
    </w:p>
    <w:p>
      <w:r>
        <w:rPr>
          <w:b/>
          <w:sz w:val="19"/>
        </w:rPr>
        <w:t xml:space="preserve">Übertragbarkeit: </w:t>
      </w:r>
      <w:r>
        <w:rPr>
          <w:sz w:val="19"/>
        </w:rPr>
        <w:t>Tertiärzentrumsdaten; Übertragbarkeit auf spezialisierte Versorgung in Deutschland eingeschränkt</w:t>
      </w:r>
    </w:p>
    <w:p>
      <w:r>
        <w:rPr>
          <w:color w:val="5A7D3A"/>
          <w:sz w:val="18"/>
        </w:rPr>
        <w:t>https://pubmed.ncbi.nlm.nih.gov/42838586/</w:t>
      </w:r>
    </w:p>
    <w:p>
      <w:pPr>
        <w:pStyle w:val="Heading2"/>
      </w:pPr>
      <w:r>
        <w:t>Begrenzte antivirale Therapie der chronischen Hepatitis B: Mehr HBsAg-Verlust, aber häufige Rückfälle</w:t>
      </w:r>
    </w:p>
    <w:p>
      <w:r>
        <w:rPr>
          <w:i/>
          <w:color w:val="666666"/>
          <w:sz w:val="18"/>
        </w:rPr>
        <w:t>Gomez DP et al.  ·  J Viral Hepat  ·  Nov. 2026  ·  PMID 42834661</w:t>
      </w:r>
    </w:p>
    <w:p>
      <w:r>
        <w:t>Meta-Analyse von 4 randomisierten Studien (n=357) zu endlicher versus unbegrenzter Nukleosid(t)id-Therapie bei HBeAg-negativer chronischer Hepatitis B ohne Zirrhose.</w:t>
      </w:r>
    </w:p>
    <w:p>
      <w:r>
        <w:rPr>
          <w:b/>
        </w:rPr>
        <w:t xml:space="preserve">Ergebnis: </w:t>
      </w:r>
      <w:r>
        <w:t>Therapiebeendigung erhöhte HBsAg-Verlust (RR 5,02; KI 0,47–53,47, niedrige Evidenzsicherheit), aber markant virales Rezidiv (RR 23,09) und Therapierückfall (RR 21,94). Keine hepatische Dekompensation oder schwere unerwünschte Ereignisse. Strategie für selektierte, gut überwachte Patienten in Expertenzentren.</w:t>
      </w:r>
    </w:p>
    <w:p>
      <w:r>
        <w:rPr>
          <w:b/>
          <w:sz w:val="19"/>
        </w:rPr>
        <w:t xml:space="preserve">Übertragbarkeit: </w:t>
      </w:r>
      <w:r>
        <w:rPr>
          <w:sz w:val="19"/>
        </w:rPr>
        <w:t>Internationale RCT-Daten; Übertragbarkeit auf deutsches Versicherungssystem hoch</w:t>
      </w:r>
    </w:p>
    <w:p>
      <w:r>
        <w:rPr>
          <w:color w:val="5A7D3A"/>
          <w:sz w:val="18"/>
        </w:rPr>
        <w:t>https://pubmed.ncbi.nlm.nih.gov/42834661/</w:t>
      </w:r>
    </w:p>
    <w:p>
      <w:pPr>
        <w:pStyle w:val="Heading2"/>
      </w:pPr>
      <w:r>
        <w:t>Direktwirkende Antivirale bei Hepatitis C und Leberkrebs: Hohe Heilungsraten, erhaltene Leberfunktion</w:t>
      </w:r>
    </w:p>
    <w:p>
      <w:r>
        <w:rPr>
          <w:i/>
          <w:color w:val="666666"/>
          <w:sz w:val="18"/>
        </w:rPr>
        <w:t>Sato S et al.  ·  J Viral Hepat  ·  Nov. 2026  ·  PMID 42834589</w:t>
      </w:r>
    </w:p>
    <w:p>
      <w:r>
        <w:t>Retrospektive Kohortenstudie (n=690) zu Wirksamkeit und Leberfunktion nach direktwirkender antiviraler Therapie bei Hepatitis-C-Patienten mit und ohne Leberkrebs (HCC)-Vorgeschichte.</w:t>
      </w:r>
    </w:p>
    <w:p>
      <w:r>
        <w:rPr>
          <w:b/>
        </w:rPr>
        <w:t xml:space="preserve">Ergebnis: </w:t>
      </w:r>
      <w:r>
        <w:t>Gesamte SVR12-Rate 96,1 % über alle Gruppen, unabhängig von HCC-Vorgeschichte. ALBI-Score (Leberfunktion) verbesserte sich bei kurativer HCC-Behandlung (−2,35 zu −2,58, p&lt;0,001), blieb unter nicht-kurativer Behandlung stabil. Bei HCC-Rezidiv ALBI-Score verbessert (−2,31 zu −2,57, p&lt;0,001); &gt;90 % blieben Child-Pugh A.</w:t>
      </w:r>
    </w:p>
    <w:p>
      <w:r>
        <w:rPr>
          <w:b/>
          <w:sz w:val="19"/>
        </w:rPr>
        <w:t xml:space="preserve">Übertragbarkeit: </w:t>
      </w:r>
      <w:r>
        <w:rPr>
          <w:sz w:val="19"/>
        </w:rPr>
        <w:t>Japanisches Zentrum; Leberfunktionsergebnisse international vergleichbar</w:t>
      </w:r>
    </w:p>
    <w:p>
      <w:r>
        <w:rPr>
          <w:color w:val="5A7D3A"/>
          <w:sz w:val="18"/>
        </w:rPr>
        <w:t>https://pubmed.ncbi.nlm.nih.gov/42834589/</w:t>
      </w:r>
    </w:p>
    <w:p>
      <w:pPr>
        <w:pStyle w:val="Heading2"/>
      </w:pPr>
      <w:r>
        <w:t>Lebensqualität bei chronischer Nierenkrankheit: Bildungsstand und Einkommen entscheidend</w:t>
      </w:r>
    </w:p>
    <w:p>
      <w:r>
        <w:rPr>
          <w:i/>
          <w:color w:val="666666"/>
          <w:sz w:val="18"/>
        </w:rPr>
        <w:t>Akter F et al.  ·  BMJ Open  ·  05.10.2026  ·  PMID 42833721</w:t>
      </w:r>
    </w:p>
    <w:p>
      <w:r>
        <w:t>Querschnittstudie (n=315) in Bangladesch zur Identifikation von Profilen der gesundheitsbezogenen Lebensqualität bei CKD mittels latenter Profilanalyse und deren Prädiktoren.</w:t>
      </w:r>
    </w:p>
    <w:p>
      <w:r>
        <w:rPr>
          <w:b/>
        </w:rPr>
        <w:t xml:space="preserve">Ergebnis: </w:t>
      </w:r>
      <w:r>
        <w:t>Drei Qualitäts-Profile: niedrig (20,95 %), mittel (34,29 %), hoch (44,76 %). Höheres Einkommen und Bildung senken Risiko niedriger Lebensqualität; verheiratet und weniger Komorbiditäten erhöhen Wahrscheinlichkeit hoher Lebensqualität. Signifikante Prädiktoren: Einkommen, Bildung, Familienstand, Komorbiditätenanzahl (alle p&lt;0,05).</w:t>
      </w:r>
    </w:p>
    <w:p>
      <w:r>
        <w:rPr>
          <w:b/>
          <w:sz w:val="19"/>
        </w:rPr>
        <w:t xml:space="preserve">Übertragbarkeit: </w:t>
      </w:r>
      <w:r>
        <w:rPr>
          <w:sz w:val="19"/>
        </w:rPr>
        <w:t>Low-Resource-Setting; Patient-reported Outcomes-Methodik international anwendbar</w:t>
      </w:r>
    </w:p>
    <w:p>
      <w:r>
        <w:rPr>
          <w:color w:val="5A7D3A"/>
          <w:sz w:val="18"/>
        </w:rPr>
        <w:t>https://pubmed.ncbi.nlm.nih.gov/42833721/</w:t>
      </w:r>
    </w:p>
    <w:p>
      <w:pPr>
        <w:pStyle w:val="Heading2"/>
      </w:pPr>
      <w:r>
        <w:t>Verlängerte Fastenpausen beschleunigen Multimorbidität bei älteren Erwachsenen</w:t>
      </w:r>
    </w:p>
    <w:p>
      <w:r>
        <w:rPr>
          <w:i/>
          <w:color w:val="666666"/>
          <w:sz w:val="18"/>
        </w:rPr>
        <w:t>Kalmbach L et al.  ·  J Intern Med  ·  20.08.2026  ·  PMID 42621849</w:t>
      </w:r>
    </w:p>
    <w:p>
      <w:r>
        <w:t>Längskohorte (n=2.981, ≥60 Jahre) mit 15-jähriger Nachverfolgung zum Zusammenhang zwischen habitueller Fastendauer (längste Essenspause in 24h) und Akkumulation chronischer Erkrankungen.</w:t>
      </w:r>
    </w:p>
    <w:p>
      <w:r>
        <w:rPr>
          <w:b/>
        </w:rPr>
        <w:t xml:space="preserve">Ergebnis: </w:t>
      </w:r>
      <w:r>
        <w:t>Gegenüber kürzesten Fastenpausen (6–11,5 h) zeigten längste Pausen (14–24 h) steilere jährliche Zunahme Gesamtkrankheiten (β=0,119; KI 0,070–0,167), kardiovaskuläre (0,022; KI 0,006–0,038) und neuropsychiatrische Erkrankungen (0,019; KI 0,005–0,033). Effekt nur bei ≥78 Jahren signifikant (β=0,099; KI 0,031–0,168), nicht bei &lt;78 Jahren.</w:t>
      </w:r>
    </w:p>
    <w:p>
      <w:r>
        <w:rPr>
          <w:b/>
          <w:sz w:val="19"/>
        </w:rPr>
        <w:t xml:space="preserve">Übertragbarkeit: </w:t>
      </w:r>
      <w:r>
        <w:rPr>
          <w:sz w:val="19"/>
        </w:rPr>
        <w:t>Schwedische Bevölkerungskohorte; Altersgruppen übertragbar auf deutsche Versorgung</w:t>
      </w:r>
    </w:p>
    <w:p>
      <w:r>
        <w:rPr>
          <w:color w:val="5A7D3A"/>
          <w:sz w:val="18"/>
        </w:rPr>
        <w:t>https://pubmed.ncbi.nlm.nih.gov/42621849/</w:t>
      </w:r>
    </w:p>
    <w:p>
      <w:pPr>
        <w:pStyle w:val="Heading1"/>
      </w:pPr>
      <w:r>
        <w:t>Aufgenommen am 06.10.2026</w:t>
      </w:r>
    </w:p>
    <w:p>
      <w:pPr>
        <w:pStyle w:val="Heading2"/>
      </w:pPr>
      <w:r>
        <w:t>Hausarztpraxen für Flüchtlinge mit Hepatitis B besser geeignet als Spezialkliniken</w:t>
      </w:r>
    </w:p>
    <w:p>
      <w:r>
        <w:rPr>
          <w:i/>
          <w:color w:val="666666"/>
          <w:sz w:val="18"/>
        </w:rPr>
        <w:t>Fakhouri A et al.  ·  Aust J Prim Health  ·  20.10.2026  ·  PMID 42833621</w:t>
      </w:r>
    </w:p>
    <w:p>
      <w:r>
        <w:t>Qualitative australische Studie (15 semi-strukturierte Interviews): Erkundung, wie Hausarztpraxen für Flüchtlinge chronische Hepatitis-B-Versorgung gestalten und wo Verbesserungen nötig sind.</w:t>
      </w:r>
    </w:p>
    <w:p>
      <w:r>
        <w:rPr>
          <w:b/>
        </w:rPr>
        <w:t xml:space="preserve">Ergebnis: </w:t>
      </w:r>
      <w:r>
        <w:t>Hausarztpraxen bieten Vorteile: Comunity-Integration, Rapport, Dolmetscher-Services. Barrieren sind Gesundheitskompetenz und Kosten. Empfehlung: Finanzierung und Schulung von Hausarztpraxen zur HBV-Versorgung würden bessere Ergebnisse für vulnerable Bevölkerung bringen.</w:t>
      </w:r>
    </w:p>
    <w:p>
      <w:r>
        <w:rPr>
          <w:b/>
          <w:sz w:val="19"/>
        </w:rPr>
        <w:t xml:space="preserve">Übertragbarkeit: </w:t>
      </w:r>
      <w:r>
        <w:rPr>
          <w:sz w:val="19"/>
        </w:rPr>
        <w:t>Australien - hohes Einkommen, andere Struktur, aber Ungleichheitsfrage universell</w:t>
      </w:r>
    </w:p>
    <w:p>
      <w:r>
        <w:rPr>
          <w:color w:val="5A7D3A"/>
          <w:sz w:val="18"/>
        </w:rPr>
        <w:t>https://pubmed.ncbi.nlm.nih.gov/42833621/</w:t>
      </w:r>
    </w:p>
    <w:p>
      <w:pPr>
        <w:pStyle w:val="Heading2"/>
      </w:pPr>
      <w:r>
        <w:t>Ein Viertel der COPD-Patienten hat Exazerbationen trotz Doppel- oder Tripeltherapie</w:t>
      </w:r>
    </w:p>
    <w:p>
      <w:r>
        <w:rPr>
          <w:i/>
          <w:color w:val="666666"/>
          <w:sz w:val="18"/>
        </w:rPr>
        <w:t>Radovanovic D et al.  ·  Int J Chron Obstruct Pulmon Dis  ·  30.09.2026  ·  PMID 42831088</w:t>
      </w:r>
    </w:p>
    <w:p>
      <w:r>
        <w:t>Italienische GULP-Kohorte (1.111 COPD-Patienten): Exploratorische Analyse zur Häufigkeit anhaltender Symptome unter optimaler Erhaltungstherapie und Identifikation von Kandidaten für Biologika.</w:t>
      </w:r>
    </w:p>
    <w:p>
      <w:r>
        <w:rPr>
          <w:b/>
        </w:rPr>
        <w:t xml:space="preserve">Ergebnis: </w:t>
      </w:r>
      <w:r>
        <w:t>Von 1.111 Patienten hatten 286 (25,7%) ≥2 moderate oder ≥1 schwere Exazerbation/Jahr trotz Doppel- oder Tripeltherapie. Davon zeigten 51–75% hohe Symptombelastung (Dyspnoe, Husten, Sputum), nur 7,2% eosinophile COPD. Dupilumab in Italien für eosinophile exazerbierende COPD zugelassen.</w:t>
      </w:r>
    </w:p>
    <w:p>
      <w:r>
        <w:rPr>
          <w:b/>
          <w:sz w:val="19"/>
        </w:rPr>
        <w:t xml:space="preserve">Übertragbarkeit: </w:t>
      </w:r>
      <w:r>
        <w:rPr>
          <w:sz w:val="19"/>
        </w:rPr>
        <w:t>Italien, europäisches Sozialversicherungssystem, vergleichbare DMP-Struktur</w:t>
      </w:r>
    </w:p>
    <w:p>
      <w:r>
        <w:rPr>
          <w:color w:val="5A7D3A"/>
          <w:sz w:val="18"/>
        </w:rPr>
        <w:t>https://pubmed.ncbi.nlm.nih.gov/42831088/</w:t>
      </w:r>
    </w:p>
    <w:p>
      <w:pPr>
        <w:pStyle w:val="Heading2"/>
      </w:pPr>
      <w:r>
        <w:t>Schwere Fettleber assoziiert mit Fibrose bei chronischer Hepatitis B in Afrika</w:t>
      </w:r>
    </w:p>
    <w:p>
      <w:r>
        <w:rPr>
          <w:i/>
          <w:color w:val="666666"/>
          <w:sz w:val="18"/>
        </w:rPr>
        <w:t>Chabala FW et al.  ·  J Viral Hepat  ·  Nov. 2026  ·  PMID 42830592</w:t>
      </w:r>
    </w:p>
    <w:p>
      <w:r>
        <w:t>Multiländer-Studie (HEPSANET) mit 1.601 CHB-Patienten in sechs afrikanischen Ländern: Transiente Elastographie zeigte, dass schwere Steatose unabhängig mit erhöhtem Fibrose-Risiko verbunden war.</w:t>
      </w:r>
    </w:p>
    <w:p>
      <w:r>
        <w:rPr>
          <w:b/>
        </w:rPr>
        <w:t xml:space="preserve">Ergebnis: </w:t>
      </w:r>
      <w:r>
        <w:t>Schwere Steatose (CAP ≥280 dB/m) war mit 8,4% erhöhter Fibrose-Wahrscheinlichkeit assoziiert (95%-KI 1,9-14,9%). Milde und moderate Steatose zeigten diese Assoziation nicht. Prävalenz von Fettleber: 26,3%, davon 13,7% schwer.</w:t>
      </w:r>
    </w:p>
    <w:p>
      <w:r>
        <w:rPr>
          <w:b/>
          <w:sz w:val="19"/>
        </w:rPr>
        <w:t xml:space="preserve">Übertragbarkeit: </w:t>
      </w:r>
      <w:r>
        <w:rPr>
          <w:sz w:val="19"/>
        </w:rPr>
        <w:t>Afrika, andere Soziostruktur - Screening-Implikation übertragbar</w:t>
      </w:r>
    </w:p>
    <w:p>
      <w:r>
        <w:rPr>
          <w:color w:val="5A7D3A"/>
          <w:sz w:val="18"/>
        </w:rPr>
        <w:t>https://pubmed.ncbi.nlm.nih.gov/42830592/</w:t>
      </w:r>
    </w:p>
    <w:p>
      <w:pPr>
        <w:pStyle w:val="Heading2"/>
      </w:pPr>
      <w:r>
        <w:t>Bewegung reduzierte Mortalität und Leberversagen bei chronischer Hepatitis B um 11 Prozent</w:t>
      </w:r>
    </w:p>
    <w:p>
      <w:r>
        <w:rPr>
          <w:i/>
          <w:color w:val="666666"/>
          <w:sz w:val="18"/>
        </w:rPr>
        <w:t>Song BG et al.  ·  J Viral Hepat  ·  Nov. 2026  ·  PMID 42830566</w:t>
      </w:r>
    </w:p>
    <w:p>
      <w:r>
        <w:t>Südkoreanische Kohortenstudie mit 318.131 CHB-Patienten: Wer körperliche Aktivität aufnahm, hatte niedrigere Risiken für Tod und Komplikationen als körperlich Inaktive.</w:t>
      </w:r>
    </w:p>
    <w:p>
      <w:r>
        <w:rPr>
          <w:b/>
        </w:rPr>
        <w:t xml:space="preserve">Ergebnis: </w:t>
      </w:r>
      <w:r>
        <w:t>Hazard Ratio für Mortalität 0,89 (95%-KI 0,84-0,94) bei Aufnahme von Ausdaueraktivität; für Leberversagen subdistribution HR 0,94 (95%-KI 0,92-0,97) über 7,9 Jahre Nachfolge. Der Effekt war stärker in älteren, weiblichen und nicht-rauchenden Patienten.</w:t>
      </w:r>
    </w:p>
    <w:p>
      <w:r>
        <w:rPr>
          <w:b/>
          <w:sz w:val="19"/>
        </w:rPr>
        <w:t xml:space="preserve">Übertragbarkeit: </w:t>
      </w:r>
      <w:r>
        <w:rPr>
          <w:sz w:val="19"/>
        </w:rPr>
        <w:t>Südkorea - vergleichbares Gesundheitssystem, Versicherungsdaten hochwertig</w:t>
      </w:r>
    </w:p>
    <w:p>
      <w:r>
        <w:rPr>
          <w:color w:val="5A7D3A"/>
          <w:sz w:val="18"/>
        </w:rPr>
        <w:t>https://pubmed.ncbi.nlm.nih.gov/42830566/</w:t>
      </w:r>
    </w:p>
    <w:p>
      <w:pPr>
        <w:pStyle w:val="Heading2"/>
      </w:pPr>
      <w:r>
        <w:t>Chronische Erkrankungen bei Kindern: Register unterschätzen Prävalenz um mindestens 10 Prozent</w:t>
      </w:r>
    </w:p>
    <w:p>
      <w:r>
        <w:rPr>
          <w:i/>
          <w:color w:val="666666"/>
          <w:sz w:val="18"/>
        </w:rPr>
        <w:t>Andersen A et al.  ·  Eur J Pediatr  ·  03.10.2026  ·  PMID 42828548</w:t>
      </w:r>
    </w:p>
    <w:p>
      <w:r>
        <w:t>Dänische Studie: Verglich nationale Register mit Selbstberichten auf Prävalenz chronischer Erkrankungen bei Kindern und Jugendlichen; Registerbasierte Methode erfasst nur einen Teil.</w:t>
      </w:r>
    </w:p>
    <w:p>
      <w:r>
        <w:rPr>
          <w:b/>
        </w:rPr>
        <w:t xml:space="preserve">Ergebnis: </w:t>
      </w:r>
      <w:r>
        <w:t>Register zeigten Prävalenz 9,3–22,0% je nach Alter und Geschlecht; Selbstberichte 28,4–34,2%. 14,6–15,3% der Jugendlichen mit selbstberichteter chronischer Erkrankung waren im Alltag beeinträchtigt – im Register nicht sichtbar.</w:t>
      </w:r>
    </w:p>
    <w:p>
      <w:r>
        <w:rPr>
          <w:b/>
          <w:sz w:val="19"/>
        </w:rPr>
        <w:t xml:space="preserve">Übertragbarkeit: </w:t>
      </w:r>
      <w:r>
        <w:rPr>
          <w:sz w:val="19"/>
        </w:rPr>
        <w:t>Dänemark - skandinavisches System, enge Datenbankqualität wie in Deutschland, Methodenfrage universal</w:t>
      </w:r>
    </w:p>
    <w:p>
      <w:r>
        <w:rPr>
          <w:color w:val="5A7D3A"/>
          <w:sz w:val="18"/>
        </w:rPr>
        <w:t>https://pubmed.ncbi.nlm.nih.gov/42828548/</w:t>
      </w:r>
    </w:p>
    <w:p>
      <w:pPr>
        <w:pStyle w:val="Heading2"/>
      </w:pPr>
      <w:r>
        <w:t>Biologika spielen zentrale Rolle in schwerem Asthma, COPD-Klassifikation vereinfacht</w:t>
      </w:r>
    </w:p>
    <w:p>
      <w:r>
        <w:rPr>
          <w:i/>
          <w:color w:val="666666"/>
          <w:sz w:val="18"/>
        </w:rPr>
        <w:t>Salah Manoh JL et al.  ·  Rev Med Suisse  ·  23.09.2026  ·  PMID 42779315</w:t>
      </w:r>
    </w:p>
    <w:p>
      <w:r>
        <w:t>Schweizer Reviewartikel (nicht empirisch): Aktuelle GOLD- und globale Guidelines zur COPD und Asthma – Vereinfachung der COPD-Stratifizierung, erweiterte Rolle von Biologika, geänderte Exazerbationsdefinition.</w:t>
      </w:r>
    </w:p>
    <w:p>
      <w:r>
        <w:rPr>
          <w:b/>
        </w:rPr>
        <w:t xml:space="preserve">Ergebnis: </w:t>
      </w:r>
      <w:r>
        <w:t>COPD wird nun in nur 3 Gruppen eingeteilt (A, B, E); eine einzelne moderate Exazerbation reicht für Hochrisiko-Kategorie E. Asthma: Biologika zentral in schwerer Form, Salbutamol-Monotherapie nicht mehr empfohlen.</w:t>
      </w:r>
    </w:p>
    <w:p>
      <w:r>
        <w:rPr>
          <w:b/>
          <w:sz w:val="19"/>
        </w:rPr>
        <w:t xml:space="preserve">Übertragbarkeit: </w:t>
      </w:r>
      <w:r>
        <w:rPr>
          <w:sz w:val="19"/>
        </w:rPr>
        <w:t>Schweiz, vergleichbares Versicherungssystem, Leitlinien gelten auch in Deutschland</w:t>
      </w:r>
    </w:p>
    <w:p>
      <w:r>
        <w:rPr>
          <w:color w:val="5A7D3A"/>
          <w:sz w:val="18"/>
        </w:rPr>
        <w:t>https://pubmed.ncbi.nlm.nih.gov/42779315/</w:t>
      </w:r>
    </w:p>
    <w:p>
      <w:pPr>
        <w:pStyle w:val="Heading1"/>
      </w:pPr>
      <w:r>
        <w:t>Aufgenommen am 05.10.2026</w:t>
      </w:r>
    </w:p>
    <w:p>
      <w:pPr>
        <w:pStyle w:val="Heading2"/>
      </w:pPr>
      <w:r>
        <w:t>Glucose Disposal Rate assoziiert mit chronischer Nierenkrankheit bei älteren Diabetikern</w:t>
      </w:r>
    </w:p>
    <w:p>
      <w:r>
        <w:rPr>
          <w:i/>
          <w:color w:val="666666"/>
          <w:sz w:val="18"/>
        </w:rPr>
        <w:t>Chen X et al.  ·  Clin Interv Aging  ·  28.09.2026  ·  PMID 42829537</w:t>
      </w:r>
    </w:p>
    <w:p>
      <w:r>
        <w:t>Querschnittsstudie mit 713 älteren (≥60 J.) Typ-2-Diabetes-Patienten aus Zhejiang, China; CKD nach eGFR oder UACR definiert.</w:t>
      </w:r>
    </w:p>
    <w:p>
      <w:r>
        <w:rPr>
          <w:b/>
        </w:rPr>
        <w:t xml:space="preserve">Ergebnis: </w:t>
      </w:r>
      <w:r>
        <w:t>Pro 1-Unit eGDR-Anstieg: OR 0,78 (95%-KI 0,70–0,86) für CKD. Höchstes vs. niedrigstes Tertil: OR 0,31 (95%-KI 0,20–0,48). Linear inverse Beziehung (RCS p&gt;0,05). eGDR inversiv mit UACR (ρ=−0,277, p&lt;0,001), nicht mit eGFR. AUC 0,65 – Diskriminationsfähigkeit bescheiden; prospektive Studien nötig.</w:t>
      </w:r>
    </w:p>
    <w:p>
      <w:r>
        <w:rPr>
          <w:b/>
          <w:sz w:val="19"/>
        </w:rPr>
        <w:t xml:space="preserve">Übertragbarkeit: </w:t>
      </w:r>
      <w:r>
        <w:rPr>
          <w:sz w:val="19"/>
        </w:rPr>
        <w:t>China – Mechanismus für deutsches DMP-System bedingt übertragbar</w:t>
      </w:r>
    </w:p>
    <w:p>
      <w:r>
        <w:rPr>
          <w:color w:val="5A7D3A"/>
          <w:sz w:val="18"/>
        </w:rPr>
        <w:t>https://pubmed.ncbi.nlm.nih.gov/42829537/</w:t>
      </w:r>
    </w:p>
    <w:p>
      <w:pPr>
        <w:pStyle w:val="Heading2"/>
      </w:pPr>
      <w:r>
        <w:t>COPD erhöht Sturz- und Osteoporoserisiko deutlich</w:t>
      </w:r>
    </w:p>
    <w:p>
      <w:r>
        <w:rPr>
          <w:i/>
          <w:color w:val="666666"/>
          <w:sz w:val="18"/>
        </w:rPr>
        <w:t>Liu P et al.  ·  Int J Chron Obstruct Pulmon Dis  ·  28.09.2026  ·  PMID 42827947</w:t>
      </w:r>
    </w:p>
    <w:p>
      <w:r>
        <w:t>Kohortenstudie mit 474.669 UK-Biobank-Teilnehmern untersuchte die Assoziation von COPD mit Stürzen und Osteoporose über 12 Jahre.</w:t>
      </w:r>
    </w:p>
    <w:p>
      <w:r>
        <w:rPr>
          <w:b/>
        </w:rPr>
        <w:t xml:space="preserve">Ergebnis: </w:t>
      </w:r>
      <w:r>
        <w:t>COPD war assoziiert mit höherem Sturzrisiko (HR 1,51; 95%-KI 1,45–1,58) und Osteoporoserisiko (HR 2,37; 95%-KI 2,22–2,53). Rauchen modifizierte die Sturzassoziation (aktuelle Raucher HR 1,77 vs. Niemals-Raucher HR 1,37). Die Befunde zeigen bedeutsame Mehrfacherkrankungen bei COPD.</w:t>
      </w:r>
    </w:p>
    <w:p>
      <w:r>
        <w:rPr>
          <w:b/>
          <w:sz w:val="19"/>
        </w:rPr>
        <w:t xml:space="preserve">Übertragbarkeit: </w:t>
      </w:r>
      <w:r>
        <w:rPr>
          <w:sz w:val="19"/>
        </w:rPr>
        <w:t>UK-Biobank mit vergleichbar strukturiertem Gesundheitssystem</w:t>
      </w:r>
    </w:p>
    <w:p>
      <w:r>
        <w:rPr>
          <w:color w:val="5A7D3A"/>
          <w:sz w:val="18"/>
        </w:rPr>
        <w:t>https://pubmed.ncbi.nlm.nih.gov/42827947/</w:t>
      </w:r>
    </w:p>
    <w:p>
      <w:pPr>
        <w:pStyle w:val="Heading2"/>
      </w:pPr>
      <w:r>
        <w:t>SGLT2-Inhibitoren bei Diabetes mit chronischer Nierenkrankheit: Meta-Analyse</w:t>
      </w:r>
    </w:p>
    <w:p>
      <w:r>
        <w:rPr>
          <w:i/>
          <w:color w:val="666666"/>
          <w:sz w:val="18"/>
        </w:rPr>
        <w:t>Shi X et al.  ·  Medicine (Baltimore)  ·  02.10.2026  ·  PMID 42826278</w:t>
      </w:r>
    </w:p>
    <w:p>
      <w:r>
        <w:t>Systematische Übersicht und Meta-Analyse von 17 RCTs mit 29.192 Patienten mit Diabetes und CKD zur Wirksamkeit von SGLT2-Inhibitoren.</w:t>
      </w:r>
    </w:p>
    <w:p>
      <w:r>
        <w:rPr>
          <w:b/>
        </w:rPr>
        <w:t xml:space="preserve">Ergebnis: </w:t>
      </w:r>
      <w:r>
        <w:t>SGLT2-Inhibitoren reduzierten HbA1c (−0,40 %), Körpergewicht (−1,36 kg) und Blutdruck (−2,98 mmHg systolisch); eGFR und Albuminurie neutral kurzfristig (p&gt;0,05). Volumendepletion-Ereignisse erhöht (RR 1,36; 95%-KI 1,16–1,59). Kardiorenal-protektive Effekte langfristig dokumentiert, Monitoring essentiell.</w:t>
      </w:r>
    </w:p>
    <w:p>
      <w:r>
        <w:rPr>
          <w:b/>
          <w:sz w:val="19"/>
        </w:rPr>
        <w:t xml:space="preserve">Übertragbarkeit: </w:t>
      </w:r>
      <w:r>
        <w:rPr>
          <w:sz w:val="19"/>
        </w:rPr>
        <w:t>Europäische und deutsche Registerstudien zur SGLT2-Anwendung vorhanden</w:t>
      </w:r>
    </w:p>
    <w:p>
      <w:r>
        <w:rPr>
          <w:color w:val="5A7D3A"/>
          <w:sz w:val="18"/>
        </w:rPr>
        <w:t>https://pubmed.ncbi.nlm.nih.gov/42826278/</w:t>
      </w:r>
    </w:p>
    <w:p>
      <w:pPr>
        <w:pStyle w:val="Heading2"/>
      </w:pPr>
      <w:r>
        <w:t>SIRI-Index prognostiziert Mortalität bei COPD-Exazerbation</w:t>
      </w:r>
    </w:p>
    <w:p>
      <w:r>
        <w:rPr>
          <w:i/>
          <w:color w:val="666666"/>
          <w:sz w:val="18"/>
        </w:rPr>
        <w:t>Bai Y  ·  Medicine (Baltimore)  ·  02.10.2026  ·  PMID 42826271</w:t>
      </w:r>
    </w:p>
    <w:p>
      <w:r>
        <w:t>Retrospektive Kohortenanalyse aus MIMIC-III-Datenbank: 426 AECOPD-Patienten; 30-Tage-Mortalität 26,6 %.</w:t>
      </w:r>
    </w:p>
    <w:p>
      <w:r>
        <w:rPr>
          <w:b/>
        </w:rPr>
        <w:t xml:space="preserve">Ergebnis: </w:t>
      </w:r>
      <w:r>
        <w:t>SIRI (Systemische Inflammations-Response-Index) war unabhängiger Risikofaktor für 30-Tage-Mortalität (HR 1,743; 95%-KI 1,169–2,598; p=0,006). Optimaler Schwellwert 10,56 × 10⁹/L. AUC 0,612 besser als WBC/Neutrophile (0,584/0,557), ähnlich SOFA (0,619). SIRI könnte Triage und Prognose in der Akutversorgung lenken.</w:t>
      </w:r>
    </w:p>
    <w:p>
      <w:r>
        <w:rPr>
          <w:b/>
          <w:sz w:val="19"/>
        </w:rPr>
        <w:t xml:space="preserve">Übertragbarkeit: </w:t>
      </w:r>
      <w:r>
        <w:rPr>
          <w:sz w:val="19"/>
        </w:rPr>
        <w:t>Intensivmedizinische Datenbanken in Deutschland ähnlich verfügbar</w:t>
      </w:r>
    </w:p>
    <w:p>
      <w:r>
        <w:rPr>
          <w:color w:val="5A7D3A"/>
          <w:sz w:val="18"/>
        </w:rPr>
        <w:t>https://pubmed.ncbi.nlm.nih.gov/42826271/</w:t>
      </w:r>
    </w:p>
    <w:p>
      <w:pPr>
        <w:pStyle w:val="Heading2"/>
      </w:pPr>
      <w:r>
        <w:t>Nebulisiertes Furosemid plus Bronchodilatatoren senkt Symptome und Entzündung bei COPD-Exazerbation</w:t>
      </w:r>
    </w:p>
    <w:p>
      <w:r>
        <w:rPr>
          <w:i/>
          <w:color w:val="666666"/>
          <w:sz w:val="18"/>
        </w:rPr>
        <w:t>Behi M et al.  ·  Iran J Allergy Asthma Immunol  ·  12.08.2026  ·  PMID 42825900</w:t>
      </w:r>
    </w:p>
    <w:p>
      <w:r>
        <w:t>Randomisierte kontrollierte Studie mit 92 hospitalisierten COPD-Exazerbationspatienten verglich Salbutamol-Ipratropium allein versus mit Furosemid (20 mg).</w:t>
      </w:r>
    </w:p>
    <w:p>
      <w:r>
        <w:rPr>
          <w:b/>
        </w:rPr>
        <w:t xml:space="preserve">Ergebnis: </w:t>
      </w:r>
      <w:r>
        <w:t>Interventionsgruppe zeigte signifikante Verbesserungen: mMRC- und CAT-Scores abgesunken, FEV₁/FVC-Ratio erhöht, IL-6 und IL-8 abgesunken (p&lt;0,05), höhere PaO₂ und niedrigere PaCO₂. Keine Nebenwirkungen berichtet. Adjuvante Therapie verbesserte Lungenfunktion und reduzierte Systementzündung.</w:t>
      </w:r>
    </w:p>
    <w:p>
      <w:r>
        <w:rPr>
          <w:b/>
          <w:sz w:val="19"/>
        </w:rPr>
        <w:t xml:space="preserve">Übertragbarkeit: </w:t>
      </w:r>
      <w:r>
        <w:rPr>
          <w:sz w:val="19"/>
        </w:rPr>
        <w:t>Iran – Machbarkeit für strukturierte Inhalationstherapieprogramme prüfen</w:t>
      </w:r>
    </w:p>
    <w:p>
      <w:r>
        <w:rPr>
          <w:color w:val="5A7D3A"/>
          <w:sz w:val="18"/>
        </w:rPr>
        <w:t>https://pubmed.ncbi.nlm.nih.gov/42825900/</w:t>
      </w:r>
    </w:p>
    <w:p>
      <w:pPr>
        <w:pStyle w:val="Heading2"/>
      </w:pPr>
      <w:r>
        <w:t>Unreife Neutrophilen und erhöhte Myeloperoxidase bei CKD mit kardiovaskulären Komorbiditäten</w:t>
      </w:r>
    </w:p>
    <w:p>
      <w:r>
        <w:rPr>
          <w:i/>
          <w:color w:val="666666"/>
          <w:sz w:val="18"/>
        </w:rPr>
        <w:t>Vondenhoff S et al.  ·  Acta Physiol (Oxf)  ·  Sept. 2026  ·  PMID 42613304</w:t>
      </w:r>
    </w:p>
    <w:p>
      <w:r>
        <w:t>Vergleichende Flow-Cytometrie-Studie an zwei unabhängigen Kohorten männlicher CKD-Patienten (moderat bis fortgeschritten) versus gesunde Kontrollen.</w:t>
      </w:r>
    </w:p>
    <w:p>
      <w:r>
        <w:rPr>
          <w:b/>
        </w:rPr>
        <w:t xml:space="preserve">Ergebnis: </w:t>
      </w:r>
      <w:r>
        <w:t>CKD-Patienten zeigten reduzierte CD10-Expression auf Neutrophilen und erhöhte Plasma-Myeloperoxidase unabhängig von Entzündungsgrad oder NT-proBNP (p&lt;0,001). Unreife Neutrophilen-Phänotyp war kardiorenal-übergreifend konsistent, könnte zum erhöhten kardiovaskulären Risiko beitragen.</w:t>
      </w:r>
    </w:p>
    <w:p>
      <w:r>
        <w:rPr>
          <w:b/>
          <w:sz w:val="19"/>
        </w:rPr>
        <w:t xml:space="preserve">Übertragbarkeit: </w:t>
      </w:r>
      <w:r>
        <w:rPr>
          <w:sz w:val="19"/>
        </w:rPr>
        <w:t>Deutsche Krankenhaus-Daten zur Neutrophilen-Phenotypisierung verfügbar</w:t>
      </w:r>
    </w:p>
    <w:p>
      <w:r>
        <w:rPr>
          <w:color w:val="5A7D3A"/>
          <w:sz w:val="18"/>
        </w:rPr>
        <w:t>https://pubmed.ncbi.nlm.nih.gov/42613304/</w:t>
      </w:r>
    </w:p>
    <w:p>
      <w:pPr>
        <w:pStyle w:val="Heading1"/>
      </w:pPr>
      <w:r>
        <w:t>Aufgenommen am 04.10.2026</w:t>
      </w:r>
    </w:p>
    <w:p>
      <w:pPr>
        <w:pStyle w:val="Heading2"/>
      </w:pPr>
      <w:r>
        <w:t>Integriertes NCD-Screening in HIV- und COVID-Kliniken verbessert Früherkennung um 74 %</w:t>
      </w:r>
    </w:p>
    <w:p>
      <w:r>
        <w:rPr>
          <w:i/>
          <w:color w:val="666666"/>
          <w:sz w:val="18"/>
        </w:rPr>
        <w:t>Jithoo N et al.  ·  Front Public Health  ·  17.09.2026  ·  PMID 42824930</w:t>
      </w:r>
    </w:p>
    <w:p>
      <w:r>
        <w:t>Südafrika: Pilotprojekt zur Integration von Screening auf chronische Erkrankungen (Nierenerkrankung, Übergewicht, Dyslipidämie) in bestehende HIV- und COVID-19-Impfkliniken bei 461 Teilnehmern; Prävalenz neuer Diagnosen und Versorgungsgaps untersucht.</w:t>
      </w:r>
    </w:p>
    <w:p>
      <w:r>
        <w:rPr>
          <w:b/>
        </w:rPr>
        <w:t xml:space="preserve">Ergebnis: </w:t>
      </w:r>
      <w:r>
        <w:t>73,9 % der Teilnehmer erhielten neue NCD-Diagnosen: Nierenerkrankung (31,7 %), Adipositas (28,9 %), Dyslipidämie (25,8 %). Modifizierbare kardiovaskuläre Risikofaktoren waren weit verbreitet: Adipositas (63,9 %), Alkoholkonsum (50 %). Integriertes Screening erwies sich als machbar und bot Gelegenheit für frühe Intervention.</w:t>
      </w:r>
    </w:p>
    <w:p>
      <w:r>
        <w:rPr>
          <w:b/>
          <w:sz w:val="19"/>
        </w:rPr>
        <w:t xml:space="preserve">Übertragbarkeit: </w:t>
      </w:r>
      <w:r>
        <w:rPr>
          <w:sz w:val="19"/>
        </w:rPr>
        <w:t>Ressourcenbegrenzte Länder, ähnliche Gesundheitssystem-Herausforderungen wie LMIC</w:t>
      </w:r>
    </w:p>
    <w:p>
      <w:r>
        <w:rPr>
          <w:color w:val="5A7D3A"/>
          <w:sz w:val="18"/>
        </w:rPr>
        <w:t>https://pubmed.ncbi.nlm.nih.gov/42824930/</w:t>
      </w:r>
    </w:p>
    <w:p>
      <w:pPr>
        <w:pStyle w:val="Heading2"/>
      </w:pPr>
      <w:r>
        <w:t>Untergewicht vorhersagt Nierenerkrankung bei Typ-2-Diabetes besser als Adipositas</w:t>
      </w:r>
    </w:p>
    <w:p>
      <w:r>
        <w:rPr>
          <w:i/>
          <w:color w:val="666666"/>
          <w:sz w:val="18"/>
        </w:rPr>
        <w:t>Chung SM et al.  ·  Front Endocrinol (Lausanne)  ·  17.09.2026  ·  PMID 42823990</w:t>
      </w:r>
    </w:p>
    <w:p>
      <w:r>
        <w:t>Südkorea: Nationale Kohortenstudie (1.824.317 Erwachsene ≥40 Jahre mit Typ-2-Diabetes): Assoziation zwischen BMI, Taillenumfang und Inzidenz von Nierenerkrankung (definiert nach altersgerechten eGFR-Schwellwerten) über 4 Jahre Follow-up, stratifiziert nach Alter und Geschlecht.</w:t>
      </w:r>
    </w:p>
    <w:p>
      <w:r>
        <w:rPr>
          <w:b/>
        </w:rPr>
        <w:t xml:space="preserve">Ergebnis: </w:t>
      </w:r>
      <w:r>
        <w:t>CKD-Inzidenz: 2,8 % (Untergewicht), 2,3 % (keine Adipositas), 2,9 % (Übergewicht). Untergewicht mit höherem CKD-Risiko als Übergewicht assoziiert (OR 1,41 [95%-KI 1,29–1,54] vs. OR 1,03 [1,01–1,05]). Alters-/Geschlechts-stratifiziert: Untergewicht durchgängig erhöhtes Risiko, bes. mittelalte Männer; Übergewicht nur bei Frauen mit erhöhtem Risiko. Befund erklärt bisherige Inkonsistenzen in Adipositas-CKD-Assoziationen.</w:t>
      </w:r>
    </w:p>
    <w:p>
      <w:r>
        <w:rPr>
          <w:b/>
          <w:sz w:val="19"/>
        </w:rPr>
        <w:t xml:space="preserve">Übertragbarkeit: </w:t>
      </w:r>
      <w:r>
        <w:rPr>
          <w:sz w:val="19"/>
        </w:rPr>
        <w:t>Südkorea, großes Register; Adipositas-Paradoxon relevant für stratifizierte Prävention, aber regionales Modell unklar</w:t>
      </w:r>
    </w:p>
    <w:p>
      <w:r>
        <w:rPr>
          <w:color w:val="5A7D3A"/>
          <w:sz w:val="18"/>
        </w:rPr>
        <w:t>https://pubmed.ncbi.nlm.nih.gov/42823990/</w:t>
      </w:r>
    </w:p>
    <w:p>
      <w:pPr>
        <w:pStyle w:val="Heading2"/>
      </w:pPr>
      <w:r>
        <w:t>Klinische Phänotypisierung identifiziert Hochrisiko-COPD-Patienten mit raschem FEV1-Verlust</w:t>
      </w:r>
    </w:p>
    <w:p>
      <w:r>
        <w:rPr>
          <w:i/>
          <w:color w:val="666666"/>
          <w:sz w:val="18"/>
        </w:rPr>
        <w:t>Yang Z et al.  ·  Ann Med  ·  01.10.2026  ·  PMID 42817919</w:t>
      </w:r>
    </w:p>
    <w:p>
      <w:r>
        <w:t>Chinesische Kohortenstudie (38.863 COPD-Patienten, 1.215 mit Verlaufsparametern): Latent-Class-Analyse zur Identifikation klinischer Phänotypen; Machine Learning-Modell zur Vorhersage raschen Lungenfunktionsabbaus (FEV1-Abfall ≥40 mL/Jahr oder &gt;1,5% predicted).</w:t>
      </w:r>
    </w:p>
    <w:p>
      <w:r>
        <w:rPr>
          <w:b/>
        </w:rPr>
        <w:t xml:space="preserve">Ergebnis: </w:t>
      </w:r>
      <w:r>
        <w:t>Drei Phänotypen identifiziert: Phänotyp 1 (25,8 %, GOLD Stadium 2, nicht-rauchende Frauen), Phänotyp 2 (44,8 %, GOLD Stadium 1, rauchende Männer), Phänotyp 3 (29,4 %, GOLD Stadium 3, intensive Raucher). Phänotyp 2 zeigte höchste Verfall-Rate (55,8 %). Das CatBoost-Modell erreichte AUC 0,712; bei Schwellenwert 0,365: Sensitivität 95,5 %, negativer Vorhersagewert 86,4 %. Sechs einfache Prädiktoren: Region, Brennstofftyp, Einkommensstufe, Pfeifen, Hüftumfang, Basis-FEV1.</w:t>
      </w:r>
    </w:p>
    <w:p>
      <w:r>
        <w:rPr>
          <w:b/>
          <w:sz w:val="19"/>
        </w:rPr>
        <w:t xml:space="preserve">Übertragbarkeit: </w:t>
      </w:r>
      <w:r>
        <w:rPr>
          <w:sz w:val="19"/>
        </w:rPr>
        <w:t>China, großes Register; Phänotypisierung für Zielgruppendefinition relevant, Übertragbarkeit auf deutsche Phänotypen unklar</w:t>
      </w:r>
    </w:p>
    <w:p>
      <w:r>
        <w:rPr>
          <w:color w:val="5A7D3A"/>
          <w:sz w:val="18"/>
        </w:rPr>
        <w:t>https://pubmed.ncbi.nlm.nih.gov/42817919/</w:t>
      </w:r>
    </w:p>
    <w:p>
      <w:pPr>
        <w:pStyle w:val="Heading2"/>
      </w:pPr>
      <w:r>
        <w:t>Leitliniengerechte Antibiotika senken 30-Tage-Komplikationen bei COPD-Exazerbationen</w:t>
      </w:r>
    </w:p>
    <w:p>
      <w:r>
        <w:rPr>
          <w:i/>
          <w:color w:val="666666"/>
          <w:sz w:val="18"/>
        </w:rPr>
        <w:t>Perales-Muñoz R et al.  ·  Rev Esp Quimioter  ·  21.09.2026  ·  PMID 42768888</w:t>
      </w:r>
    </w:p>
    <w:p>
      <w:r>
        <w:t>Spanische Notaufnahme-Registerstudie an 4.136 COPD-Exazerbations-Episoden: Antibiotika-Auswahl nach nationalen Empfehlungen vs. Fehlauswahl und deren Assoziation mit Mortalität, Rehospitalisierung, Rezidiiv und Notfall-Revisiten.</w:t>
      </w:r>
    </w:p>
    <w:p>
      <w:r>
        <w:rPr>
          <w:b/>
        </w:rPr>
        <w:t xml:space="preserve">Ergebnis: </w:t>
      </w:r>
      <w:r>
        <w:t>Von 1.736 Patienten mit Entlassung aus der Notaufnahme erhielten 987 (56,9 %) Antibiotika; 158 (16,0 %) bekamen inadäquate Therapie. Inadäquate Behandlung korrelierte mit höherer 30-Tage-Morbidität (20,9 % vs. 13,3 %, p=0,019). In der multivariablen Analyse war leitliniengerechte Therapie der einzige modifizierbare Faktor mit signifikant reduziertem Ereignisrisiko (adjustierte RR 0,59; 95%-KI 0,41–0,85; p=0,004). Zugleich waren vorherige Exazerbationen (RR 1,80) und mittelschwere Exazerbationen (RR 1,52) mit höherem Risiko assoziiert.</w:t>
      </w:r>
    </w:p>
    <w:p>
      <w:r>
        <w:rPr>
          <w:b/>
          <w:sz w:val="19"/>
        </w:rPr>
        <w:t xml:space="preserve">Übertragbarkeit: </w:t>
      </w:r>
      <w:r>
        <w:rPr>
          <w:sz w:val="19"/>
        </w:rPr>
        <w:t>Spanische Notaufnahmedaten, vergleichbare Behandlungsprotokolle europäischer Systeme</w:t>
      </w:r>
    </w:p>
    <w:p>
      <w:r>
        <w:rPr>
          <w:color w:val="5A7D3A"/>
          <w:sz w:val="18"/>
        </w:rPr>
        <w:t>https://pubmed.ncbi.nlm.nih.gov/42768888/</w:t>
      </w:r>
    </w:p>
    <w:p>
      <w:pPr>
        <w:pStyle w:val="Heading2"/>
      </w:pPr>
      <w:r>
        <w:t>Dynamisches Risiko-Scoring vorhersagt CLL-Progression nach Limited-Duration-Therapie besser</w:t>
      </w:r>
    </w:p>
    <w:p>
      <w:r>
        <w:rPr>
          <w:i/>
          <w:color w:val="666666"/>
          <w:sz w:val="18"/>
        </w:rPr>
        <w:t>Al-Sawaf O et al.  ·  J Clin Oncol  ·  27.08.2026  ·  PMID 42659576</w:t>
      </w:r>
    </w:p>
    <w:p>
      <w:r>
        <w:t>Deutsche multizentrische Kohortenstudie zu chronisch-lymphatischer Leukämie: Entwicklung und Validierung eines verfeinerten kontinuierlichen Risikoindex (CIRI2-CLL) mit messbaren Resterkrankungen (MRD) zur Vorhersage von progressionsfreiem Überleben nach zeitlich begrenzter Targetted Therapy.</w:t>
      </w:r>
    </w:p>
    <w:p>
      <w:r>
        <w:rPr>
          <w:b/>
        </w:rPr>
        <w:t xml:space="preserve">Ergebnis: </w:t>
      </w:r>
      <w:r>
        <w:t>CIRI2-CLL zeigte gute Kalibrierung (ca. 5 % Unterschied zwischen beobachteter und vorhergesagter Progressionswahrscheinlichkeit). Überlegene Performance vs. einzelne Indizes (C-Statistiken 0,82–0,98 an allen Zeitpunkten), FEV-Vorhersage um 14–37 % verbessert. Risk-Stratifikation in drei Gruppen: 3-Jahres-PFS von 100,0 % (niedrig), 70,2 % (mittel), 10,8 % (hoch). Performance für Gesamtüberleben bestätigt.</w:t>
      </w:r>
    </w:p>
    <w:p>
      <w:r>
        <w:rPr>
          <w:b/>
          <w:sz w:val="19"/>
        </w:rPr>
        <w:t xml:space="preserve">Übertragbarkeit: </w:t>
      </w:r>
      <w:r>
        <w:rPr>
          <w:sz w:val="19"/>
        </w:rPr>
        <w:t>Deutschland/DACH, multizentrisch; CLL-spezifisch, aber Methode der MRD-Integration für andere Chroniker relevant</w:t>
      </w:r>
    </w:p>
    <w:p>
      <w:r>
        <w:rPr>
          <w:color w:val="5A7D3A"/>
          <w:sz w:val="18"/>
        </w:rPr>
        <w:t>https://pubmed.ncbi.nlm.nih.gov/42659576/</w:t>
      </w:r>
    </w:p>
    <w:p>
      <w:pPr>
        <w:pStyle w:val="Heading2"/>
      </w:pPr>
      <w:r>
        <w:t>HBsAg-Schnelltest-Positivierungszeit schätzt Viruslast und erleichtert POC-Diagnostik</w:t>
      </w:r>
    </w:p>
    <w:p>
      <w:r>
        <w:rPr>
          <w:i/>
          <w:color w:val="666666"/>
          <w:sz w:val="18"/>
        </w:rPr>
        <w:t>Asmamaw A et al.  ·  Aliment Pharmacol Ther  ·  06.08.2026  ·  PMID 42558028</w:t>
      </w:r>
    </w:p>
    <w:p>
      <w:r>
        <w:t>Multizentrische Proof-of-Concept-Studie (Spanien, Äthiopien): Prüfung, ob die Positivierungszeit eines Schnelltests für Hepatitis-B-Oberflächenantigen (HBsAg) ein Surrogat für quantitatives HBsAg und HBV-DNA-Aktivität ist; Paarvergleiche Kapillar- vs. Venöses Blut mit qHBsAg und PCR.</w:t>
      </w:r>
    </w:p>
    <w:p>
      <w:r>
        <w:rPr>
          <w:b/>
        </w:rPr>
        <w:t xml:space="preserve">Ergebnis: </w:t>
      </w:r>
      <w:r>
        <w:t>513 HBsAg-positive Personen analysiert. Positivierungszeit korrelierte invers mit qHBsAg (Spanien r=−0,749, Äthiopien r=−0,374; p&lt;0,001 beide). Keine Assoziation mit HBV-DNA. Diskriminationsfähigkeit für HBsAg &lt;1000 IU/mL: Spanien AUROC 0,86, Äthiopien AUROC 0,65; für &lt;100 IU/mL: AUROC 0,96 und 0,77. Gesunde und mit ausgeheilter Infektion: durchweg negativ.</w:t>
      </w:r>
    </w:p>
    <w:p>
      <w:r>
        <w:rPr>
          <w:b/>
          <w:sz w:val="19"/>
        </w:rPr>
        <w:t xml:space="preserve">Übertragbarkeit: </w:t>
      </w:r>
      <w:r>
        <w:rPr>
          <w:sz w:val="19"/>
        </w:rPr>
        <w:t>Spanien/Äthiopien; POC-Test für ressourcenlimitierte Länder, Relevanz für deutsche POC-Diagnostik begrenzt</w:t>
      </w:r>
    </w:p>
    <w:p>
      <w:r>
        <w:rPr>
          <w:color w:val="5A7D3A"/>
          <w:sz w:val="18"/>
        </w:rPr>
        <w:t>https://pubmed.ncbi.nlm.nih.gov/42558028/</w:t>
      </w:r>
    </w:p>
    <w:p>
      <w:pPr>
        <w:pStyle w:val="Heading1"/>
      </w:pPr>
      <w:r>
        <w:t>Aufgenommen am 03.10.2026</w:t>
      </w:r>
    </w:p>
    <w:p>
      <w:pPr>
        <w:pStyle w:val="Heading2"/>
      </w:pPr>
      <w:r>
        <w:t>Depression senkte das Risiko für Mehrfacherkrankung: Remission assoziiert mit niedrigerem Kardiometabolen-Risiko</w:t>
      </w:r>
    </w:p>
    <w:p>
      <w:r>
        <w:rPr>
          <w:i/>
          <w:color w:val="666666"/>
          <w:sz w:val="18"/>
        </w:rPr>
        <w:t>Yao M et al.  ·  J Glob Health  ·  02.10.2026  ·  PMID 42825401</w:t>
      </w:r>
    </w:p>
    <w:p>
      <w:r>
        <w:t>Prospektive Kohortenstudie mit 51.416 Teilnehmern aus China, USA und Europa untersuchte, ob langfristige depressive Belastung (gemessen durch Verlauf und kumulative Scores) mit neuaufgetretener Mehrfacherkrankung (Herz-Kreislauf und Diabetes) assoziiert ist.</w:t>
      </w:r>
    </w:p>
    <w:p>
      <w:r>
        <w:rPr>
          <w:b/>
        </w:rPr>
        <w:t xml:space="preserve">Ergebnis: </w:t>
      </w:r>
      <w:r>
        <w:t>Depressionsfortschritt erhöhte CMM-Risiko: China HR 1,47 (95%-CI 1,00–2,17), USA HR 1,33 (1,01–1,74), Europa HR 1,46 (1,26–1,69). Depressionsremission reduzierte Risiko: China HR 0,56 (0,36–0,87), Europa HR 0,76 (0,63–0,92). Frauen stärker betroffen in USA und Europa.</w:t>
      </w:r>
    </w:p>
    <w:p>
      <w:r>
        <w:rPr>
          <w:b/>
          <w:sz w:val="19"/>
        </w:rPr>
        <w:t xml:space="preserve">Übertragbarkeit: </w:t>
      </w:r>
      <w:r>
        <w:rPr>
          <w:sz w:val="19"/>
        </w:rPr>
        <w:t>Internationale Kohorte mit vergleichbarem Design; deutsches System ohne direkte Abbildung, aber Mehrfacherkrankungen-Prävention zentral für DMPs</w:t>
      </w:r>
    </w:p>
    <w:p>
      <w:r>
        <w:rPr>
          <w:color w:val="5A7D3A"/>
          <w:sz w:val="18"/>
        </w:rPr>
        <w:t>https://pubmed.ncbi.nlm.nih.gov/42825401/</w:t>
      </w:r>
    </w:p>
    <w:p>
      <w:pPr>
        <w:pStyle w:val="Heading2"/>
      </w:pPr>
      <w:r>
        <w:t>Peer-Support-Programme für chronische Nierenerkrankung: Systemische Unterstützung und Engagement zentral</w:t>
      </w:r>
    </w:p>
    <w:p>
      <w:r>
        <w:rPr>
          <w:i/>
          <w:color w:val="666666"/>
          <w:sz w:val="18"/>
        </w:rPr>
        <w:t>Faravan A et al.  ·  J Ren Care  ·  Dez. 2026  ·  PMID 42820648</w:t>
      </w:r>
    </w:p>
    <w:p>
      <w:r>
        <w:t>Qualitative Metasynthese von 15 Studien zu Facilitators von Peer-Support-Programmen für Patienten mit chronischer Nierenerkrankung.</w:t>
      </w:r>
    </w:p>
    <w:p>
      <w:r>
        <w:rPr>
          <w:b/>
        </w:rPr>
        <w:t xml:space="preserve">Ergebnis: </w:t>
      </w:r>
      <w:r>
        <w:t>Drei Hauptfacilitators identifiziert: (1) supportive Organisationskultur im Gesundheitssystem, (2) tiefe peer-Verbindungen und gutes rapport, (3) engagierte und motivierte Peer-Supporter und -Empfänger. Erfolgreiche Programme erfordern Interaktion zwischen organisationaler Unterstützung, sinnvoller Peer-Beziehung und aktiver Partizipation.</w:t>
      </w:r>
    </w:p>
    <w:p>
      <w:r>
        <w:rPr>
          <w:b/>
          <w:sz w:val="19"/>
        </w:rPr>
        <w:t xml:space="preserve">Übertragbarkeit: </w:t>
      </w:r>
      <w:r>
        <w:rPr>
          <w:sz w:val="19"/>
        </w:rPr>
        <w:t>Überwiegend europäische und englischsprachige Studien; Peer-Support-Ansätze in Deutschland (Selbsthilfe, DMP-Strukturen) unmittelbar anwendbar</w:t>
      </w:r>
    </w:p>
    <w:p>
      <w:r>
        <w:rPr>
          <w:color w:val="5A7D3A"/>
          <w:sz w:val="18"/>
        </w:rPr>
        <w:t>https://pubmed.ncbi.nlm.nih.gov/42820648/</w:t>
      </w:r>
    </w:p>
    <w:p>
      <w:pPr>
        <w:pStyle w:val="Heading2"/>
      </w:pPr>
      <w:r>
        <w:t>GLP-1-Rezeptor-Agonisten schützen die Niere bei chronischer Nierenerkrankung und Diabetes</w:t>
      </w:r>
    </w:p>
    <w:p>
      <w:r>
        <w:rPr>
          <w:i/>
          <w:color w:val="666666"/>
          <w:sz w:val="18"/>
        </w:rPr>
        <w:t>Boeckhaus J et al.  ·  Clin Sci (Lond)  ·  14.10.2026  ·  PMID 42820470</w:t>
      </w:r>
    </w:p>
    <w:p>
      <w:r>
        <w:t>Übersichtsarbeit zur Evidenz für Nephroprotektivität von GLP-1 Agonisten bei Patienten mit Typ-2-Diabetes und chronischer Nierenerkrankung jenseits von Glukosekontrolle.</w:t>
      </w:r>
    </w:p>
    <w:p>
      <w:r>
        <w:rPr>
          <w:b/>
        </w:rPr>
        <w:t xml:space="preserve">Ergebnis: </w:t>
      </w:r>
      <w:r>
        <w:t>GLP-1-RA reduzieren eGFR-Abfall, albuminurie und kardiovaskuläre Ereignisse durch anti-inflammatorische und anti-fibrotische Mechanismen. Effekte teilweise unabhängig von Gewichtsreduktion. Sicherheitsprofil vergleichbar mit Standard; potenzielle neue Indikation auch ohne Diabetes bei CKD.</w:t>
      </w:r>
    </w:p>
    <w:p>
      <w:r>
        <w:rPr>
          <w:b/>
          <w:sz w:val="19"/>
        </w:rPr>
        <w:t xml:space="preserve">Übertragbarkeit: </w:t>
      </w:r>
      <w:r>
        <w:rPr>
          <w:sz w:val="19"/>
        </w:rPr>
        <w:t>Wirkmechanismus-Review ohne Versorgungsdaten; Evidenz aus RCTs übertragbar auf deutsches System</w:t>
      </w:r>
    </w:p>
    <w:p>
      <w:r>
        <w:rPr>
          <w:color w:val="5A7D3A"/>
          <w:sz w:val="18"/>
        </w:rPr>
        <w:t>https://pubmed.ncbi.nlm.nih.gov/42820470/</w:t>
      </w:r>
    </w:p>
    <w:p>
      <w:pPr>
        <w:pStyle w:val="Heading2"/>
      </w:pPr>
      <w:r>
        <w:t>Actualisiertes WHO-Modul für Mundgesundheit in Überwachungssystemen für nicht übertragbare Erkrankungen</w:t>
      </w:r>
    </w:p>
    <w:p>
      <w:r>
        <w:rPr>
          <w:i/>
          <w:color w:val="666666"/>
          <w:sz w:val="18"/>
        </w:rPr>
        <w:t>Rendell N et al.  ·  Bull World Health Organ  ·  01.10.2026  ·  PMID 42820175</w:t>
      </w:r>
    </w:p>
    <w:p>
      <w:r>
        <w:t>WHO präsentiert überarbeitetes Modul für STEPS-Surveillance (Überwachung von Risikofaktoren) mit klinischer Untersuchungskomponente für Mundgesundheit, die von geschultem Nicht-Zahnarzt-Personal durchführbar ist.</w:t>
      </w:r>
    </w:p>
    <w:p>
      <w:r>
        <w:rPr>
          <w:b/>
        </w:rPr>
        <w:t xml:space="preserve">Ergebnis: </w:t>
      </w:r>
      <w:r>
        <w:t>Neues Modul integriert aktualisierte Selbstangaben und klinische Bewertung statt nur Wahrnehmungsangaben. Praktisch und skalierbar für Länder ohne zahnärztliche Kapazität, unterstützt Integration von Mundgesundheit in Strategien zur universellen Gesundheitsversorgung.</w:t>
      </w:r>
    </w:p>
    <w:p>
      <w:r>
        <w:rPr>
          <w:b/>
          <w:sz w:val="19"/>
        </w:rPr>
        <w:t xml:space="preserve">Übertragbarkeit: </w:t>
      </w:r>
      <w:r>
        <w:rPr>
          <w:sz w:val="19"/>
        </w:rPr>
        <w:t>WHO-Standard für alle Länder; direkt auf deutsches RKI-Surveillance-System übertragbar</w:t>
      </w:r>
    </w:p>
    <w:p>
      <w:r>
        <w:rPr>
          <w:color w:val="5A7D3A"/>
          <w:sz w:val="18"/>
        </w:rPr>
        <w:t>https://pubmed.ncbi.nlm.nih.gov/42820175/</w:t>
      </w:r>
    </w:p>
    <w:p>
      <w:pPr>
        <w:pStyle w:val="Heading2"/>
      </w:pPr>
      <w:r>
        <w:t>Krankenhausinfektionen bei Kindern mit Sepsis zeigten höhere Sterblichkeit als ambulant erworbene Infektionen</w:t>
      </w:r>
    </w:p>
    <w:p>
      <w:r>
        <w:rPr>
          <w:i/>
          <w:color w:val="666666"/>
          <w:sz w:val="18"/>
        </w:rPr>
        <w:t>Ravichandran N et al.  ·  Eur J Pediatr  ·  19.09.2026  ·  PMID 42763313</w:t>
      </w:r>
    </w:p>
    <w:p>
      <w:r>
        <w:t>Retrospektive nationale Kohortenstudie zur Epidemiologie pädiatrischer Sepsis in Irland 2020–2025 mit Analyse von Krankheitsverlauf, Multimorbidität und Outcomes.</w:t>
      </w:r>
    </w:p>
    <w:p>
      <w:r>
        <w:rPr>
          <w:b/>
        </w:rPr>
        <w:t xml:space="preserve">Ergebnis: </w:t>
      </w:r>
      <w:r>
        <w:t>4.442 Sepsis-Aufnahmen: 30,7% nosokomial, 69,3% ambulant. Nosokomiale Sepsis: 84,0% Intensivaufnahmen vs. 32,3%, Sterblichkeit 7,6% vs. 1,8% (p&lt;0,001). Komorbidität assoziiert mit kritischem Verlauf (aOR neonatal 2,66; nicht-neonatal 4,88), aber schwere Verläufe auch ohne dokumentierte Komorbiditäten.</w:t>
      </w:r>
    </w:p>
    <w:p>
      <w:r>
        <w:rPr>
          <w:b/>
          <w:sz w:val="19"/>
        </w:rPr>
        <w:t xml:space="preserve">Übertragbarkeit: </w:t>
      </w:r>
      <w:r>
        <w:rPr>
          <w:sz w:val="19"/>
        </w:rPr>
        <w:t>Europäische Klinikdaten; vergleichbar mit deutschem Krankenhausmanagementsystem für Infektionsprävention</w:t>
      </w:r>
    </w:p>
    <w:p>
      <w:r>
        <w:rPr>
          <w:color w:val="5A7D3A"/>
          <w:sz w:val="18"/>
        </w:rPr>
        <w:t>https://pubmed.ncbi.nlm.nih.gov/42763313/</w:t>
      </w:r>
    </w:p>
    <w:p>
      <w:pPr>
        <w:pStyle w:val="Heading2"/>
      </w:pPr>
      <w:r>
        <w:t>Sterblichkeitsüberwachung mit multiplen Todesursachen zur Verfolgung chronischer Erkrankungen in der COVID-19-Ära</w:t>
      </w:r>
    </w:p>
    <w:p>
      <w:r>
        <w:rPr>
          <w:i/>
          <w:color w:val="666666"/>
          <w:sz w:val="18"/>
        </w:rPr>
        <w:t>Jones J  ·  Ann Epidemiol  ·  15.09.2026  ·  PMID 42744417</w:t>
      </w:r>
    </w:p>
    <w:p>
      <w:r>
        <w:t>Educational Module zu Mortalitäts-Surveillance-Methoden, das sich auf einen bereits publizierten Artikel zur Nutzung von Mehrfach-Todesursachen-Daten konzentriert (Referenz: Durán et al., Ann Epidemiol 2026;113:23-29).</w:t>
      </w:r>
    </w:p>
    <w:p>
      <w:r>
        <w:rPr>
          <w:b/>
        </w:rPr>
        <w:t xml:space="preserve">Ergebnis: </w:t>
      </w:r>
      <w:r>
        <w:t>Modul demonstriert Nutzen von Mehrfach-Todesursachen-Kodierung zur Erfassung von Trends chronischer Erkrankungen; Fallbeispiel Schweiz COVID-19-Pandemie zeigt, wie Überwachungsmethoden Versorgungsmuster offenbaren.</w:t>
      </w:r>
    </w:p>
    <w:p>
      <w:r>
        <w:rPr>
          <w:b/>
          <w:sz w:val="19"/>
        </w:rPr>
        <w:t xml:space="preserve">Übertragbarkeit: </w:t>
      </w:r>
      <w:r>
        <w:rPr>
          <w:sz w:val="19"/>
        </w:rPr>
        <w:t>Schweiz mit ähnlichem System wie Deutschland; Mortalitäts-Surveillance-Design direkt auf deutsches Todesbescheinigungssystem übertragbar</w:t>
      </w:r>
    </w:p>
    <w:p>
      <w:r>
        <w:rPr>
          <w:color w:val="5A7D3A"/>
          <w:sz w:val="18"/>
        </w:rPr>
        <w:t>https://pubmed.ncbi.nlm.nih.gov/42744417/</w:t>
      </w:r>
    </w:p>
    <w:p>
      <w:pPr>
        <w:pStyle w:val="Heading2"/>
      </w:pPr>
      <w:r>
        <w:t>COPD ist zu heterogen für Single-Trial-Zulassungen: Mehrfach-Studien-Evidenz erforderlich</w:t>
      </w:r>
    </w:p>
    <w:p>
      <w:r>
        <w:rPr>
          <w:i/>
          <w:color w:val="666666"/>
          <w:sz w:val="18"/>
        </w:rPr>
        <w:t>Cazzola M et al.  ·  Lung  ·  31.07.2026  ·  PMID 42536190</w:t>
      </w:r>
    </w:p>
    <w:p>
      <w:r>
        <w:t>Expertenpapier zur FDA-Proposal, einzelne RCTs als Standard für COPD-Medikamentenzulassung zu akzeptieren; erörtert Heterogenität, Effektgrößen und Generalisierbarkeit.</w:t>
      </w:r>
    </w:p>
    <w:p>
      <w:r>
        <w:rPr>
          <w:b/>
        </w:rPr>
        <w:t xml:space="preserve">Ergebnis: </w:t>
      </w:r>
      <w:r>
        <w:t>COPD zeigt variable Trajektorien, modest treatment effects, limitierte validierte Biomarker. Single RCTs risikieren Type-I-Fehler und begrenzte Übertragbarkeit durch restriktive Einschlusskriterien. Empfehlung: mindestens zwei unabhängige Studien bei CKD oder äquivalente Post-Marketing-Validierung erforderlich.</w:t>
      </w:r>
    </w:p>
    <w:p>
      <w:r>
        <w:rPr>
          <w:b/>
          <w:sz w:val="19"/>
        </w:rPr>
        <w:t xml:space="preserve">Übertragbarkeit: </w:t>
      </w:r>
      <w:r>
        <w:rPr>
          <w:sz w:val="19"/>
        </w:rPr>
        <w:t>COPD-Versorgung international vergleichbar; Argument für robuste Evidenzstandards in allen Gesundheitssystemen relevant</w:t>
      </w:r>
    </w:p>
    <w:p>
      <w:r>
        <w:rPr>
          <w:color w:val="5A7D3A"/>
          <w:sz w:val="18"/>
        </w:rPr>
        <w:t>https://pubmed.ncbi.nlm.nih.gov/42536190/</w:t>
      </w:r>
    </w:p>
    <w:p>
      <w:pPr>
        <w:pStyle w:val="Heading1"/>
      </w:pPr>
      <w:r>
        <w:t>Aufgenommen am 02.10.2026</w:t>
      </w:r>
    </w:p>
    <w:p>
      <w:pPr>
        <w:pStyle w:val="Heading2"/>
      </w:pPr>
      <w:r>
        <w:t>Peritoneal-Dialyse-Peritonitis: Nomogramm zur Vorhersage von Peritonitifreiheit</w:t>
      </w:r>
    </w:p>
    <w:p>
      <w:r>
        <w:rPr>
          <w:i/>
          <w:color w:val="666666"/>
          <w:sz w:val="18"/>
        </w:rPr>
        <w:t>Tian Z et al.  ·  Ren Fail  ·  01.10.2026  ·  PMID 42823121</w:t>
      </w:r>
    </w:p>
    <w:p>
      <w:r>
        <w:t>Retrospektive Kohortenstudie entwickelte und validierte ein Cox-Nomogramm zur Vorhersage der Peritonitis-freien Überlebenszeit bei peritonealer Dialyse (372 Patienten, 26,3 Monate Nachverfolgung).</w:t>
      </w:r>
    </w:p>
    <w:p>
      <w:r>
        <w:rPr>
          <w:b/>
        </w:rPr>
        <w:t xml:space="preserve">Ergebnis: </w:t>
      </w:r>
      <w:r>
        <w:t>Über Median 26,3 Monate: 35,4% Peritonitis-Ereignisse (Training), 30,4% (Validierung). Neun unabhängige Prädiktoren identifiziert (u.a. Bildung, BMI, Albumin, Kalzium, Phosphor). C-Index 0,707; ROC-AUC bei 6/12/24 Monaten: 75,8%/77,5%/69,7% (Training) bzw. 77,7%/63,8%/58,4% (Validierung). Modell zeigt moderate Diskrimination und befriedigende Kalibration.</w:t>
      </w:r>
    </w:p>
    <w:p>
      <w:r>
        <w:rPr>
          <w:b/>
          <w:sz w:val="19"/>
        </w:rPr>
        <w:t xml:space="preserve">Übertragbarkeit: </w:t>
      </w:r>
      <w:r>
        <w:rPr>
          <w:sz w:val="19"/>
        </w:rPr>
        <w:t>China, klinisch routinemäßig erhobene Parameter, externe Validierung vor Routineeinsatz erforderlich.</w:t>
      </w:r>
    </w:p>
    <w:p>
      <w:r>
        <w:rPr>
          <w:color w:val="5A7D3A"/>
          <w:sz w:val="18"/>
        </w:rPr>
        <w:t>https://pubmed.ncbi.nlm.nih.gov/42823121/</w:t>
      </w:r>
    </w:p>
    <w:p>
      <w:pPr>
        <w:pStyle w:val="Heading2"/>
      </w:pPr>
      <w:r>
        <w:t>Bewegungsmangel verursacht 2% der Krankheitslast in der Schweiz</w:t>
      </w:r>
    </w:p>
    <w:p>
      <w:r>
        <w:rPr>
          <w:i/>
          <w:color w:val="666666"/>
          <w:sz w:val="18"/>
        </w:rPr>
        <w:t>Güntert L et al.  ·  Swiss Med Wkly  ·  24.09.2026  ·  PMID 42821881</w:t>
      </w:r>
    </w:p>
    <w:p>
      <w:r>
        <w:t>Bevölkerungsgestützte Modellierungsstudie quantifizierte die durch körperliche Inaktivität verursachte Krankheitslast (YLD und YLL) in der Schweiz 2022 nach Sprachregionen.</w:t>
      </w:r>
    </w:p>
    <w:p>
      <w:r>
        <w:rPr>
          <w:b/>
        </w:rPr>
        <w:t xml:space="preserve">Ergebnis: </w:t>
      </w:r>
      <w:r>
        <w:t>Physische Inaktivität führte zu 227,08 YLD und 424,23 YLL pro 100.000 Personen &gt;20 Jahren (2% der DALYs insgesamt). Italienisch- und französischsprachige Regionen zeigten erheblich höhere Raten als deutschsprachige Regionen. Depression (93,38 YLD) und Herzkoronarerkrankung (132,12 YLL) waren Hauptkontributoren; Frauen waren stärker belastet als Männer.</w:t>
      </w:r>
    </w:p>
    <w:p>
      <w:r>
        <w:rPr>
          <w:b/>
          <w:sz w:val="19"/>
        </w:rPr>
        <w:t xml:space="preserve">Übertragbarkeit: </w:t>
      </w:r>
      <w:r>
        <w:rPr>
          <w:sz w:val="19"/>
        </w:rPr>
        <w:t>Schweizer Bevölkerungsdaten, ähnliche Struktur und Prävention wie im deutschsprachigen Raum.</w:t>
      </w:r>
    </w:p>
    <w:p>
      <w:r>
        <w:rPr>
          <w:color w:val="5A7D3A"/>
          <w:sz w:val="18"/>
        </w:rPr>
        <w:t>https://pubmed.ncbi.nlm.nih.gov/42821881/</w:t>
      </w:r>
    </w:p>
    <w:p>
      <w:pPr>
        <w:pStyle w:val="Heading2"/>
      </w:pPr>
      <w:r>
        <w:t>Antidiabetika und COPD-Exazerbationen: Netzwerk-Metaanalyse bei Typ-2-Diabetes</w:t>
      </w:r>
    </w:p>
    <w:p>
      <w:r>
        <w:rPr>
          <w:i/>
          <w:color w:val="666666"/>
          <w:sz w:val="18"/>
        </w:rPr>
        <w:t>Shabil M et al.  ·  Diab Vasc Dis Res  ·  01.10.2026  ·  PMID 42821775</w:t>
      </w:r>
    </w:p>
    <w:p>
      <w:r>
        <w:t>Systematische Übersicht mit Netzwerk-Metaanalyse evaluierte Effekte verschiedener Antidiabetika auf COPD-Exazerbationen bei Patienten mit T2DM (13 Beobachtungsstudien, 755.206 Teilnehmer).</w:t>
      </w:r>
    </w:p>
    <w:p>
      <w:r>
        <w:rPr>
          <w:b/>
        </w:rPr>
        <w:t xml:space="preserve">Ergebnis: </w:t>
      </w:r>
      <w:r>
        <w:t>Im Vergleich zu Sulfonylharnstoffen: SGLT-2-Inhibitoren zeigten tiefste COPD-Exazerbationsrate (RR 0,71; 95% CI 0,66–0,77), gefolgt von GLP-1-Agonisten (RR 0,77; 95% CI 0,71–0,84). Metformin neutral (RR 0,89), DPP-4-Inhibitoren (RR 1,05) und Meglitinide ohne klaren Nutzen. Ähnliche Befunde für schwere Exazerbationen.</w:t>
      </w:r>
    </w:p>
    <w:p>
      <w:r>
        <w:rPr>
          <w:b/>
          <w:sz w:val="19"/>
        </w:rPr>
        <w:t xml:space="preserve">Übertragbarkeit: </w:t>
      </w:r>
      <w:r>
        <w:rPr>
          <w:sz w:val="19"/>
        </w:rPr>
        <w:t>Internationale Beobachtungsdaten, Effektstärken unabhängig von Versorgungssystem.</w:t>
      </w:r>
    </w:p>
    <w:p>
      <w:r>
        <w:rPr>
          <w:color w:val="5A7D3A"/>
          <w:sz w:val="18"/>
        </w:rPr>
        <w:t>https://pubmed.ncbi.nlm.nih.gov/42821775/</w:t>
      </w:r>
    </w:p>
    <w:p>
      <w:pPr>
        <w:pStyle w:val="Heading2"/>
      </w:pPr>
      <w:r>
        <w:t>Rauchentwöhnung bei COPD: Klinik-Zuweisung verbesserte Abstinenzquote deutlich</w:t>
      </w:r>
    </w:p>
    <w:p>
      <w:r>
        <w:rPr>
          <w:i/>
          <w:color w:val="666666"/>
          <w:sz w:val="18"/>
        </w:rPr>
        <w:t>Marım F et al.  ·  Int J Chron Obstruct Pulmon Dis  ·  26.09.2026  ·  PMID 42820089</w:t>
      </w:r>
    </w:p>
    <w:p>
      <w:r>
        <w:t>Subgruppenanalyse einer multizentrischen RCT untersuchte Faktoren, die mit 1-Jahres-Rauchentwöhnung bei COPD-Patienten assoziiert sind (Vergleich: sofortige Klinik-Zuweisung vs. Standard-Versorgung).</w:t>
      </w:r>
    </w:p>
    <w:p>
      <w:r>
        <w:rPr>
          <w:b/>
        </w:rPr>
        <w:t xml:space="preserve">Ergebnis: </w:t>
      </w:r>
      <w:r>
        <w:t>Von 172 Patienten quit 32 (18,6%): 24 von 93 (25,8%) mit sofortiger Zuweisung vs. 8 von 79 (10,1%) mit Standardversorgung (p=0,010). Im multivariablen Modell: Standardversorgung senkte Erfolgschancen (OR 0,25; 95% CI 0,09–0,64); Fehlen von Komorbiditäten (OR 2,64) und &gt;1 exazerbationsbedingte Hospitalisierung (OR 9,32) erhöhten sie. Strukturierte Versorgungspfade sind zentral.</w:t>
      </w:r>
    </w:p>
    <w:p>
      <w:r>
        <w:rPr>
          <w:b/>
          <w:sz w:val="19"/>
        </w:rPr>
        <w:t xml:space="preserve">Übertragbarkeit: </w:t>
      </w:r>
      <w:r>
        <w:rPr>
          <w:sz w:val="19"/>
        </w:rPr>
        <w:t>Türkische Multizenterstudie, aber Versorgungsprinzipien (Koordination, Strukturierung) auf Deutschland übertragbar.</w:t>
      </w:r>
    </w:p>
    <w:p>
      <w:r>
        <w:rPr>
          <w:color w:val="5A7D3A"/>
          <w:sz w:val="18"/>
        </w:rPr>
        <w:t>https://pubmed.ncbi.nlm.nih.gov/42820089/</w:t>
      </w:r>
    </w:p>
    <w:p>
      <w:pPr>
        <w:pStyle w:val="Heading2"/>
      </w:pPr>
      <w:r>
        <w:t>Gicht-Akutbehandlung bei Nierenkrankheit: Anakinra versus Steroide</w:t>
      </w:r>
    </w:p>
    <w:p>
      <w:r>
        <w:rPr>
          <w:i/>
          <w:color w:val="666666"/>
          <w:sz w:val="18"/>
        </w:rPr>
        <w:t>Balasubramaniam G et al.  ·  BMJ Open  ·  30.09.2026  ·  PMID 42816092</w:t>
      </w:r>
    </w:p>
    <w:p>
      <w:r>
        <w:t>Feasibility-Studie testete Durchführbarkeit einer doppelblinden RCT von Anakinra versus Methylprednisolon bei Gicht-Anfällen in chronischer Nierenkrankheit (eGFR &lt;60).</w:t>
      </w:r>
    </w:p>
    <w:p>
      <w:r>
        <w:rPr>
          <w:b/>
        </w:rPr>
        <w:t xml:space="preserve">Ergebnis: </w:t>
      </w:r>
      <w:r>
        <w:t>21 Patienten randomisiert, 17 behandelt. Schmerzreduktion nach 7 Tagen: 46,8 von 100 auf visueller Analogskala. Anakinra zeigte Trend zu schnellerem Schmerzrückgang. Machbarkeit demonstriert; Unter-Rekrutierung war Hauptproblem. Empfehlung für optimierte Fall-Findung in der Gemeinschaft vor definitivem Trial.</w:t>
      </w:r>
    </w:p>
    <w:p>
      <w:r>
        <w:rPr>
          <w:b/>
          <w:sz w:val="19"/>
        </w:rPr>
        <w:t xml:space="preserve">Übertragbarkeit: </w:t>
      </w:r>
      <w:r>
        <w:rPr>
          <w:sz w:val="19"/>
        </w:rPr>
        <w:t>UK-Sekundärversorger, transferierbar auf multimorbide ältere Patienten in Deutschland.</w:t>
      </w:r>
    </w:p>
    <w:p>
      <w:r>
        <w:rPr>
          <w:color w:val="5A7D3A"/>
          <w:sz w:val="18"/>
        </w:rPr>
        <w:t>https://pubmed.ncbi.nlm.nih.gov/42816092/</w:t>
      </w:r>
    </w:p>
    <w:p>
      <w:pPr>
        <w:pStyle w:val="Heading2"/>
      </w:pPr>
      <w:r>
        <w:t>Sarcopenie bei Mehrfacherkrankungen: europäische Leitlinie mit praktischen Empfehlungen</w:t>
      </w:r>
    </w:p>
    <w:p>
      <w:r>
        <w:rPr>
          <w:i/>
          <w:color w:val="666666"/>
          <w:sz w:val="18"/>
        </w:rPr>
        <w:t>Bernabeu-Wittel M et al.  ·  Eur J Intern Med  ·  13.08.2026  ·  PMID 42595648</w:t>
      </w:r>
    </w:p>
    <w:p>
      <w:r>
        <w:t>EFIM-adaptierte Leitlinie für Identifikation und Management von Sarcopenie bei Patienten mit Mehrfacherkrankungen, basierend auf kritischer Bewertung bestehender Guidelines.</w:t>
      </w:r>
    </w:p>
    <w:p>
      <w:r>
        <w:rPr>
          <w:b/>
        </w:rPr>
        <w:t xml:space="preserve">Ergebnis: </w:t>
      </w:r>
      <w:r>
        <w:t>37 Empfehlungen (30 strong, 7 weak): Proaktives Screening ab 65 Jahren und bei jüngeren mit Risikofaktoren; Handgriffkraft als Eintrittspunkt; flexible diagnostische Wege; individualisierte multimodale Interventionen. 8 auf hoher, 12 auf moderater, 17 auf niedriger Evidenz oder Konsens. Adressiert iatrogene Risiken (Corticosteroide, GLP-1-Agonisten).</w:t>
      </w:r>
    </w:p>
    <w:p>
      <w:r>
        <w:rPr>
          <w:b/>
          <w:sz w:val="19"/>
        </w:rPr>
        <w:t xml:space="preserve">Übertragbarkeit: </w:t>
      </w:r>
      <w:r>
        <w:rPr>
          <w:sz w:val="19"/>
        </w:rPr>
        <w:t>Europäische Innere Medizin, direkt auf deutsches Versorgungssystem übertragbar.</w:t>
      </w:r>
    </w:p>
    <w:p>
      <w:r>
        <w:rPr>
          <w:color w:val="5A7D3A"/>
          <w:sz w:val="18"/>
        </w:rPr>
        <w:t>https://pubmed.ncbi.nlm.nih.gov/42595648/</w:t>
      </w:r>
    </w:p>
    <w:p>
      <w:pPr>
        <w:pStyle w:val="Heading1"/>
      </w:pPr>
      <w:r>
        <w:t>Aufgenommen am 01.10.2026</w:t>
      </w:r>
    </w:p>
    <w:p>
      <w:pPr>
        <w:pStyle w:val="Heading2"/>
      </w:pPr>
      <w:r>
        <w:t>Psychosomatic Belastung bei Jugendlichen mit chronischen Erkrankungen im Übergang zur Erwachsenenmedizin</w:t>
      </w:r>
    </w:p>
    <w:p>
      <w:r>
        <w:rPr>
          <w:i/>
          <w:color w:val="666666"/>
          <w:sz w:val="18"/>
        </w:rPr>
        <w:t>Choukair D et al.  ·  PLoS One  ·  30.09.2026  ·  PMID 42814714</w:t>
      </w:r>
    </w:p>
    <w:p>
      <w:r>
        <w:t>Querschnittsstudie an 92 Jugendlichen mit chronischen Erkrankungen zur Erfassung psychosozialer Belastung, Familienstruktur und Unterstützungsbedarf beim Transition-Prozess mit validierten Fragebögen.</w:t>
      </w:r>
    </w:p>
    <w:p>
      <w:r>
        <w:rPr>
          <w:b/>
        </w:rPr>
        <w:t xml:space="preserve">Ergebnis: </w:t>
      </w:r>
      <w:r>
        <w:t>39,6% moderate somatische Beschwerden, 20,6% depressive Symptome, 11,9% Angststörungssymptome; reduzierte Familienstruktur korrelierte signifikant mit höherer psychosomatischer Symptombelastung (p&lt;0,05). Psychosoziale Belastung sollte systematisch in Transition-Programme integriert werden.</w:t>
      </w:r>
    </w:p>
    <w:p>
      <w:r>
        <w:rPr>
          <w:b/>
          <w:sz w:val="19"/>
        </w:rPr>
        <w:t xml:space="preserve">Übertragbarkeit: </w:t>
      </w:r>
      <w:r>
        <w:rPr>
          <w:sz w:val="19"/>
        </w:rPr>
        <w:t>Deutschland, vergleichbare Strukturen der Kindermedizin und Transitionsmedizin.</w:t>
      </w:r>
    </w:p>
    <w:p>
      <w:r>
        <w:rPr>
          <w:color w:val="5A7D3A"/>
          <w:sz w:val="18"/>
        </w:rPr>
        <w:t>https://pubmed.ncbi.nlm.nih.gov/42814714/</w:t>
      </w:r>
    </w:p>
    <w:p>
      <w:pPr>
        <w:pStyle w:val="Heading2"/>
      </w:pPr>
      <w:r>
        <w:t>Kostenwirksamkeit eines dezentralen Versorgungsmodells für Hepatitis B in remote Gemeinden</w:t>
      </w:r>
    </w:p>
    <w:p>
      <w:r>
        <w:rPr>
          <w:i/>
          <w:color w:val="666666"/>
          <w:sz w:val="18"/>
        </w:rPr>
        <w:t>Nguyen H et al.  ·  Med J Aust  ·  Okt. 2026  ·  PMID 42811936</w:t>
      </w:r>
    </w:p>
    <w:p>
      <w:r>
        <w:t>Retrospektive Kohortenstudie (2014-2023) von 1063 First-Nations-Personen mit chronischer Hepatitis B zur Kosten-Analyse des Hep-B-PAST-Programms versus Standard-Versorgung in Australien.</w:t>
      </w:r>
    </w:p>
    <w:p>
      <w:r>
        <w:rPr>
          <w:b/>
        </w:rPr>
        <w:t xml:space="preserve">Ergebnis: </w:t>
      </w:r>
      <w:r>
        <w:t>Mediane Jahreskosten pro Person ähnlich: Standard $639 (IQR 366–1156) vs. Hep-B-PAST $770 (IQR 400–1272), p=0,12; Mittelwerte Standard $1701 vs. $1970 (p=0,12); dezentrales Modell führte nicht zu Kostensteigerung bei verbesserter Therapie-Adhärenz.</w:t>
      </w:r>
    </w:p>
    <w:p>
      <w:r>
        <w:rPr>
          <w:b/>
          <w:sz w:val="19"/>
        </w:rPr>
        <w:t xml:space="preserve">Übertragbarkeit: </w:t>
      </w:r>
      <w:r>
        <w:rPr>
          <w:sz w:val="19"/>
        </w:rPr>
        <w:t>Australien, vergleichbare öffentliche Versorgungssysteme; Dezentralisierung ist kosteneffizient.</w:t>
      </w:r>
    </w:p>
    <w:p>
      <w:r>
        <w:rPr>
          <w:color w:val="5A7D3A"/>
          <w:sz w:val="18"/>
        </w:rPr>
        <w:t>https://pubmed.ncbi.nlm.nih.gov/42811936/</w:t>
      </w:r>
    </w:p>
    <w:p>
      <w:pPr>
        <w:pStyle w:val="Heading2"/>
      </w:pPr>
      <w:r>
        <w:t>Krankheitslast nicht-übertragbarer Erkrankungen in bangladeschischen Krankenhäusern</w:t>
      </w:r>
    </w:p>
    <w:p>
      <w:r>
        <w:rPr>
          <w:i/>
          <w:color w:val="666666"/>
          <w:sz w:val="18"/>
        </w:rPr>
        <w:t>Proma SB et al.  ·  Mymensingh Med J  ·  Okt. 2026  ·  PMID 42811840</w:t>
      </w:r>
    </w:p>
    <w:p>
      <w:r>
        <w:t>Retrospektive Querschnittsanalyse von 6698 Krankenhausaufnahmen 2022 an einem Tertiärzentrum zur Erfassung der Häufigkeit, Muster und Mortalität durch nicht-übertragbare Erkrankungen.</w:t>
      </w:r>
    </w:p>
    <w:p>
      <w:r>
        <w:rPr>
          <w:b/>
        </w:rPr>
        <w:t xml:space="preserve">Ergebnis: </w:t>
      </w:r>
      <w:r>
        <w:t>42,05% aller Aufnahmen NCDs; weiblich 56,37%, männlich 43,63%; Häufigste Erkrankungen Hypertonie (33,22%), Diabetes (25,34%), Schlaganfall (17,85%), kardiovaskulär (12,14%); NCDs verursachten 88,41% aller Todesfälle (n=164), hauptsächlich kardiovaskulär, Schlaganfall, chronische Atemwegserkrankungen.</w:t>
      </w:r>
    </w:p>
    <w:p>
      <w:r>
        <w:rPr>
          <w:b/>
          <w:sz w:val="19"/>
        </w:rPr>
        <w:t xml:space="preserve">Übertragbarkeit: </w:t>
      </w:r>
      <w:r>
        <w:rPr>
          <w:sz w:val="19"/>
        </w:rPr>
        <w:t>Bangladesch, Ressourcen-limitierte Versorgung; Handlungsbedarf zur Prävention und Früherkennung NCDs evident.</w:t>
      </w:r>
    </w:p>
    <w:p>
      <w:r>
        <w:rPr>
          <w:color w:val="5A7D3A"/>
          <w:sz w:val="18"/>
        </w:rPr>
        <w:t>https://pubmed.ncbi.nlm.nih.gov/42811840/</w:t>
      </w:r>
    </w:p>
    <w:p>
      <w:pPr>
        <w:pStyle w:val="Heading2"/>
      </w:pPr>
      <w:r>
        <w:t>Bewegung in die Krankenhausversorgung: Integrierung von Physiotherapie in die chronische Versorgung</w:t>
      </w:r>
    </w:p>
    <w:p>
      <w:r>
        <w:rPr>
          <w:i/>
          <w:color w:val="666666"/>
          <w:sz w:val="18"/>
        </w:rPr>
        <w:t>Barrera-Garcimartín A et al.  ·  Int J Qual Stud Health Well-being  ·  31.12.2026  ·  PMID 42808772</w:t>
      </w:r>
    </w:p>
    <w:p>
      <w:r>
        <w:t>Qualitative Fokusgruppentudie mit 8 Fachpersonen eines öffentlichen Krankenhauses in Spanien zur Rolle von körperlicher Aktivität in der chronischen Versorgung.</w:t>
      </w:r>
    </w:p>
    <w:p>
      <w:r>
        <w:rPr>
          <w:b/>
        </w:rPr>
        <w:t xml:space="preserve">Ergebnis: </w:t>
      </w:r>
      <w:r>
        <w:t>Teilnehmende beschrieben niedrige Aktivität, mangelnde Ressourcen, fehlende institutionelle Unterstützung und schwache Rahmenbedingungen als Barrieren. Als zentral identifiziert: Integration von Sportfachpersonen, Entwicklung strukturierter Programme, stärkere Collaboration mit externen Institutionen.</w:t>
      </w:r>
    </w:p>
    <w:p>
      <w:r>
        <w:rPr>
          <w:b/>
          <w:sz w:val="19"/>
        </w:rPr>
        <w:t xml:space="preserve">Übertragbarkeit: </w:t>
      </w:r>
      <w:r>
        <w:rPr>
          <w:sz w:val="19"/>
        </w:rPr>
        <w:t>Spanien, öffentliche Krankenhaussysteme; Umsetzungshindernisse sind System-unabhängig.</w:t>
      </w:r>
    </w:p>
    <w:p>
      <w:r>
        <w:rPr>
          <w:color w:val="5A7D3A"/>
          <w:sz w:val="18"/>
        </w:rPr>
        <w:t>https://pubmed.ncbi.nlm.nih.gov/42808772/</w:t>
      </w:r>
    </w:p>
    <w:p>
      <w:pPr>
        <w:pStyle w:val="Heading2"/>
      </w:pPr>
      <w:r>
        <w:t>Minimale klinische Relevanz der EQ-VAS bei Post-COVID: Tagesschwankungen und Mess-Standards</w:t>
      </w:r>
    </w:p>
    <w:p>
      <w:r>
        <w:rPr>
          <w:i/>
          <w:color w:val="666666"/>
          <w:sz w:val="18"/>
        </w:rPr>
        <w:t>Kopp J et al.  ·  BMJ Open  ·  25.09.2026  ·  PMID 42790915</w:t>
      </w:r>
    </w:p>
    <w:p>
      <w:r>
        <w:t>Sekundäranalyse von täglichen EQ-VAS-Werten über 7 Tage bei 153 Post-COVID-Patienten aus einem randomisierten Kontrollversuch zur Bestimmung der minimalen wichtigen Differenz (MID).</w:t>
      </w:r>
    </w:p>
    <w:p>
      <w:r>
        <w:rPr>
          <w:b/>
        </w:rPr>
        <w:t xml:space="preserve">Ergebnis: </w:t>
      </w:r>
      <w:r>
        <w:t>Baseline-Median EQ-VAS 48,7 (0-100 Skala); tageszeitliche Variabilität (Median wpSD 6,4); verteilungsbasierte MID 5,9–8,9 Punkte; ankerbasierte MID 8,96 Punkte (FACIT-Fatigue); empfohlener MID-Wert 8 Punkte für zukünftige Studien.</w:t>
      </w:r>
    </w:p>
    <w:p>
      <w:r>
        <w:rPr>
          <w:b/>
          <w:sz w:val="19"/>
        </w:rPr>
        <w:t xml:space="preserve">Übertragbarkeit: </w:t>
      </w:r>
      <w:r>
        <w:rPr>
          <w:sz w:val="19"/>
        </w:rPr>
        <w:t>Schweiz, vergleichbare Versorgungsstrukturen; Messstandardisierung ist System-unabhängig.</w:t>
      </w:r>
    </w:p>
    <w:p>
      <w:r>
        <w:rPr>
          <w:color w:val="5A7D3A"/>
          <w:sz w:val="18"/>
        </w:rPr>
        <w:t>https://pubmed.ncbi.nlm.nih.gov/42790915/</w:t>
      </w:r>
    </w:p>
    <w:p>
      <w:pPr>
        <w:pStyle w:val="Heading1"/>
      </w:pPr>
      <w:r>
        <w:t>Aufgenommen am 30.09.2026</w:t>
      </w:r>
    </w:p>
    <w:p>
      <w:pPr>
        <w:pStyle w:val="Heading2"/>
      </w:pPr>
      <w:r>
        <w:t>Diagnostische Verzögerung bei POTS-Syndrom: 3 Jahre Median, massive Beeinträchtigung</w:t>
      </w:r>
    </w:p>
    <w:p>
      <w:r>
        <w:rPr>
          <w:i/>
          <w:color w:val="666666"/>
          <w:sz w:val="18"/>
        </w:rPr>
        <w:t>Seeley MC et al.  ·  BMJ Open  ·  29.09.2026  ·  PMID 42810796</w:t>
      </w:r>
    </w:p>
    <w:p>
      <w:r>
        <w:t>Beobachtungskohorte mit 500 Patienten mit bestätigtem Postural-Orthostatic-Tachycardia-Syndrom (POTS) aus australischer Registry dokumentierte Symptombürde, diagnostische Verzögerung und Funktionsbeeinträchtigung.</w:t>
      </w:r>
    </w:p>
    <w:p>
      <w:r>
        <w:rPr>
          <w:b/>
        </w:rPr>
        <w:t xml:space="preserve">Ergebnis: </w:t>
      </w:r>
      <w:r>
        <w:t>Mediane diagnostische Verzögerung 3,0 Jahre (IQR 9,0), 25,5% hatten ≥10 Jahre Verzögerung. Trotz jungen Alters (Durchschnitt 31,3 Jahre) und hoher Bildung: 22% arbeitslos oder könnten nicht zur Schule gehen. Infektion war der häufigste Auslöser (39,4%). Höhere autonome Symptombelastung korrelierte mit mehr Fatigue (FSS 56,0 vs. 48,0; p&lt;0,001), Magen-Darm-Symptomen (GCSI 1,60 vs. 0,89; p&lt;0,001) und schlechterer Lebensqualität (EQ-5D 0,547 vs. 0,717; p&lt;0,001).</w:t>
      </w:r>
    </w:p>
    <w:p>
      <w:r>
        <w:rPr>
          <w:b/>
          <w:sz w:val="19"/>
        </w:rPr>
        <w:t xml:space="preserve">Übertragbarkeit: </w:t>
      </w:r>
      <w:r>
        <w:rPr>
          <w:sz w:val="19"/>
        </w:rPr>
        <w:t>Australien, vergleichbare Primärversorgungsstrukturen, ähnlicher Versorgungsauftrag</w:t>
      </w:r>
    </w:p>
    <w:p>
      <w:r>
        <w:rPr>
          <w:color w:val="5A7D3A"/>
          <w:sz w:val="18"/>
        </w:rPr>
        <w:t>https://pubmed.ncbi.nlm.nih.gov/42810796/</w:t>
      </w:r>
    </w:p>
    <w:p>
      <w:pPr>
        <w:pStyle w:val="Heading2"/>
      </w:pPr>
      <w:r>
        <w:t>Mehrfacherkrankung in Alltag und Versorgung: Qualitative Studie zu komplexer Multimorbidität in Dänemark</w:t>
      </w:r>
    </w:p>
    <w:p>
      <w:r>
        <w:rPr>
          <w:i/>
          <w:color w:val="666666"/>
          <w:sz w:val="18"/>
        </w:rPr>
        <w:t>Poulsen AG et al.  ·  Prim Health Care Res Dev  ·  29.09.2026  ·  PMID 42808657</w:t>
      </w:r>
    </w:p>
    <w:p>
      <w:r>
        <w:t>Qualitative Interviews mit 8 Patienten mit komplexer Multimorbidität zeigten, dass diese Patienten trotz mehrerer Diagnosen keine Kontinuität über alle Erkrankungen hinweg erwarten, sondern wünschen sich spezialisierte Betreuung pro Fachgebiet und einen professionellen Lotsen – häufig den Hausarzt – als Unterstützung.</w:t>
      </w:r>
    </w:p>
    <w:p>
      <w:r>
        <w:rPr>
          <w:b/>
        </w:rPr>
        <w:t xml:space="preserve">Ergebnis: </w:t>
      </w:r>
      <w:r>
        <w:t>Kernfindung: Patienten verfolgen aktiv Bewältigungsstrategien zwischen medizinischen Empfehlungen und persönlichen Prioritäten. Ein Ansprechpartner (oft der Hausarzt) war ein signifikanter Unterstützungsfaktor. Die Ergebnisse unterstreichen die Notwendigkeit einer patientenzentrierten Versorgung, die individuelle Ressourcen anerkennt.</w:t>
      </w:r>
    </w:p>
    <w:p>
      <w:r>
        <w:rPr>
          <w:b/>
          <w:sz w:val="19"/>
        </w:rPr>
        <w:t xml:space="preserve">Übertragbarkeit: </w:t>
      </w:r>
      <w:r>
        <w:rPr>
          <w:sz w:val="19"/>
        </w:rPr>
        <w:t>Dänemark, vergleichbares Primärarztsystem mit Gatekeeper-Funktion</w:t>
      </w:r>
    </w:p>
    <w:p>
      <w:r>
        <w:rPr>
          <w:color w:val="5A7D3A"/>
          <w:sz w:val="18"/>
        </w:rPr>
        <w:t>https://pubmed.ncbi.nlm.nih.gov/42808657/</w:t>
      </w:r>
    </w:p>
    <w:p>
      <w:pPr>
        <w:pStyle w:val="Heading2"/>
      </w:pPr>
      <w:r>
        <w:t>Post-COVID-19-Symptome bei Asthma und COPD: Risikofaktoren identifiziert</w:t>
      </w:r>
    </w:p>
    <w:p>
      <w:r>
        <w:rPr>
          <w:i/>
          <w:color w:val="666666"/>
          <w:sz w:val="18"/>
        </w:rPr>
        <w:t>Andreason A et al.  ·  NPJ Prim Care Respir Med  ·  29.09.2026  ·  PMID 42805994</w:t>
      </w:r>
    </w:p>
    <w:p>
      <w:r>
        <w:t>Querschnittstudie mit 494 Patienten mit bestätigter COVID-19-Infektion aus dem schwedischen PRAXIS-Register untersuchte Häufigkeit und Risikofaktoren für persistierende Symptome bei Asthma oder COPD.</w:t>
      </w:r>
    </w:p>
    <w:p>
      <w:r>
        <w:rPr>
          <w:b/>
        </w:rPr>
        <w:t xml:space="preserve">Ergebnis: </w:t>
      </w:r>
      <w:r>
        <w:t>59% (289/494) berichteten Post-COVID-19-Symptome. Unabhängige Risikofaktoren: schwere akute Infektion (aOR 8,91), höheres Alter (aOR 1,25 pro Jahr), weibliches Geschlecht (aOR 1,52), Adipositas (aOR 2,24), Angststörung/Depression (aOR 1,79) und chronischer Schmerz (aOR 3,61). Patienten mit Asthma/COPD hatten höhere Prävalenz persistierender Symptome als andere Populationen.</w:t>
      </w:r>
    </w:p>
    <w:p>
      <w:r>
        <w:rPr>
          <w:b/>
          <w:sz w:val="19"/>
        </w:rPr>
        <w:t xml:space="preserve">Übertragbarkeit: </w:t>
      </w:r>
      <w:r>
        <w:rPr>
          <w:sz w:val="19"/>
        </w:rPr>
        <w:t>Schweden, europäisches Primärversorgungssystem, vergleichbare Dokumentation</w:t>
      </w:r>
    </w:p>
    <w:p>
      <w:r>
        <w:rPr>
          <w:color w:val="5A7D3A"/>
          <w:sz w:val="18"/>
        </w:rPr>
        <w:t>https://pubmed.ncbi.nlm.nih.gov/42805994/</w:t>
      </w:r>
    </w:p>
    <w:p>
      <w:pPr>
        <w:pStyle w:val="Heading2"/>
      </w:pPr>
      <w:r>
        <w:t>Spezialistisch versorgte chronische Erkrankungen im Primärarztsystem: Analyse deutscher Kassendaten</w:t>
      </w:r>
    </w:p>
    <w:p>
      <w:r>
        <w:rPr>
          <w:i/>
          <w:color w:val="666666"/>
          <w:sz w:val="18"/>
        </w:rPr>
        <w:t>Mangiapane S et al.  ·  Bundesgesundheitsblatt Gesundheitsforschung Gesundheitsschutz  ·  08.09.2026  ·  PMID 42709072</w:t>
      </w:r>
    </w:p>
    <w:p>
      <w:r>
        <w:t>Analyse von bundesweiten Abrechnungsdaten für 2024 identifizierte 173 Diagnosegruppen mit hoher fachärztlicher Versorgungsrelevanz, um zu prüfen, welche chronischen Erkrankungen primärärztlich von Spezialisten koordiniert werden könnten.</w:t>
      </w:r>
    </w:p>
    <w:p>
      <w:r>
        <w:rPr>
          <w:b/>
        </w:rPr>
        <w:t xml:space="preserve">Ergebnis: </w:t>
      </w:r>
      <w:r>
        <w:t>Bei Patienten mit Nierenfunktionsstörung (N25) höchster fachärztlicher Anteil: 83% erhielten nephrologische Behandlung, Nephrologen verantwortlich für 77% krankheitsspezifischer Fälle, aber nur 37% aller Behandlungstage. Bei allen fünf exemplarisch analysierten Indikationen (F33, G35, K51, M05, N25) entfielen 43–55% aller Behandlungstage auf Hausärzte, 92–97% der Patienten wurden hausärztlich versorgt. Schlussfolgerung: Spezialistisch geleitete primärärztliche Versorgung würde umfassende fachübergreifende Koordination erfordern, die wahrscheinlich nur für Einzelfälle realistisch ist.</w:t>
      </w:r>
    </w:p>
    <w:p>
      <w:r>
        <w:rPr>
          <w:b/>
          <w:sz w:val="19"/>
        </w:rPr>
        <w:t xml:space="preserve">Übertragbarkeit: </w:t>
      </w:r>
      <w:r>
        <w:rPr>
          <w:sz w:val="19"/>
        </w:rPr>
        <w:t>Deutschland, eigene Kassendaten, Struktur des Versicherungssystems identisch</w:t>
      </w:r>
    </w:p>
    <w:p>
      <w:r>
        <w:rPr>
          <w:color w:val="5A7D3A"/>
          <w:sz w:val="18"/>
        </w:rPr>
        <w:t>https://pubmed.ncbi.nlm.nih.gov/42709072/</w:t>
      </w:r>
    </w:p>
    <w:p>
      <w:pPr>
        <w:pStyle w:val="Heading2"/>
      </w:pPr>
      <w:r>
        <w:t>Steatose bei chronischer Hepatitis B: 42% Prävalenz bei vulnerablen Patienten, HBeAg protektiv, T2DM risikosteigernd</w:t>
      </w:r>
    </w:p>
    <w:p>
      <w:r>
        <w:rPr>
          <w:i/>
          <w:color w:val="666666"/>
          <w:sz w:val="18"/>
        </w:rPr>
        <w:t>Trifan A et al.  ·  J Gastrointestin Liver Dis  ·  29.08.2026  ·  PMID 42667659</w:t>
      </w:r>
    </w:p>
    <w:p>
      <w:r>
        <w:t>Prospektive Querschnittsstudie mit 1.970 Patienten mit chronischer Hepatitis B aus Screening-Programm in Rumänien (LIVE(RO)2) identifizierte metabolische Risikofaktoren für hepatische Steatose mittels kontrollierter Dämpfungsparameter (CAP).</w:t>
      </w:r>
    </w:p>
    <w:p>
      <w:r>
        <w:rPr>
          <w:b/>
        </w:rPr>
        <w:t xml:space="preserve">Ergebnis: </w:t>
      </w:r>
      <w:r>
        <w:t>Steatose-Prävalenz 42,2% bei vulnerablen (sozial benachteiligten) Patienten vs. 26,4% bei nicht-vulnerablen. Vulnerable Patienten hatten höhere Prävalenz von T2DM (11,5%), Hypertonie (41,3%) und Übergewicht (71,3%). HBeAg-Positivität war protektiv gegen Steatose (aOR 0,397), aber erhöhte Zirrhose-Risiko um Faktor 6. Schwere Fibrose (≥F3): 17,1% bei vulnerablen vs. 9,7% bei nicht-vulnerablen.</w:t>
      </w:r>
    </w:p>
    <w:p>
      <w:r>
        <w:rPr>
          <w:b/>
          <w:sz w:val="19"/>
        </w:rPr>
        <w:t xml:space="preserve">Übertragbarkeit: </w:t>
      </w:r>
      <w:r>
        <w:rPr>
          <w:sz w:val="19"/>
        </w:rPr>
        <w:t>Rumänien, Länder Südosteuropas, Primärversorgungsdaten, Struktur ähnlich mitteleuro­päischen Systemen</w:t>
      </w:r>
    </w:p>
    <w:p>
      <w:r>
        <w:rPr>
          <w:color w:val="5A7D3A"/>
          <w:sz w:val="18"/>
        </w:rPr>
        <w:t>https://pubmed.ncbi.nlm.nih.gov/42667659/</w:t>
      </w:r>
    </w:p>
    <w:p>
      <w:pPr>
        <w:pStyle w:val="Heading2"/>
      </w:pPr>
      <w:r>
        <w:t>Point-of-Care-Ultraschall in Zambia erkennt Zirrhose mit moderater Genauigkeit</w:t>
      </w:r>
    </w:p>
    <w:p>
      <w:r>
        <w:rPr>
          <w:i/>
          <w:color w:val="666666"/>
          <w:sz w:val="18"/>
        </w:rPr>
        <w:t>Bertoni C et al.  ·  J Viral Hepat  ·  Sept. 2026  ·  PMID 42547938</w:t>
      </w:r>
    </w:p>
    <w:p>
      <w:r>
        <w:t>Machbarkeitsstudie mit 197 Patienten mit chronischer Hepatitis B ± HIV in Zambia testete, ob trainierte nicht-radiologische Fachkräfte ein vereinfachtes Ultraschallprotokoll (PUSH) zur Erkennung von Fibrose, Zirrhose und HCC einsetzen können.</w:t>
      </w:r>
    </w:p>
    <w:p>
      <w:r>
        <w:rPr>
          <w:b/>
        </w:rPr>
        <w:t xml:space="preserve">Ergebnis: </w:t>
      </w:r>
      <w:r>
        <w:t>Nach kurzer Schulung: PUSH zeigte niedrige Genauigkeit für signifikante Fibrose (Sensitivität 8,3%, Spezifität 100%, AUROC 0,54), moderate Genauigkeit für Zirrhose (Sensitivität 60,9%, Spezifität 97,7%, AUROC 0,79) und höhere Genauigkeit für Leberläsionen verdächtig auf HCC (Sensitivität 85,7%, Spezifität 98,4%, AUROC 0,92). Schlussfolgerung: Frontline-Fachkräfte können PUSH für Zirrhose und Leberläsionen nutzen, wenn Labor- und Elastographiesysteme fehlen.</w:t>
      </w:r>
    </w:p>
    <w:p>
      <w:r>
        <w:rPr>
          <w:b/>
          <w:sz w:val="19"/>
        </w:rPr>
        <w:t xml:space="preserve">Übertragbarkeit: </w:t>
      </w:r>
      <w:r>
        <w:rPr>
          <w:sz w:val="19"/>
        </w:rPr>
        <w:t>Ressourcenarm-Setting, Übertragbarkeit auf Deutschland gering, aber Methodische Relevanz für Versorgung ohne hochwertige Labordiagnostik</w:t>
      </w:r>
    </w:p>
    <w:p>
      <w:r>
        <w:rPr>
          <w:color w:val="5A7D3A"/>
          <w:sz w:val="18"/>
        </w:rPr>
        <w:t>https://pubmed.ncbi.nlm.nih.gov/42547938/</w:t>
      </w:r>
    </w:p>
    <w:p>
      <w:pPr>
        <w:pStyle w:val="Heading1"/>
      </w:pPr>
      <w:r>
        <w:t>Aufgenommen am 29.09.2026</w:t>
      </w:r>
    </w:p>
    <w:p>
      <w:pPr>
        <w:pStyle w:val="Heading2"/>
      </w:pPr>
      <w:r>
        <w:t>Sarcopenie bei chronischer Nierenkrankheit: 28 % Prävalenz bei ESRD, assoziiert mit Metabolik und Frailty</w:t>
      </w:r>
    </w:p>
    <w:p>
      <w:r>
        <w:rPr>
          <w:i/>
          <w:color w:val="666666"/>
          <w:sz w:val="18"/>
        </w:rPr>
        <w:t>Agidew MM et al.  ·  BMJ Open  ·  28.09.2026  ·  PMID 42805656</w:t>
      </w:r>
    </w:p>
    <w:p>
      <w:r>
        <w:t>Querschnittstudie aus Äthiopien zu Sarcopenie-Prävalenz und Risikofaktoren bei erwachsenen CKD-Patienten (n=120) in einer nephrologischen Klinik, mit fokus auf ESRD-Differenzierung.</w:t>
      </w:r>
    </w:p>
    <w:p>
      <w:r>
        <w:rPr>
          <w:b/>
        </w:rPr>
        <w:t xml:space="preserve">Ergebnis: </w:t>
      </w:r>
      <w:r>
        <w:t>Sarcopenie-Prävalenz war signifikant höher bei ESRD als ohne ESRD (28,3 % vs. 10,0 %; p=0,01). Unabhängige Prädiktoren waren niedriges HDL, erhöhtes Triglycerid, Hyperglykämie, Hypertonie und Frailty. Korrelationen mit Nierenfunktion (r=−0,291; p=0,001) und oxidativem Stress bestätigt.</w:t>
      </w:r>
    </w:p>
    <w:p>
      <w:r>
        <w:rPr>
          <w:b/>
          <w:sz w:val="19"/>
        </w:rPr>
        <w:t xml:space="preserve">Übertragbarkeit: </w:t>
      </w:r>
      <w:r>
        <w:rPr>
          <w:sz w:val="19"/>
        </w:rPr>
        <w:t>Äthiopien, aber CKD-Komplikationen global, Screening-Empfehlungen übertragbar</w:t>
      </w:r>
    </w:p>
    <w:p>
      <w:r>
        <w:rPr>
          <w:color w:val="5A7D3A"/>
          <w:sz w:val="18"/>
        </w:rPr>
        <w:t>https://pubmed.ncbi.nlm.nih.gov/42805656/</w:t>
      </w:r>
    </w:p>
    <w:p>
      <w:pPr>
        <w:pStyle w:val="Heading2"/>
      </w:pPr>
      <w:r>
        <w:t>Nierentransplantate von Spendern mit Diabetes: 5-Jahres-Funktion nach Matchingvergleich unbedenklich</w:t>
      </w:r>
    </w:p>
    <w:p>
      <w:r>
        <w:rPr>
          <w:i/>
          <w:color w:val="666666"/>
          <w:sz w:val="18"/>
        </w:rPr>
        <w:t>Colella-Santos M et al.  ·  Clin Transplant  ·  Okt. 2026  ·  PMID 42804549</w:t>
      </w:r>
    </w:p>
    <w:p>
      <w:r>
        <w:t>Retrospektive brasilianische Kohortenstudie zu 5-Jahres-Nierenfunktion und Transplantat-Überleben nach Nierentransplantation mit verstorbenen Spendern mit oder ohne Diabetes mellitus (n=3.058), mit Propensity-Score-Matching.</w:t>
      </w:r>
    </w:p>
    <w:p>
      <w:r>
        <w:rPr>
          <w:b/>
        </w:rPr>
        <w:t xml:space="preserve">Ergebnis: </w:t>
      </w:r>
      <w:r>
        <w:t>Nach Matching unterschieden sich eGFR über 5 Jahre, eGFR-Steigung und zensiertes Transplantat-Überleben nicht zwischen Spendern mit und ohne Diabetes. Pre-implantations-Biopsien zeigten selten Diabetes-assoziierte glomeruläre Läsionen; keine Banff-Parameter sagten eGFR&lt;30 oder Transplantatverlust voraus (alle p&gt;0,05).</w:t>
      </w:r>
    </w:p>
    <w:p>
      <w:r>
        <w:rPr>
          <w:b/>
          <w:sz w:val="19"/>
        </w:rPr>
        <w:t xml:space="preserve">Übertragbarkeit: </w:t>
      </w:r>
      <w:r>
        <w:rPr>
          <w:sz w:val="19"/>
        </w:rPr>
        <w:t>Brasilien, aber Organallokation und Transplantat-Qualitätskriterien überträglich</w:t>
      </w:r>
    </w:p>
    <w:p>
      <w:r>
        <w:rPr>
          <w:color w:val="5A7D3A"/>
          <w:sz w:val="18"/>
        </w:rPr>
        <w:t>https://pubmed.ncbi.nlm.nih.gov/42804549/</w:t>
      </w:r>
    </w:p>
    <w:p>
      <w:pPr>
        <w:pStyle w:val="Heading2"/>
      </w:pPr>
      <w:r>
        <w:t>Ältere mit konservativer Nierenfunktions-Erhaltung lehnen Dialyse ab – Nephrologie stellt sie selten bereit</w:t>
      </w:r>
    </w:p>
    <w:p>
      <w:r>
        <w:rPr>
          <w:i/>
          <w:color w:val="666666"/>
          <w:sz w:val="18"/>
        </w:rPr>
        <w:t>Geiger MP et al.  ·  JAMA Netw Open  ·  01.09.2026  ·  PMID 42804203</w:t>
      </w:r>
    </w:p>
    <w:p>
      <w:r>
        <w:t>Qualitative Sekundäranalyse von Klinikakten aus zwei US-RCTs (CKD-EDU und DIAL-SDM, 2019–2024) zur Entscheidungsfindung von älteren (≥75 Jahren) mit ESRD bezüglich konservativer Nierenbehandlung ohne Dialyse.</w:t>
      </w:r>
    </w:p>
    <w:p>
      <w:r>
        <w:rPr>
          <w:b/>
        </w:rPr>
        <w:t xml:space="preserve">Ergebnis: </w:t>
      </w:r>
      <w:r>
        <w:t>35 von 118 Patienten (mittl. Alter 82 J.) wählten konservative Behandlung. Gründe: Vermeidung von Dialyse-Belastung zur Qualitätserhaltung, schlechte Gesundheit, Beobachtung von Dialyse-Folgen bei Angehörigen, Schutz vor Übermedikalisierung am Lebensende. Nephrologists hinterfragten häufig zielkonkordante Entscheidungen, initiierten selten Advance-Care-Planning.</w:t>
      </w:r>
    </w:p>
    <w:p>
      <w:r>
        <w:rPr>
          <w:b/>
          <w:sz w:val="19"/>
        </w:rPr>
        <w:t xml:space="preserve">Übertragbarkeit: </w:t>
      </w:r>
      <w:r>
        <w:rPr>
          <w:sz w:val="19"/>
        </w:rPr>
        <w:t>USA, aber Shared Decision Making und Palliativversorgung international relevant</w:t>
      </w:r>
    </w:p>
    <w:p>
      <w:r>
        <w:rPr>
          <w:color w:val="5A7D3A"/>
          <w:sz w:val="18"/>
        </w:rPr>
        <w:t>https://pubmed.ncbi.nlm.nih.gov/42804203/</w:t>
      </w:r>
    </w:p>
    <w:p>
      <w:pPr>
        <w:pStyle w:val="Heading2"/>
      </w:pPr>
      <w:r>
        <w:t>Therapietreue senkt HCC-Inzidenz bei Hepatitis-B-Zirrhose um 23 %</w:t>
      </w:r>
    </w:p>
    <w:p>
      <w:r>
        <w:rPr>
          <w:i/>
          <w:color w:val="666666"/>
          <w:sz w:val="18"/>
        </w:rPr>
        <w:t>Shin YE et al.  ·  J Med Virol  ·  Okt. 2026  ·  PMID 42803662</w:t>
      </w:r>
    </w:p>
    <w:p>
      <w:r>
        <w:t>Kohortenstudie mit südkoreanischen Abrechnungsdaten zur Assoziation zwischen Therapietreue (Medikamentenpossession-Ratio ≥90 %) bei Nukleosid-Analoga-Therapie und Hepatozellulären Karzinom-Risiko bei chronischer Hepatitis B.</w:t>
      </w:r>
    </w:p>
    <w:p>
      <w:r>
        <w:rPr>
          <w:b/>
        </w:rPr>
        <w:t xml:space="preserve">Ergebnis: </w:t>
      </w:r>
      <w:r>
        <w:t>Bei Patienten mit Claims-definierter Zirrhose zeigte hohe Therapietreue eine 34 % niedrigere HCC-Inzidenz als geringe Treue (32,92 vs. 49,59 pro 1000 Personenjahre; IR-Ratio 0,66; 95%-KI 0,57–0,78), in multivariaten Cox-Regressionen bestätigt (HR 0,77; 95%-KI 0,66–0,90).</w:t>
      </w:r>
    </w:p>
    <w:p>
      <w:r>
        <w:rPr>
          <w:b/>
          <w:sz w:val="19"/>
        </w:rPr>
        <w:t xml:space="preserve">Übertragbarkeit: </w:t>
      </w:r>
      <w:r>
        <w:rPr>
          <w:sz w:val="19"/>
        </w:rPr>
        <w:t>Südkorea, nationales Versicherungssystem vergleichbar mit Deutschland</w:t>
      </w:r>
    </w:p>
    <w:p>
      <w:r>
        <w:rPr>
          <w:color w:val="5A7D3A"/>
          <w:sz w:val="18"/>
        </w:rPr>
        <w:t>https://pubmed.ncbi.nlm.nih.gov/42803662/</w:t>
      </w:r>
    </w:p>
    <w:p>
      <w:pPr>
        <w:pStyle w:val="Heading2"/>
      </w:pPr>
      <w:r>
        <w:t>Automatische Peritonealdialyse senkt Restfunktion schneller als CAPD</w:t>
      </w:r>
    </w:p>
    <w:p>
      <w:r>
        <w:rPr>
          <w:i/>
          <w:color w:val="666666"/>
          <w:sz w:val="18"/>
        </w:rPr>
        <w:t>Sun L et al.  ·  Ren Fail  ·  27.09.2026  ·  PMID 42802590</w:t>
      </w:r>
    </w:p>
    <w:p>
      <w:r>
        <w:t>Retrospektive chinesische Kohortenstudie zu Nierenrestfunktion (RKF) bei Peritonealdialyse-Patienten mit Neudiagnose ESKD, vergleichend nach Modalität (APD vs. CAPD).</w:t>
      </w:r>
    </w:p>
    <w:p>
      <w:r>
        <w:rPr>
          <w:b/>
        </w:rPr>
        <w:t xml:space="preserve">Ergebnis: </w:t>
      </w:r>
      <w:r>
        <w:t>Nach 6 Monaten Peritonealdialyse zeigte die APD-Gruppe signifikant niedrigere RKF (1,9±1,6 vs. 3,0±1,7 mL/min/1,73 m²; p=0,043) und schnelleren mittleren RKF-Rückgang (−6,6±2,5 vs. −4,3±2,3 mL/min/1,73 m²/Jahr; p=0,002). In multivariater Regression war APD unabhängig mit beschleunigtem RKF-Rückgang assoziiert (β=0,93; p=0,004).</w:t>
      </w:r>
    </w:p>
    <w:p>
      <w:r>
        <w:rPr>
          <w:b/>
          <w:sz w:val="19"/>
        </w:rPr>
        <w:t xml:space="preserve">Übertragbarkeit: </w:t>
      </w:r>
      <w:r>
        <w:rPr>
          <w:sz w:val="19"/>
        </w:rPr>
        <w:t>China, aber Nierenersatzverfahren und Organschutz universal relevant</w:t>
      </w:r>
    </w:p>
    <w:p>
      <w:r>
        <w:rPr>
          <w:color w:val="5A7D3A"/>
          <w:sz w:val="18"/>
        </w:rPr>
        <w:t>https://pubmed.ncbi.nlm.nih.gov/42802590/</w:t>
      </w:r>
    </w:p>
    <w:p>
      <w:pPr>
        <w:pStyle w:val="Heading2"/>
      </w:pPr>
      <w:r>
        <w:t>Direkt-wirkende Antivirale sind sicher bei Hepatitis-C-Patienten mit Hypertonie</w:t>
      </w:r>
    </w:p>
    <w:p>
      <w:r>
        <w:rPr>
          <w:i/>
          <w:color w:val="666666"/>
          <w:sz w:val="18"/>
        </w:rPr>
        <w:t>Brzdęk M et al.  ·  Viruses  ·  12.07.2026  ·  PMID 42515615</w:t>
      </w:r>
    </w:p>
    <w:p>
      <w:r>
        <w:t>Retrospektive Kohortenstudie von 2015–2023 aus Polen zu Sicherheit und Wirksamkeit direkt-wirkender Antiviraler (DAA) bei HCV-infizierten Patienten mit arterieller Hypertonie.</w:t>
      </w:r>
    </w:p>
    <w:p>
      <w:r>
        <w:rPr>
          <w:b/>
        </w:rPr>
        <w:t xml:space="preserve">Ergebnis: </w:t>
      </w:r>
      <w:r>
        <w:t>Von 18.968 DAA-behandelten HCV-Patienten hatten 5.976 Hypertonie. Anhaltendes virologisches Ansprechen (SVR) war hoch und vergleichbar zwischen Hypertonie- und Nicht-Hypertonie-Gruppe (94,8 % vs. 94,2 % ITT-Analyse, 97,6 % vs. 97,6 % per-Protokoll). Hypertonie war nicht unabhängig mit Therapieversagen assoziiert (OR 0,87; 95%-KI 0,69–1,10).</w:t>
      </w:r>
    </w:p>
    <w:p>
      <w:r>
        <w:rPr>
          <w:b/>
          <w:sz w:val="19"/>
        </w:rPr>
        <w:t xml:space="preserve">Übertragbarkeit: </w:t>
      </w:r>
      <w:r>
        <w:rPr>
          <w:sz w:val="19"/>
        </w:rPr>
        <w:t>Polen, Struktur und Kostenträgermodell europäisch vergleichbar</w:t>
      </w:r>
    </w:p>
    <w:p>
      <w:r>
        <w:rPr>
          <w:color w:val="5A7D3A"/>
          <w:sz w:val="18"/>
        </w:rPr>
        <w:t>https://pubmed.ncbi.nlm.nih.gov/42515615/</w:t>
      </w:r>
    </w:p>
    <w:p>
      <w:pPr>
        <w:pStyle w:val="Heading1"/>
      </w:pPr>
      <w:r>
        <w:t>Aufgenommen am 28.09.2026</w:t>
      </w:r>
    </w:p>
    <w:p>
      <w:pPr>
        <w:pStyle w:val="Heading2"/>
      </w:pPr>
      <w:r>
        <w:t>Strukturierte COPD-Versorgung senkte Sterblichkeit nach akuter Exazerbation um 36 %</w:t>
      </w:r>
    </w:p>
    <w:p>
      <w:r>
        <w:rPr>
          <w:i/>
          <w:color w:val="666666"/>
          <w:sz w:val="18"/>
        </w:rPr>
        <w:t>Flury JS et al.  ·  Swiss Med Wkly  ·  31.08.2026  ·  PMID 42801453</w:t>
      </w:r>
    </w:p>
    <w:p>
      <w:r>
        <w:t>Retrospektive Kohorte von 1.855 Patienten mit akuter COPD-Exazerbation: Wer vor Hospitalisierung langwirkende inhalative Therapie erhielt, hatte deutlich bessere 1-Jahres-Überlebenschancen.</w:t>
      </w:r>
    </w:p>
    <w:p>
      <w:r>
        <w:rPr>
          <w:b/>
        </w:rPr>
        <w:t xml:space="preserve">Ergebnis: </w:t>
      </w:r>
      <w:r>
        <w:t>15,9 % Mortalität ohne Vortherapie vs. 10,1 % mit Vortherapie (adjustierte HR 1,95; 95%-KI 1,48–2,56; p&lt;0,001). Diagnostische und therapeutische Lücken waren erheblich: 50,6 % fehlte GOLD-Spirometrie-Staging, 82,6 % fehlte Risikostratifizierung.</w:t>
      </w:r>
    </w:p>
    <w:p>
      <w:r>
        <w:rPr>
          <w:b/>
          <w:sz w:val="19"/>
        </w:rPr>
        <w:t xml:space="preserve">Übertragbarkeit: </w:t>
      </w:r>
      <w:r>
        <w:rPr>
          <w:sz w:val="19"/>
        </w:rPr>
        <w:t>Schweiz, sekundäres Krankenhaus, vergleichbar mit deutscher Dokumentationspraxis und Strukturen.</w:t>
      </w:r>
    </w:p>
    <w:p>
      <w:r>
        <w:rPr>
          <w:color w:val="5A7D3A"/>
          <w:sz w:val="18"/>
        </w:rPr>
        <w:t>https://pubmed.ncbi.nlm.nih.gov/42801453/</w:t>
      </w:r>
    </w:p>
    <w:p>
      <w:pPr>
        <w:pStyle w:val="Heading2"/>
      </w:pPr>
      <w:r>
        <w:t>Natrium-Bikarbonat verbesserte Lebensqualität nicht bei CKD mit metabolischer Azidose</w:t>
      </w:r>
    </w:p>
    <w:p>
      <w:r>
        <w:rPr>
          <w:i/>
          <w:color w:val="666666"/>
          <w:sz w:val="18"/>
        </w:rPr>
        <w:t>Chan JYM et al.  ·  Qual Life Res  ·  27.09.2026  ·  PMID 42801387</w:t>
      </w:r>
    </w:p>
    <w:p>
      <w:r>
        <w:t>Pragmatische 18-Monats-RCT in Malaysia: 74 Patienten mit CKD Stadium 3–4 und metabolischer Azidose randomisiert zu Natrium-Bikarbonat (Tablette/Lösung) oder Standardbetreuung; Lebensqualität mittels KDQOL-36 und EQ-VAS gemessen.</w:t>
      </w:r>
    </w:p>
    <w:p>
      <w:r>
        <w:rPr>
          <w:b/>
        </w:rPr>
        <w:t xml:space="preserve">Ergebnis: </w:t>
      </w:r>
      <w:r>
        <w:t>Natrium-Bikarbonat erhöhte Serum-Bikarbonat initial, aber nur 1/3 erreichte Zielbereich 22–26 mmol/L. KDQOL-36- und EQ-VAS-Scores verbesserten sich nicht signifikant. CKD-Progression war unabhängig mit niedrigerer Lebensqualität assoziiert. Keine signifikanten Unterschiede in Blutdruck, Körpergewicht oder Hospitalisierungen.</w:t>
      </w:r>
    </w:p>
    <w:p>
      <w:r>
        <w:rPr>
          <w:b/>
          <w:sz w:val="19"/>
        </w:rPr>
        <w:t xml:space="preserve">Übertragbarkeit: </w:t>
      </w:r>
      <w:r>
        <w:rPr>
          <w:sz w:val="19"/>
        </w:rPr>
        <w:t>Malaysia, Primäre Versorgung, zeigt, dass Laborwerte nicht automatisch Patientenbefinden verbessern.</w:t>
      </w:r>
    </w:p>
    <w:p>
      <w:r>
        <w:rPr>
          <w:color w:val="5A7D3A"/>
          <w:sz w:val="18"/>
        </w:rPr>
        <w:t>https://pubmed.ncbi.nlm.nih.gov/42801387/</w:t>
      </w:r>
    </w:p>
    <w:p>
      <w:pPr>
        <w:pStyle w:val="Heading2"/>
      </w:pPr>
      <w:r>
        <w:t>Depression und Angst bei COPD-Patienten: Großflächig unterdiagnostiziert und untertherapiert</w:t>
      </w:r>
    </w:p>
    <w:p>
      <w:r>
        <w:rPr>
          <w:i/>
          <w:color w:val="666666"/>
          <w:sz w:val="18"/>
        </w:rPr>
        <w:t>Valiulis T et al.  ·  Int J Chron Obstruct Pulmon Dis  ·  22.09.2026  ·  PMID 42801175</w:t>
      </w:r>
    </w:p>
    <w:p>
      <w:r>
        <w:t>Landesweite Sekundärdatenanalyse aus Litauen mit 64.246 COPD-Patienten zur Häufigkeit psychiatrischer Komorbiditäten und deren Behandlung.</w:t>
      </w:r>
    </w:p>
    <w:p>
      <w:r>
        <w:rPr>
          <w:b/>
        </w:rPr>
        <w:t xml:space="preserve">Ergebnis: </w:t>
      </w:r>
      <w:r>
        <w:t>18,1 % hatte diagnostizierte psychiatrische Störung (26,8 % Frauen vs. 12,1 % Männer; adjustierte OR 2,40; p&lt;0,001). Angststörungen 15,0 %, depressive Störungen 4,6 %. 61,9 % der betroffenen Patienten erhielten Psychopharmaka, davon 89,9 % Anxiolytika. Hausärzte verschrieben 10,66-fach häufiger Anxiolytika als Psychiater.</w:t>
      </w:r>
    </w:p>
    <w:p>
      <w:r>
        <w:rPr>
          <w:b/>
          <w:sz w:val="19"/>
        </w:rPr>
        <w:t xml:space="preserve">Übertragbarkeit: </w:t>
      </w:r>
      <w:r>
        <w:rPr>
          <w:sz w:val="19"/>
        </w:rPr>
        <w:t>Litauen, Primäre Versorgung, zeigt Versorgungslücke auch in europäischen Gesundheitssystemen.</w:t>
      </w:r>
    </w:p>
    <w:p>
      <w:r>
        <w:rPr>
          <w:color w:val="5A7D3A"/>
          <w:sz w:val="18"/>
        </w:rPr>
        <w:t>https://pubmed.ncbi.nlm.nih.gov/42801175/</w:t>
      </w:r>
    </w:p>
    <w:p>
      <w:pPr>
        <w:pStyle w:val="Heading2"/>
      </w:pPr>
      <w:r>
        <w:t>Multidimensionale COPD-Phänotypen lassen sich clustern, benötigen aber externe Validierung</w:t>
      </w:r>
    </w:p>
    <w:p>
      <w:r>
        <w:rPr>
          <w:i/>
          <w:color w:val="666666"/>
          <w:sz w:val="18"/>
        </w:rPr>
        <w:t>Portacci A et al.  ·  Medicina (Kaunas)  ·  29.08.2026  ·  PMID 42796263</w:t>
      </w:r>
    </w:p>
    <w:p>
      <w:r>
        <w:t>Explorative Querschnittsstudie mit 161 COPD-Patienten: Unüberwachte Clusteranalyse (PAM) auf klinische, funktionelle, radiologische und Labordaten zur Identifikation von Phänotyp-Subgruppen.</w:t>
      </w:r>
    </w:p>
    <w:p>
      <w:r>
        <w:rPr>
          <w:b/>
        </w:rPr>
        <w:t xml:space="preserve">Ergebnis: </w:t>
      </w:r>
      <w:r>
        <w:t>Zwei-Cluster-Lösung hatte höchste Silhouetten-Breite (0,184), aber geringe Trennung. Cluster 1 (n=78): höhere Symptom- und Exazerbationslast, schlechtere Lungenfunktion, stärkere statische Hyperinflation, kürzere 6-Minuten-Gehstrecke, häufiger Emphysem. Bootstrap-Resampling zeigte interne Stabilität, externe Validierung aber erforderlich. Nur LAMA/LABA/ICS-Einsatz unterschied sich signifikant zwischen Clustern.</w:t>
      </w:r>
    </w:p>
    <w:p>
      <w:r>
        <w:rPr>
          <w:b/>
          <w:sz w:val="19"/>
        </w:rPr>
        <w:t xml:space="preserve">Übertragbarkeit: </w:t>
      </w:r>
      <w:r>
        <w:rPr>
          <w:sz w:val="19"/>
        </w:rPr>
        <w:t>Italien, Sekundärversorgung; explorativ, externe Validierung ausstehend.</w:t>
      </w:r>
    </w:p>
    <w:p>
      <w:r>
        <w:rPr>
          <w:color w:val="5A7D3A"/>
          <w:sz w:val="18"/>
        </w:rPr>
        <w:t>https://pubmed.ncbi.nlm.nih.gov/42796263/</w:t>
      </w:r>
    </w:p>
    <w:p>
      <w:pPr>
        <w:pStyle w:val="Heading2"/>
      </w:pPr>
      <w:r>
        <w:t>RDW sagt 1-Jahres-Mortalität bei CKD mit Hypertonie voraus – praktisch anwendbar</w:t>
      </w:r>
    </w:p>
    <w:p>
      <w:r>
        <w:rPr>
          <w:i/>
          <w:color w:val="666666"/>
          <w:sz w:val="18"/>
        </w:rPr>
        <w:t>Li L et al.  ·  BMC Cardiovasc Disord  ·  08.08.2026  ·  PMID 42791552</w:t>
      </w:r>
    </w:p>
    <w:p>
      <w:r>
        <w:t>Retrospektive Kohorte von 6.731 ICU-Patienten mit hypertensiver CKD aus MIMIC-IV: Assoziation von Blutbild-Parametern (RDW, HRR, RPR) mit 1-Jahres-Mortalität mittels Cox-Regression und ROC-Analysen.</w:t>
      </w:r>
    </w:p>
    <w:p>
      <w:r>
        <w:rPr>
          <w:b/>
        </w:rPr>
        <w:t xml:space="preserve">Ergebnis: </w:t>
      </w:r>
      <w:r>
        <w:t>37,2 % (2.505/6.731) starben innerhalb eines Jahres. Erhöhtes RDW assoziiert mit erhöhtem Mortalitätsrisiko (HR 1,19; 95%-KI 1,16–1,21; p&lt;0,001). AUC für RDW 0,668, für HRR 0,600. RDW verbesserte Vorhersageleistung etablierter Risikomodelle; Subgruppen-Interaktionen mit CRRT-Einsatz und CKD-Stadium nachgewiesen.</w:t>
      </w:r>
    </w:p>
    <w:p>
      <w:r>
        <w:rPr>
          <w:b/>
          <w:sz w:val="19"/>
        </w:rPr>
        <w:t xml:space="preserve">Übertragbarkeit: </w:t>
      </w:r>
      <w:r>
        <w:rPr>
          <w:sz w:val="19"/>
        </w:rPr>
        <w:t>MIMIC-IV-Datenbank (USA), aber einfache Laborparameter ohne Kostensperre übertragbar.</w:t>
      </w:r>
    </w:p>
    <w:p>
      <w:r>
        <w:rPr>
          <w:color w:val="5A7D3A"/>
          <w:sz w:val="18"/>
        </w:rPr>
        <w:t>https://pubmed.ncbi.nlm.nih.gov/42791552/</w:t>
      </w:r>
    </w:p>
    <w:p>
      <w:pPr>
        <w:pStyle w:val="Heading2"/>
      </w:pPr>
      <w:r>
        <w:t>Kindliche Traumata verdoppeln Multimorbidität im Alter – Dosis-Wirkungs-Beziehung nachgewiesen</w:t>
      </w:r>
    </w:p>
    <w:p>
      <w:r>
        <w:rPr>
          <w:i/>
          <w:color w:val="666666"/>
          <w:sz w:val="18"/>
        </w:rPr>
        <w:t>Ahmed A et al.  ·  PLoS One  ·  25.09.2026  ·  PMID 42789523</w:t>
      </w:r>
    </w:p>
    <w:p>
      <w:r>
        <w:t>Querschnittsstudie mit 734 Nigeranern ≥60 Jahren: Kumulative adverse Kindheitserlebnisse (ACEs) und deren Assoziation mit Multimorbidität (≥2 chronische Erkrankungen).</w:t>
      </w:r>
    </w:p>
    <w:p>
      <w:r>
        <w:rPr>
          <w:b/>
        </w:rPr>
        <w:t xml:space="preserve">Ergebnis: </w:t>
      </w:r>
      <w:r>
        <w:t>68,4 % berichteten ≥4 ACEs. Multimorbidität bei 38,4 % (≥3 Erkrankungen). Unadjustierte OR für ≥4 ACEs: 67,14 (95%-KI 9,25–487,04). Nach Adjustierung (Alter, Geschlecht, Haushaltsgröße) OR 15,58 (95%-KI 1,33–182,21). Klare Dosis-Wirkungs-Beziehung nachgewiesen.</w:t>
      </w:r>
    </w:p>
    <w:p>
      <w:r>
        <w:rPr>
          <w:b/>
          <w:sz w:val="19"/>
        </w:rPr>
        <w:t xml:space="preserve">Übertragbarkeit: </w:t>
      </w:r>
      <w:r>
        <w:rPr>
          <w:sz w:val="19"/>
        </w:rPr>
        <w:t>Nigeria, aber Lebensverlauf-Mechanismus transkulturell relevant; zeigt Ungleichheit als Untersuchungsgegenstand.</w:t>
      </w:r>
    </w:p>
    <w:p>
      <w:r>
        <w:rPr>
          <w:color w:val="5A7D3A"/>
          <w:sz w:val="18"/>
        </w:rPr>
        <w:t>https://pubmed.ncbi.nlm.nih.gov/42789523/</w:t>
      </w:r>
    </w:p>
    <w:p>
      <w:pPr>
        <w:pStyle w:val="Heading1"/>
      </w:pPr>
      <w:r>
        <w:t>Aufgenommen am 27.09.2026</w:t>
      </w:r>
    </w:p>
    <w:p>
      <w:pPr>
        <w:pStyle w:val="Heading2"/>
      </w:pPr>
      <w:r>
        <w:t>Kritische Fehler bei 73 % der Patienten: Inhalationstechnik in Asthma und COPD deutlich verbesserbar</w:t>
      </w:r>
    </w:p>
    <w:p>
      <w:r>
        <w:rPr>
          <w:i/>
          <w:color w:val="666666"/>
          <w:sz w:val="18"/>
        </w:rPr>
        <w:t>Damasceno IHM et al.  ·  Can Respir J  ·  2026  ·  PMID 42799340</w:t>
      </w:r>
    </w:p>
    <w:p>
      <w:r>
        <w:t>Querschnittstudie an 575 Patienten (≥18 Jahre) mit Asthma und/oder COPD, die ihre Inhalationstechnik mit standardisierten Checklisten demonstrierten.</w:t>
      </w:r>
    </w:p>
    <w:p>
      <w:r>
        <w:rPr>
          <w:b/>
        </w:rPr>
        <w:t xml:space="preserve">Ergebnis: </w:t>
      </w:r>
      <w:r>
        <w:t>Nur 8,2% führten alle Schritte korrekt aus; 73,4% hatten ≥1 kritischen Fehler. Unabhängig assoziiert mit kritischen Fehlern: höheres Alter (OR 1,029 pro Jahr), Mehrgeräte-Nutzung (OR 2,500), schützend: inspiratorisch-unabhängige Mechanismen (OR 0,262). Ältere Patienten und Mehrgerätenutzer besonders vulnerabel.</w:t>
      </w:r>
    </w:p>
    <w:p>
      <w:r>
        <w:rPr>
          <w:b/>
          <w:sz w:val="19"/>
        </w:rPr>
        <w:t xml:space="preserve">Übertragbarkeit: </w:t>
      </w:r>
      <w:r>
        <w:rPr>
          <w:sz w:val="19"/>
        </w:rPr>
        <w:t>Brasilien, aber Technikmängel universell; Intervention mit lokalem Ressourcentransfer übertragbar</w:t>
      </w:r>
    </w:p>
    <w:p>
      <w:r>
        <w:rPr>
          <w:color w:val="5A7D3A"/>
          <w:sz w:val="18"/>
        </w:rPr>
        <w:t>https://pubmed.ncbi.nlm.nih.gov/42799340/</w:t>
      </w:r>
    </w:p>
    <w:p>
      <w:pPr>
        <w:pStyle w:val="Heading2"/>
      </w:pPr>
      <w:r>
        <w:t>Finerenon reduziert Proteinurie um 52 % bei Typ-2-Diabetes mit CKD und hoher Proteinausscheidung</w:t>
      </w:r>
    </w:p>
    <w:p>
      <w:r>
        <w:rPr>
          <w:i/>
          <w:color w:val="666666"/>
          <w:sz w:val="18"/>
        </w:rPr>
        <w:t>Sun N et al.  ·  Front Endocrinol (Lausanne)  ·  11.09.2026  ·  PMID 42798812</w:t>
      </w:r>
    </w:p>
    <w:p>
      <w:r>
        <w:t>Retrospektive Kohortenstudie an 134 Patienten mit Typ-2-Diabetes und CKD mit Proteinurie &gt;1 g/d, behandelt mit oder ohne Finerenon über 12 Monate.</w:t>
      </w:r>
    </w:p>
    <w:p>
      <w:r>
        <w:rPr>
          <w:b/>
        </w:rPr>
        <w:t xml:space="preserve">Ergebnis: </w:t>
      </w:r>
      <w:r>
        <w:t>Finerenon-Gruppe: 52,8% mit erhaltener gestufter Proteinurie-Verbesserung vs. Kontrolle 33,3%. Nach Propensity Score-Gewichtung: OR 1,26 (95% KI 1,07–1,47; p=0,004). Kaplan-Meier zeigte signifikanten Unterschied in der Zeit bis zur Verbesserung (Log-rank p=0,026–0,033). Kein erhöhtes Hyperkalämie-Risiko über 12 Monate.</w:t>
      </w:r>
    </w:p>
    <w:p>
      <w:r>
        <w:rPr>
          <w:b/>
          <w:sz w:val="19"/>
        </w:rPr>
        <w:t xml:space="preserve">Übertragbarkeit: </w:t>
      </w:r>
      <w:r>
        <w:rPr>
          <w:sz w:val="19"/>
        </w:rPr>
        <w:t>China, aber Finerenon europäisch zugelassen; Mehrfacherkrankung (Diabetes+CKD) zentral</w:t>
      </w:r>
    </w:p>
    <w:p>
      <w:r>
        <w:rPr>
          <w:color w:val="5A7D3A"/>
          <w:sz w:val="18"/>
        </w:rPr>
        <w:t>https://pubmed.ncbi.nlm.nih.gov/42798812/</w:t>
      </w:r>
    </w:p>
    <w:p>
      <w:pPr>
        <w:pStyle w:val="Heading2"/>
      </w:pPr>
      <w:r>
        <w:t>Nach Stoppung antiviraler Therapie bei Hepatitis B: 20 % erzielen HBsAg-Verlust, aber 24 % schwere Schübe</w:t>
      </w:r>
    </w:p>
    <w:p>
      <w:r>
        <w:rPr>
          <w:i/>
          <w:color w:val="666666"/>
          <w:sz w:val="18"/>
        </w:rPr>
        <w:t>Lund K et al.  ·  Viruses  ·  15.09.2026  ·  PMID 42797857</w:t>
      </w:r>
    </w:p>
    <w:p>
      <w:r>
        <w:t>Prospektive Studie an 25 HBeAg-negativen Patienten ohne Zirrhose, die nach ≥3 Jahren Nukleos(t)id-Analog-Therapie abstoppten, mit 2-jähriger monatlicher Nachsorge (initial 6 Monate).</w:t>
      </w:r>
    </w:p>
    <w:p>
      <w:r>
        <w:rPr>
          <w:b/>
        </w:rPr>
        <w:t xml:space="preserve">Ergebnis: </w:t>
      </w:r>
      <w:r>
        <w:t>Nach Therapie-Stopp: 5 Patienten (20%) HBsAg-Seroclearance-Muster (4 HBsAg-Negativität, 1 &lt;1 IU/mL); 7 (28%) immunologische Kontrolle mit persistierend niedriger HBV-DNA und normaler ALT; 6 (24%) schwere Schübe mit Therapie-Wiederaufnahme, einschließlich 1 fulminanter Hepatitis mit Lebertransplantation. Alle mit schwerem Schub hatten detektierbare HBcrAg bei Therapie-Stopp. Spitzen-HBV-DNA korrelierte mit und präzedierte Spitzen-ALT.</w:t>
      </w:r>
    </w:p>
    <w:p>
      <w:r>
        <w:rPr>
          <w:b/>
          <w:sz w:val="19"/>
        </w:rPr>
        <w:t xml:space="preserve">Übertragbarkeit: </w:t>
      </w:r>
      <w:r>
        <w:rPr>
          <w:sz w:val="19"/>
        </w:rPr>
        <w:t>Schweden, aber internationale Patienten; enges Monitoring mit schnellen HBV-DNA-Tests in Deutschland verfügbar</w:t>
      </w:r>
    </w:p>
    <w:p>
      <w:r>
        <w:rPr>
          <w:color w:val="5A7D3A"/>
          <w:sz w:val="18"/>
        </w:rPr>
        <w:t>https://pubmed.ncbi.nlm.nih.gov/42797857/</w:t>
      </w:r>
    </w:p>
    <w:p>
      <w:pPr>
        <w:pStyle w:val="Heading2"/>
      </w:pPr>
      <w:r>
        <w:t>Ketoanaloga-ergänzte Protein-Diät bei CKD und Herzinsuffizienz: Körpergewicht sinkt, Albumin stabil</w:t>
      </w:r>
    </w:p>
    <w:p>
      <w:r>
        <w:rPr>
          <w:i/>
          <w:color w:val="666666"/>
          <w:sz w:val="18"/>
        </w:rPr>
        <w:t>Tanasescu MD et al.  ·  Nutrients  ·  20.09.2026  ·  PMID 42797051</w:t>
      </w:r>
    </w:p>
    <w:p>
      <w:r>
        <w:t>Retrospektive Kohortenstudie an 75 Erwachsenen mit fortgeschrittener nicht-dialysepflichtiger CKD und chronischer Herzinsuffizienz, behandelt mit Ketoanaloga-ergänzter sehr niedriger Protein-Diät (0,28–0,40 g/kg/Tag) über Median 243 Tage mit Ernährungsberater-Unterstützung.</w:t>
      </w:r>
    </w:p>
    <w:p>
      <w:r>
        <w:rPr>
          <w:b/>
        </w:rPr>
        <w:t xml:space="preserve">Ergebnis: </w:t>
      </w:r>
      <w:r>
        <w:t>Primäres Outcome (Körpergewichtsverlust): Hodges-Lehmann-Schätzung −3,99% (95% KI −4,68 bis −3,42; p&lt;0,001). Mittleres Körpergewicht sank von 75,85±7,98 auf 72,65±7,09 kg (−3,10 kg; 95% KI −3,60 bis −2,65). BMI sank (−0,95 kg/m²; p&lt;0,001). ≥5% Gewichtsverlust bei 22 Patienten (29,3%), keiner ≥10%. Serumalbumin und Gesamtprotein stiegen leicht an. eGFR-Abfall moderat (−1,50 mL/min/1,73 m²; p=0,007). Phosphor, Kalzium-Phosphor-Produkt, PTH und alkalische Phosphatase sanken, Kalzium stieg. NYHA-Klasse in 61 Patienten (81,3%) unverändert, LVEF leicht gesunken.</w:t>
      </w:r>
    </w:p>
    <w:p>
      <w:r>
        <w:rPr>
          <w:b/>
          <w:sz w:val="19"/>
        </w:rPr>
        <w:t xml:space="preserve">Übertragbarkeit: </w:t>
      </w:r>
      <w:r>
        <w:rPr>
          <w:sz w:val="19"/>
        </w:rPr>
        <w:t>Rumänien; Mehrfacherkrankung (CKD+Herzinsuffizienz), spezialisierte Ernährungsintervention in Deutschland durch Nephrologie etabliert</w:t>
      </w:r>
    </w:p>
    <w:p>
      <w:r>
        <w:rPr>
          <w:color w:val="5A7D3A"/>
          <w:sz w:val="18"/>
        </w:rPr>
        <w:t>https://pubmed.ncbi.nlm.nih.gov/42797051/</w:t>
      </w:r>
    </w:p>
    <w:p>
      <w:pPr>
        <w:pStyle w:val="Heading2"/>
      </w:pPr>
      <w:r>
        <w:t>Aktives Case Finding mit CAT-Fragebogen verdoppelt COPD-Diagnosen in rumänischer Hausarztpraxis</w:t>
      </w:r>
    </w:p>
    <w:p>
      <w:r>
        <w:rPr>
          <w:i/>
          <w:color w:val="666666"/>
          <w:sz w:val="18"/>
        </w:rPr>
        <w:t>Iana AN et al.  ·  Medicina (Kaunas)  ·  21.09.2026  ·  PMID 42796426</w:t>
      </w:r>
    </w:p>
    <w:p>
      <w:r>
        <w:t>Prospektive Studie unter 220 Patienten über 40 Jahren mit Atemwegsrisikofaktoren, die spirometrische Testung nach Screening mit COPD Assessment Test (CAT) und mMRC-Dyspnoe-Skala durchliefen.</w:t>
      </w:r>
    </w:p>
    <w:p>
      <w:r>
        <w:rPr>
          <w:b/>
        </w:rPr>
        <w:t xml:space="preserve">Ergebnis: </w:t>
      </w:r>
      <w:r>
        <w:t>COPD bei 48,2% diagnostiziert (n=106). CAT-Schwelle ≥17 zeigte beste Kennwerte (64,2% Sensitivität, 74,6% Spezifität), mMRC≥2 hohe Spezifität (82,5%), aber niedrige Sensitivität (41,5%). Symptombelastung (Husten, Sputum, Schlaf) war aussagekräftiger als Dyspnoe allein für Case Finding in der Primärversorgung.</w:t>
      </w:r>
    </w:p>
    <w:p>
      <w:r>
        <w:rPr>
          <w:b/>
          <w:sz w:val="19"/>
        </w:rPr>
        <w:t xml:space="preserve">Übertragbarkeit: </w:t>
      </w:r>
      <w:r>
        <w:rPr>
          <w:sz w:val="19"/>
        </w:rPr>
        <w:t>Rumänische Hausarztpraxis, jedoch generisch übertragbar für spezialisiertes Case Finding ohne nationale DMP-Struktur</w:t>
      </w:r>
    </w:p>
    <w:p>
      <w:r>
        <w:rPr>
          <w:color w:val="5A7D3A"/>
          <w:sz w:val="18"/>
        </w:rPr>
        <w:t>https://pubmed.ncbi.nlm.nih.gov/42796426/</w:t>
      </w:r>
    </w:p>
    <w:p>
      <w:pPr>
        <w:pStyle w:val="Heading2"/>
      </w:pPr>
      <w:r>
        <w:t>Bessere Inhalationstechnik und höheres Wissen verdreifachen Therapietreue bei COPD</w:t>
      </w:r>
    </w:p>
    <w:p>
      <w:r>
        <w:rPr>
          <w:i/>
          <w:color w:val="666666"/>
          <w:sz w:val="18"/>
        </w:rPr>
        <w:t>Nguyen H et al.  ·  JMIR Nurs  ·  25.09.2026  ·  PMID 42789344</w:t>
      </w:r>
    </w:p>
    <w:p>
      <w:r>
        <w:t>Querschnittstudie an 420 ambulanten COPD-Patienten zu Wissen, praktischen Inhalations- und Atemtechniken sowie Therapietreue.</w:t>
      </w:r>
    </w:p>
    <w:p>
      <w:r>
        <w:rPr>
          <w:b/>
        </w:rPr>
        <w:t xml:space="preserve">Ergebnis: </w:t>
      </w:r>
      <w:r>
        <w:t>Nur 36,9% (n=155) adhärent insgesamt. 78,8% mit unzureichendem COPD-Wissen, 63,8% mit adäquaten praktischen Fähigkeiten. Höheres Wissensscore (aOR 1,20; 95% KI 1,06–1,31; p=0,001), korrekte Inhalationstechnik (aOR 3,10; 95% KI 2,10–4,70; p=0,001) und adäquate Atemtechniken (aOR 1,70; 95% KI 1,08–2,71; p=0,02) unabhängig mit besserer Adhärenz assoziiert.</w:t>
      </w:r>
    </w:p>
    <w:p>
      <w:r>
        <w:rPr>
          <w:b/>
          <w:sz w:val="19"/>
        </w:rPr>
        <w:t xml:space="preserve">Übertragbarkeit: </w:t>
      </w:r>
      <w:r>
        <w:rPr>
          <w:sz w:val="19"/>
        </w:rPr>
        <w:t>Vietnam; Patienten-Edukation und Skilltraining sind universell wirksame Versorgungselemente</w:t>
      </w:r>
    </w:p>
    <w:p>
      <w:r>
        <w:rPr>
          <w:color w:val="5A7D3A"/>
          <w:sz w:val="18"/>
        </w:rPr>
        <w:t>https://pubmed.ncbi.nlm.nih.gov/42789344/</w:t>
      </w:r>
    </w:p>
    <w:p>
      <w:pPr>
        <w:pStyle w:val="Heading1"/>
      </w:pPr>
      <w:r>
        <w:t>Aufgenommen am 26.09.2026</w:t>
      </w:r>
    </w:p>
    <w:p>
      <w:pPr>
        <w:pStyle w:val="Heading2"/>
      </w:pPr>
      <w:r>
        <w:t>Multimorbidity erhöht Depressionrisiko: systematische Übersicht von Kohortenstudien</w:t>
      </w:r>
    </w:p>
    <w:p>
      <w:r>
        <w:rPr>
          <w:i/>
          <w:color w:val="666666"/>
          <w:sz w:val="18"/>
        </w:rPr>
        <w:t>Wu J et al.  ·  J Glob Health  ·  25.09.2026  ·  PMID 42788325</w:t>
      </w:r>
    </w:p>
    <w:p>
      <w:r>
        <w:t>Systematische Überprüfung von 17 Kohortenstudien zu Assoziationen zwischen Mehrfacherkrankung und inzidenter Depression oder depressiven Symptomen.</w:t>
      </w:r>
    </w:p>
    <w:p>
      <w:r>
        <w:rPr>
          <w:b/>
        </w:rPr>
        <w:t xml:space="preserve">Ergebnis: </w:t>
      </w:r>
      <w:r>
        <w:t>Mehrfacherkrankung war konsistent mit erhöhtem Depressionrisiko assoziiert; das Risiko stieg mit der Zahl chronischer Erkrankungen. Kardiovaskulär-metabolische und respiratorische Muster zeigten die konsistentesten Assoziationen mit Depression. Diese Assoziation war über Geschlechter und Länder stabil.</w:t>
      </w:r>
    </w:p>
    <w:p>
      <w:r>
        <w:rPr>
          <w:b/>
          <w:sz w:val="19"/>
        </w:rPr>
        <w:t xml:space="preserve">Übertragbarkeit: </w:t>
      </w:r>
      <w:r>
        <w:rPr>
          <w:sz w:val="19"/>
        </w:rPr>
        <w:t>Europäische und internationale Kohortenstudien, Ergebnisse unabhängig von Versorgungsstrukturen übertragbar.</w:t>
      </w:r>
    </w:p>
    <w:p>
      <w:r>
        <w:rPr>
          <w:color w:val="5A7D3A"/>
          <w:sz w:val="18"/>
        </w:rPr>
        <w:t>https://pubmed.ncbi.nlm.nih.gov/42788325/</w:t>
      </w:r>
    </w:p>
    <w:p>
      <w:pPr>
        <w:pStyle w:val="Heading2"/>
      </w:pPr>
      <w:r>
        <w:t>Versicherungslücken erhöhten Kostenhindernisse bei Mehrfacherkrankten um bis zu 3,44-fach</w:t>
      </w:r>
    </w:p>
    <w:p>
      <w:r>
        <w:rPr>
          <w:i/>
          <w:color w:val="666666"/>
          <w:sz w:val="18"/>
        </w:rPr>
        <w:t>Cao Y et al.  ·  Front Public Health  ·  10.09.2026  ·  PMID 42787109</w:t>
      </w:r>
    </w:p>
    <w:p>
      <w:r>
        <w:t>Querschnittstudie mit US-Versichertendaten (MEPS) zur Assoziation zwischen Dauer von Versicherungslücken und nachfolgenden kostenbezogenen Barrieren für medizinische Versorgung bei Erwachsenen mit Mehrfacherkrankung.</w:t>
      </w:r>
    </w:p>
    <w:p>
      <w:r>
        <w:rPr>
          <w:b/>
        </w:rPr>
        <w:t xml:space="preserve">Ergebnis: </w:t>
      </w:r>
      <w:r>
        <w:t>Verglichen mit keiner Lücke hatten Patienten mit 24 Monaten Versicherungslücke eine aOR von 3,44 (95%-KI 1,84–6,44) für Kostenhindernisse; bereinigte Wahrscheinlichkeiten waren 17,4 % (keine Lücke) bis 39,8 % (24 Monate). Kontinuierlich Versicherte hatten höhere Gesamtausgaben ($26.134 vs. $4.884).</w:t>
      </w:r>
    </w:p>
    <w:p>
      <w:r>
        <w:rPr>
          <w:b/>
          <w:sz w:val="19"/>
        </w:rPr>
        <w:t xml:space="preserve">Übertragbarkeit: </w:t>
      </w:r>
      <w:r>
        <w:rPr>
          <w:sz w:val="19"/>
        </w:rPr>
        <w:t>USA-Daten mit anderer Finanzierung; übertragbar nur für Erkenntnisse über Versicherungslücken als Risikofaktor.</w:t>
      </w:r>
    </w:p>
    <w:p>
      <w:r>
        <w:rPr>
          <w:color w:val="5A7D3A"/>
          <w:sz w:val="18"/>
        </w:rPr>
        <w:t>https://pubmed.ncbi.nlm.nih.gov/42787109/</w:t>
      </w:r>
    </w:p>
    <w:p>
      <w:pPr>
        <w:pStyle w:val="Heading2"/>
      </w:pPr>
      <w:r>
        <w:t>Schlafhygiene-Profile bei chronischen Erkrankungen: drei Phenotypen mit unterschiedlichen Risikofaktoren</w:t>
      </w:r>
    </w:p>
    <w:p>
      <w:r>
        <w:rPr>
          <w:i/>
          <w:color w:val="666666"/>
          <w:sz w:val="18"/>
        </w:rPr>
        <w:t>Seong H et al.  ·  Appl Nurs Res  ·  12.09.2026  ·  PMID 42785828</w:t>
      </w:r>
    </w:p>
    <w:p>
      <w:r>
        <w:t>Latent-Class-Analyse von 488 koreanischen Patienten mit chronischen Erkrankungen und Schlafstörungen (PSQI &gt;5) zur Identifikation von Schlafhygiene-Profilen.</w:t>
      </w:r>
    </w:p>
    <w:p>
      <w:r>
        <w:rPr>
          <w:b/>
        </w:rPr>
        <w:t xml:space="preserve">Ergebnis: </w:t>
      </w:r>
      <w:r>
        <w:t>Drei Profile identifiziert: 'Optimale Schlafhygiene' (66,2 %), 'Verhaltensbezogene gestörte Schlaf' (27,7 %) und 'Hochrisiko-dysregulierter Schlaf' (6,1 %). Verhaltensgestörte Gruppe assoziiert mit Rauchen (OR 16,53), Alkohol (OR 3,78) und männlichem Geschlecht (OR 3,53). Hochrisiko-Gruppe mit psychosozialer Belastung (OR 5,38) assoziiert.</w:t>
      </w:r>
    </w:p>
    <w:p>
      <w:r>
        <w:rPr>
          <w:b/>
          <w:sz w:val="19"/>
        </w:rPr>
        <w:t xml:space="preserve">Übertragbarkeit: </w:t>
      </w:r>
      <w:r>
        <w:rPr>
          <w:sz w:val="19"/>
        </w:rPr>
        <w:t>Südkorea; Erkenntnisse zur Identifikation heterogener Schlafhygiene-Phänotypen vergleichbar, Interventionen müssen lokal validiert werden.</w:t>
      </w:r>
    </w:p>
    <w:p>
      <w:r>
        <w:rPr>
          <w:color w:val="5A7D3A"/>
          <w:sz w:val="18"/>
        </w:rPr>
        <w:t>https://pubmed.ncbi.nlm.nih.gov/42785828/</w:t>
      </w:r>
    </w:p>
    <w:p>
      <w:pPr>
        <w:pStyle w:val="Heading2"/>
      </w:pPr>
      <w:r>
        <w:t>Ramadan-Fasten bei Hämodialyse-Patienten mit Diabetes: keine Hypoglykämie unter standardisiertem Protokoll</w:t>
      </w:r>
    </w:p>
    <w:p>
      <w:r>
        <w:rPr>
          <w:i/>
          <w:color w:val="666666"/>
          <w:sz w:val="18"/>
        </w:rPr>
        <w:t>Saman A et al.  ·  Med Sci (Basel)  ·  27.08.2026  ·  PMID 42783395</w:t>
      </w:r>
    </w:p>
    <w:p>
      <w:r>
        <w:t>Prospektive Multizenterstudie mit 153 Patienten mit terminalem Nierenversagen und Diabetes an vier Zentren in Thailand zu Sicherheit von Ramadan-Fasten unter Hämodialyse.</w:t>
      </w:r>
    </w:p>
    <w:p>
      <w:r>
        <w:rPr>
          <w:b/>
        </w:rPr>
        <w:t xml:space="preserve">Ergebnis: </w:t>
      </w:r>
      <w:r>
        <w:t>Keine intradialytischen Hypoglykämien in Vollfast- oder Nicht-Fasten-Gruppen (0 Episoden); eine Episode (0,2 %) in Teilfasten-Gruppe. Hämodialyse-Komplikationen, Blutdruck, Kt/V-Wert und interdialytische Gewichtszunahme vergleichbar über alle Gruppen. Serum-Kalium und Parathormon stiegen ohne klinische Ereignisse.</w:t>
      </w:r>
    </w:p>
    <w:p>
      <w:r>
        <w:rPr>
          <w:b/>
          <w:sz w:val="19"/>
        </w:rPr>
        <w:t xml:space="preserve">Übertragbarkeit: </w:t>
      </w:r>
      <w:r>
        <w:rPr>
          <w:sz w:val="19"/>
        </w:rPr>
        <w:t>Thailand, aber standardisiertes Medikamentenmanagement und Monitoring-Protokoll auf deutsche Dialysezentren übertragbar.</w:t>
      </w:r>
    </w:p>
    <w:p>
      <w:r>
        <w:rPr>
          <w:color w:val="5A7D3A"/>
          <w:sz w:val="18"/>
        </w:rPr>
        <w:t>https://pubmed.ncbi.nlm.nih.gov/42783395/</w:t>
      </w:r>
    </w:p>
    <w:p>
      <w:pPr>
        <w:pStyle w:val="Heading2"/>
      </w:pPr>
      <w:r>
        <w:t>Post-Bronchodilator-COPD mit erhöhtem Mortalitätsrisiko: Lateinamerikanische Populationsstudie</w:t>
      </w:r>
    </w:p>
    <w:p>
      <w:r>
        <w:rPr>
          <w:i/>
          <w:color w:val="666666"/>
          <w:sz w:val="18"/>
        </w:rPr>
        <w:t>Pérez-Padilla R et al.  ·  Respir Res Clin Pract  ·  22.05.2026  ·  PMID 42781375</w:t>
      </w:r>
    </w:p>
    <w:p>
      <w:r>
        <w:t>PLATINO-Kohortenstudie mit 2.942 Teilnehmern über 5–9 Jahre zur Prognostizierung von Mortalität, Exazerbationen und FEV1-Verlauf durch prä- und post-Bronchodilator-Atemwegsobstruktion.</w:t>
      </w:r>
    </w:p>
    <w:p>
      <w:r>
        <w:rPr>
          <w:b/>
        </w:rPr>
        <w:t xml:space="preserve">Ergebnis: </w:t>
      </w:r>
      <w:r>
        <w:t>Persistente Atemwegsobstruktion (post-BD) assoziiert mit Mortalität (HR 2,99; 95%-KI 2,1–4,3) vs. Kontrollen; reversible Obstruktion (HR 1,9; 95%-KI 1,1–3,1) hatte 4,1-fach höheres Risiko für COPD-Entwicklung (OR 4,1; 95%-KI 2,0–8,5). FEV1-Rückgang in persistenter Gruppe –13,4 mL/Jahr.</w:t>
      </w:r>
    </w:p>
    <w:p>
      <w:r>
        <w:rPr>
          <w:b/>
          <w:sz w:val="19"/>
        </w:rPr>
        <w:t xml:space="preserve">Übertragbarkeit: </w:t>
      </w:r>
      <w:r>
        <w:rPr>
          <w:sz w:val="19"/>
        </w:rPr>
        <w:t>Lateinamerika, aber Spirometrie-Standards international vergleichbar; Risikostratifizierung übertragbar auf Deutschland.</w:t>
      </w:r>
    </w:p>
    <w:p>
      <w:r>
        <w:rPr>
          <w:color w:val="5A7D3A"/>
          <w:sz w:val="18"/>
        </w:rPr>
        <w:t>https://pubmed.ncbi.nlm.nih.gov/42781375/</w:t>
      </w:r>
    </w:p>
    <w:p>
      <w:pPr>
        <w:pStyle w:val="Heading2"/>
      </w:pPr>
      <w:r>
        <w:t>Cordyceps sinensis schützte vor CKD-Progression nach virusinduziertem Akutnierenversagen</w:t>
      </w:r>
    </w:p>
    <w:p>
      <w:r>
        <w:rPr>
          <w:i/>
          <w:color w:val="666666"/>
          <w:sz w:val="18"/>
        </w:rPr>
        <w:t>Min M et al.  ·  Ren Fail  ·  23.09.2026  ·  PMID 42779256</w:t>
      </w:r>
    </w:p>
    <w:p>
      <w:r>
        <w:t>Retrospektive Kohortenstudie mit 99 Patienten mit Hämorrhagischem Fieber und Nierensyndrom (HFRS-AKI) an einem chinesischen Zentrum zum Effekt von Cordyceps-sinensis-Präparaten auf Nierenerholung.</w:t>
      </w:r>
    </w:p>
    <w:p>
      <w:r>
        <w:rPr>
          <w:b/>
        </w:rPr>
        <w:t xml:space="preserve">Ergebnis: </w:t>
      </w:r>
      <w:r>
        <w:t>27,3 % der HFRS-AKI-Patienten entwickelten CKD. Cordyceps-sinensis-Behandlung war unabhängiger Schutzfaktor gegen unvollständige Nierenerholung (OR 0,323; 95%-KI 0,114–0,916; p=0,034). Inverse-Probability-Weighting bestätigte Assoziation (β –1,184; p=0,026). Überlebenszeitanalyse zeigte verbesserte Nierenergebnisse (Log-Rank p=0,004).</w:t>
      </w:r>
    </w:p>
    <w:p>
      <w:r>
        <w:rPr>
          <w:b/>
          <w:sz w:val="19"/>
        </w:rPr>
        <w:t xml:space="preserve">Übertragbarkeit: </w:t>
      </w:r>
      <w:r>
        <w:rPr>
          <w:sz w:val="19"/>
        </w:rPr>
        <w:t>China, virales-induziertes Akutnierenversagen; Erkenntnisse zu Adjuvantien-Therapie-Effekten prinzipiell übertragbar, aber Präparat-Verfügbarkeit lokal unterschiedlich.</w:t>
      </w:r>
    </w:p>
    <w:p>
      <w:r>
        <w:rPr>
          <w:color w:val="5A7D3A"/>
          <w:sz w:val="18"/>
        </w:rPr>
        <w:t>https://pubmed.ncbi.nlm.nih.gov/42779256/</w:t>
      </w:r>
    </w:p>
    <w:p>
      <w:pPr>
        <w:pStyle w:val="Heading1"/>
      </w:pPr>
      <w:r>
        <w:t>Aufgenommen am 25.09.2026</w:t>
      </w:r>
    </w:p>
    <w:p>
      <w:pPr>
        <w:pStyle w:val="Heading2"/>
      </w:pPr>
      <w:r>
        <w:t>Neutrophile und Lymphozyten vorhersagen Adipositas-assoziierte CKD bei Älteren</w:t>
      </w:r>
    </w:p>
    <w:p>
      <w:r>
        <w:rPr>
          <w:i/>
          <w:color w:val="666666"/>
          <w:sz w:val="18"/>
        </w:rPr>
        <w:t>Zhu B et al.  ·  Ren Fail  ·  24.09.2026  ·  PMID 42785974</w:t>
      </w:r>
    </w:p>
    <w:p>
      <w:r>
        <w:t>Querschnittsanalyse von 15.000+ älteren Erwachsenen (65–85 J.) in Shanghai: Erhöhte Neutrophile und Lymphozyten sowie niedrigeres Verhältnis Thrombozyt-zu-Lymphozyt wurden unabhängig mit CKD bei Adipösen assoziiert.</w:t>
      </w:r>
    </w:p>
    <w:p>
      <w:r>
        <w:rPr>
          <w:b/>
        </w:rPr>
        <w:t xml:space="preserve">Ergebnis: </w:t>
      </w:r>
      <w:r>
        <w:t>Bei adipösen Teilnehmern: erhöhte Neutrophile aOR 1,42 (95% CI 1,07–1,90) für höchstes vs. niedriges Tertil, erhöhte Lymphozyten aOR 1,53 (95% CI 1,16–2,01); Thrombozyten-Lymphozyten-Verhältnis aOR 0,70 (95% CI 0,53–0,92) – diese Routineblutuntersuchungen könnten frühe Risikoschichtung adipositas-assoziierter CKD ermöglichen.</w:t>
      </w:r>
    </w:p>
    <w:p>
      <w:r>
        <w:rPr>
          <w:b/>
          <w:sz w:val="19"/>
        </w:rPr>
        <w:t xml:space="preserve">Übertragbarkeit: </w:t>
      </w:r>
      <w:r>
        <w:rPr>
          <w:sz w:val="19"/>
        </w:rPr>
        <w:t>China, vergleichbar mit Sozialversicherungssystemen; Blutungsparameter sind Routinemarkierungen</w:t>
      </w:r>
    </w:p>
    <w:p>
      <w:r>
        <w:rPr>
          <w:color w:val="5A7D3A"/>
          <w:sz w:val="18"/>
        </w:rPr>
        <w:t>https://pubmed.ncbi.nlm.nih.gov/42785974/</w:t>
      </w:r>
    </w:p>
    <w:p>
      <w:pPr>
        <w:pStyle w:val="Heading2"/>
      </w:pPr>
      <w:r>
        <w:t>Patient-Provider-Partnerschaft erhöht Advance-Care-Planning-Bereitschaft bei CKD-Patienten</w:t>
      </w:r>
    </w:p>
    <w:p>
      <w:r>
        <w:rPr>
          <w:i/>
          <w:color w:val="666666"/>
          <w:sz w:val="18"/>
        </w:rPr>
        <w:t>Hsu JR et al.  ·  Appl Nurs Res  ·  27.08.2026  ·  PMID 42785824</w:t>
      </w:r>
    </w:p>
    <w:p>
      <w:r>
        <w:t>Querschnittsstudie an 218 nichtdialysepflichtigen CKD-Patienten: Patient-Provider-Partnerschaft war stärkster unabhängiger Prädiktor der Bereitschaft zu Advance Care Planning (ACP), nicht aber Krankheitsstadium oder Nierenfunktion.</w:t>
      </w:r>
    </w:p>
    <w:p>
      <w:r>
        <w:rPr>
          <w:b/>
        </w:rPr>
        <w:t xml:space="preserve">Ergebnis: </w:t>
      </w:r>
      <w:r>
        <w:t>Patient-Provider-Partnerschaft erklärte 12,7 % der Varianz in ACP-Bereitschaft (vs. 6,1 % bei Demografie allein); höheres Alter und stärkere Partnerschaft waren assoziiert mit erhöhter Bereitschaft. ACP-Bereitschaft insgesamt niedrig bis moderat, besonders beim initialen Gespräch mit Fachkräften.</w:t>
      </w:r>
    </w:p>
    <w:p>
      <w:r>
        <w:rPr>
          <w:b/>
          <w:sz w:val="19"/>
        </w:rPr>
        <w:t xml:space="preserve">Übertragbarkeit: </w:t>
      </w:r>
      <w:r>
        <w:rPr>
          <w:sz w:val="19"/>
        </w:rPr>
        <w:t>Taiwan, ambulante Nephrologie; Übertragbarkeit auf Deutschland hängt von Arzt-Patient-Kommunikation ab</w:t>
      </w:r>
    </w:p>
    <w:p>
      <w:r>
        <w:rPr>
          <w:color w:val="5A7D3A"/>
          <w:sz w:val="18"/>
        </w:rPr>
        <w:t>https://pubmed.ncbi.nlm.nih.gov/42785824/</w:t>
      </w:r>
    </w:p>
    <w:p>
      <w:pPr>
        <w:pStyle w:val="Heading2"/>
      </w:pPr>
      <w:r>
        <w:t>Antihypertensive Medikation zeigt minimale Assoziation mit Lebensqualität bei CKD-Jugendlichen</w:t>
      </w:r>
    </w:p>
    <w:p>
      <w:r>
        <w:rPr>
          <w:i/>
          <w:color w:val="666666"/>
          <w:sz w:val="18"/>
        </w:rPr>
        <w:t>Botdorf M et al.  ·  Qual Life Res  ·  24.09.2026  ·  PMID 42782549</w:t>
      </w:r>
    </w:p>
    <w:p>
      <w:r>
        <w:t>Querschnittsanalyse von 395 Jugendlichen (8–21 J.) mit CKD und Hypertonie an 15 US-Zentren: Über 95 % berichten positive Versorgungserfahrungen; antihypertensive Medikamentenlast zeigte nur schwache Assoziation mit Lebensqualität, während körperliche Symptombelastung hoch ist.</w:t>
      </w:r>
    </w:p>
    <w:p>
      <w:r>
        <w:rPr>
          <w:b/>
        </w:rPr>
        <w:t xml:space="preserve">Ergebnis: </w:t>
      </w:r>
      <w:r>
        <w:t>Mehrere Medikamente (23 % der Kohorte) assoziiert mit leicht niedrigerem globalen Gesundheitswert (B –2,6; 95% CI –4,9 bis –0,3); keine Assoziationen mit anderen Lebensqualitätsdimensionen. Jugendliche berichten gesamthaft niedrigere QoL als allgemeine Bevölkerung, besonders in globalem Gesundheitswert und Müdigkeit.</w:t>
      </w:r>
    </w:p>
    <w:p>
      <w:r>
        <w:rPr>
          <w:b/>
          <w:sz w:val="19"/>
        </w:rPr>
        <w:t xml:space="preserve">Übertragbarkeit: </w:t>
      </w:r>
      <w:r>
        <w:rPr>
          <w:sz w:val="19"/>
        </w:rPr>
        <w:t>USA, spezialisierte Pädiatrie; Lebensqualitätsmessung übertragbar, Medikamentenlasten können variieren</w:t>
      </w:r>
    </w:p>
    <w:p>
      <w:r>
        <w:rPr>
          <w:color w:val="5A7D3A"/>
          <w:sz w:val="18"/>
        </w:rPr>
        <w:t>https://pubmed.ncbi.nlm.nih.gov/42782549/</w:t>
      </w:r>
    </w:p>
    <w:p>
      <w:pPr>
        <w:pStyle w:val="Heading2"/>
      </w:pPr>
      <w:r>
        <w:t>Mehrdimensionales Risiko-Screening identifiziert High-Risk-Gruppe mit 41 % aller Adverse Events bei älteren Patienten mit Mehrfacherkrankung</w:t>
      </w:r>
    </w:p>
    <w:p>
      <w:r>
        <w:rPr>
          <w:i/>
          <w:color w:val="666666"/>
          <w:sz w:val="18"/>
        </w:rPr>
        <w:t>Zhou MM et al.  ·  Front Public Health  ·  09.09.2026  ·  PMID 42780304</w:t>
      </w:r>
    </w:p>
    <w:p>
      <w:r>
        <w:t>Retrospektive Entwicklung und interne Validierung eines nomographischen Vorhersagemodells für 12-Monatsereignisse (ungeplante Hospitalisierung, ≥2 Notfallbesuche, funktionaler Niedergang, Mortalität) bei 690 älteren Erwachsenen (≥60 J.) mit Mehrfacherkrankung in China; 7 Prädiktoren identifiziert.</w:t>
      </w:r>
    </w:p>
    <w:p>
      <w:r>
        <w:rPr>
          <w:b/>
        </w:rPr>
        <w:t xml:space="preserve">Ergebnis: </w:t>
      </w:r>
      <w:r>
        <w:t>Modell zeigte gute Diskriminierung (AUC 0,847 Derivation, 0,831 bootstrap-validiert, 0,819 temporal); 41,2 % niedrig-, 42,0 % intermediär-, 16,8 % hochrisiko. Die hochrisiko-Gruppe (16,8 %) machte 41,1 % aller Ereignisse aus. Szenaroanalyse: modellgesteuerte Stratifizierung könnte Adverse Events um 25,3 % reduzieren.</w:t>
      </w:r>
    </w:p>
    <w:p>
      <w:r>
        <w:rPr>
          <w:b/>
          <w:sz w:val="19"/>
        </w:rPr>
        <w:t xml:space="preserve">Übertragbarkeit: </w:t>
      </w:r>
      <w:r>
        <w:rPr>
          <w:sz w:val="19"/>
        </w:rPr>
        <w:t>China, tertiäre Klinik; externe Validierung in primärer/sekundärer Versorgung erforderlich; Risiko-Alert und Monitoring-Stratifizierung übertragbar</w:t>
      </w:r>
    </w:p>
    <w:p>
      <w:r>
        <w:rPr>
          <w:color w:val="5A7D3A"/>
          <w:sz w:val="18"/>
        </w:rPr>
        <w:t>https://pubmed.ncbi.nlm.nih.gov/42780304/</w:t>
      </w:r>
    </w:p>
    <w:p>
      <w:pPr>
        <w:pStyle w:val="Heading2"/>
      </w:pPr>
      <w:r>
        <w:t>Triglycerid-Glucose-Waist-to-Height-Ratio vorhersagt neu auftretende Mehrfacherkrankung</w:t>
      </w:r>
    </w:p>
    <w:p>
      <w:r>
        <w:rPr>
          <w:i/>
          <w:color w:val="666666"/>
          <w:sz w:val="18"/>
        </w:rPr>
        <w:t>Shao Z et al.  ·  Cardiovasc Diabetol  ·  24.08.2026  ·  PMID 42778926</w:t>
      </w:r>
    </w:p>
    <w:p>
      <w:r>
        <w:t>Prospektive Kohortenanalyse von 4 nationalen Studien (CHARLS, ELSA, HRS, NHANES): TyG-WHtR (kombiniert Insulinresistenz und zentrale Adipositas) zeigte nichtlineare Dosis-Wirkungs-Assoziationen mit neuer Mehrfacherkrankung; Inflexionspunkte bei 5,92–6,69 je Kohorte.</w:t>
      </w:r>
    </w:p>
    <w:p>
      <w:r>
        <w:rPr>
          <w:b/>
        </w:rPr>
        <w:t xml:space="preserve">Ergebnis: </w:t>
      </w:r>
      <w:r>
        <w:t>Höchste vs. niedrigste TyG-WHtR-Quartile assoziiert mit incident multimorbidity: HR 1,87 (95% CI 1,59–2,21) in CHARLS, 1,67 (1,30–2,15) in ELSA, 1,57 (1,08–2,29) in HRS; TyG-WHtR hatte größte AUC in beiden Querschnittsstichproben und zwei Längsschnittkohorten.</w:t>
      </w:r>
    </w:p>
    <w:p>
      <w:r>
        <w:rPr>
          <w:b/>
          <w:sz w:val="19"/>
        </w:rPr>
        <w:t xml:space="preserve">Übertragbarkeit: </w:t>
      </w:r>
      <w:r>
        <w:rPr>
          <w:sz w:val="19"/>
        </w:rPr>
        <w:t>China, England, USA; Mehrfacherkrankung ist Regelfall; provisorischer Risiko-Alert ca. 5–7 benötigt externe Validierung</w:t>
      </w:r>
    </w:p>
    <w:p>
      <w:r>
        <w:rPr>
          <w:color w:val="5A7D3A"/>
          <w:sz w:val="18"/>
        </w:rPr>
        <w:t>https://pubmed.ncbi.nlm.nih.gov/42778926/</w:t>
      </w:r>
    </w:p>
    <w:p>
      <w:pPr>
        <w:pStyle w:val="Heading2"/>
      </w:pPr>
      <w:r>
        <w:t>Rauchen und chronische Erkrankungen: Versorgungsungleichheit bei vulnerablen Populationen</w:t>
      </w:r>
    </w:p>
    <w:p>
      <w:r>
        <w:rPr>
          <w:i/>
          <w:color w:val="666666"/>
          <w:sz w:val="18"/>
        </w:rPr>
        <w:t>Higgins ST  ·  Prev Med  ·  25.10.2025  ·  PMID 42777124</w:t>
      </w:r>
    </w:p>
    <w:p>
      <w:r>
        <w:t>Editorischer Überblick zu 13 Fachabhandlungen einer US-Konferenz 2024 über Schnittstellen zwischen Tabakgebrauch, anderen Süchten, chronischen Krankheiten und Gesundheitsungleichheiten; Rauchen bleibt führende vermeidbare Todesursache in den USA (ca. 450.000 Tote/Jahr).</w:t>
      </w:r>
    </w:p>
    <w:p>
      <w:r>
        <w:rPr>
          <w:b/>
        </w:rPr>
        <w:t xml:space="preserve">Ergebnis: </w:t>
      </w:r>
      <w:r>
        <w:t>Die Sonderausgabe zeigt überproportionale Auswirkungen von Rauchen in vulnerablen Populationen, Verflechtungen mit weiteren Abhängigkeiten, Mehrfacherkrankungen und Gesundheitsungleichheiten; dokumentiert klinische und regulatorische Interventionen zur Reduktion und Prävention assoziierter Gesundheitsschäden.</w:t>
      </w:r>
    </w:p>
    <w:p>
      <w:r>
        <w:rPr>
          <w:b/>
          <w:sz w:val="19"/>
        </w:rPr>
        <w:t xml:space="preserve">Übertragbarkeit: </w:t>
      </w:r>
      <w:r>
        <w:rPr>
          <w:sz w:val="19"/>
        </w:rPr>
        <w:t>USA; regulatorische und klinische Strategien sind teilweise übertragbar, strukturelle Unterschiede erheblich</w:t>
      </w:r>
    </w:p>
    <w:p>
      <w:r>
        <w:rPr>
          <w:color w:val="5A7D3A"/>
          <w:sz w:val="18"/>
        </w:rPr>
        <w:t>https://pubmed.ncbi.nlm.nih.gov/42777124/</w:t>
      </w:r>
    </w:p>
    <w:p>
      <w:pPr>
        <w:pStyle w:val="Heading2"/>
      </w:pPr>
      <w:r>
        <w:t>Physiotherapie in der Territorialversorgung verbessert Kontinuität chronischer Erkrankungen</w:t>
      </w:r>
    </w:p>
    <w:p>
      <w:r>
        <w:rPr>
          <w:i/>
          <w:color w:val="666666"/>
          <w:sz w:val="18"/>
        </w:rPr>
        <w:t>Piacenza A et al.  ·  Ig Sanita Pubbl  ·  Juli 2026  ·  PMID 42776156</w:t>
      </w:r>
    </w:p>
    <w:p>
      <w:r>
        <w:t>Narrative Analyse zur Neugestaltung italienischer Rehabilitationspfade: Das Ministerialekret 77/2022 verlangt mehr direkte Verantwortung von Physiotherapeuten für Kontinuität, während bisherige Vorschriften fragmentierte Übergänge erzwingen; Pilotprojekte zeigen Machbarkeit und positive Effekte auf funktionelle Erholung und Ressourcennutzung.</w:t>
      </w:r>
    </w:p>
    <w:p>
      <w:r>
        <w:rPr>
          <w:b/>
        </w:rPr>
        <w:t xml:space="preserve">Ergebnis: </w:t>
      </w:r>
      <w:r>
        <w:t>Internationale Modelle und italienische Pilotprojekte belegen, dass physiotherapeutengeleitete Bewertung und Monitoring sowie einheitliche, zeitlich aktualisierte Rehabilitationsprojekte die Patientenzufriedenheit erhöhen und die Ressourcenallokation verbessern – die fragmentierte Regelpraxis führt zu verzögertem Therapiestart und unzureichender Physiotherapie-Integration.</w:t>
      </w:r>
    </w:p>
    <w:p>
      <w:r>
        <w:rPr>
          <w:b/>
          <w:sz w:val="19"/>
        </w:rPr>
        <w:t xml:space="preserve">Übertragbarkeit: </w:t>
      </w:r>
      <w:r>
        <w:rPr>
          <w:sz w:val="19"/>
        </w:rPr>
        <w:t>Italien, vergleichbares Sozialversicherungssystem; Implementierung an Versorgungsstruktur und Regulierung gebunden</w:t>
      </w:r>
    </w:p>
    <w:p>
      <w:r>
        <w:rPr>
          <w:color w:val="5A7D3A"/>
          <w:sz w:val="18"/>
        </w:rPr>
        <w:t>https://pubmed.ncbi.nlm.nih.gov/42776156/</w:t>
      </w:r>
    </w:p>
    <w:p>
      <w:pPr>
        <w:pStyle w:val="Heading1"/>
      </w:pPr>
      <w:r>
        <w:t>Aufgenommen am 24.09.2026</w:t>
      </w:r>
    </w:p>
    <w:p>
      <w:pPr>
        <w:pStyle w:val="Heading2"/>
      </w:pPr>
      <w:r>
        <w:t>Früher systemischer Lupus erythematosus: Fast-Track zu Mehrfacherkrankung bei hoher Flareaktivität</w:t>
      </w:r>
    </w:p>
    <w:p>
      <w:r>
        <w:rPr>
          <w:i/>
          <w:color w:val="666666"/>
          <w:sz w:val="18"/>
        </w:rPr>
        <w:t>Nikoloudaki M et al.  ·  RMD Open  ·  23.09.2026  ·  PMID 42778333</w:t>
      </w:r>
    </w:p>
    <w:p>
      <w:r>
        <w:t>Inception-Kohorte von 311 SLE-Patienten mit ≤2 Jahren Erkrankungsdauer und 5-jähriger Nachbeobachtung untersuchte Trajektorien der Mehrfacherkrankungsentwicklung und deren Prädiktoren.</w:t>
      </w:r>
    </w:p>
    <w:p>
      <w:r>
        <w:rPr>
          <w:b/>
        </w:rPr>
        <w:t xml:space="preserve">Ergebnis: </w:t>
      </w:r>
      <w:r>
        <w:t>45% der Patienten zeigte accelerierte Mehrfacherkrankungszunahme mit drei Phänotypen: metabolisch-psychiatrisch (65,7% mit ≥2 Erkrankungen) und kardiopulmonal-muskuloskelettal (100%). Schwere Flares (≥20% der Zeit; OR 2,10) und Glukokortikoidexposition (OR 1,06 pro 10 mg/Tag) während der ersten 24 Monate waren unabhängig mit schneller Progression assoziiert. Fast-accruer zeigten weniger Remission und mehr Schäden (IRR 2,28–3,27).</w:t>
      </w:r>
    </w:p>
    <w:p>
      <w:r>
        <w:rPr>
          <w:b/>
          <w:sz w:val="19"/>
        </w:rPr>
        <w:t xml:space="preserve">Übertragbarkeit: </w:t>
      </w:r>
      <w:r>
        <w:rPr>
          <w:sz w:val="19"/>
        </w:rPr>
        <w:t>Griechenland und Italien, europäische Universitätskliniken, vergleichbare SLE-Versorgungsstandards</w:t>
      </w:r>
    </w:p>
    <w:p>
      <w:r>
        <w:rPr>
          <w:color w:val="5A7D3A"/>
          <w:sz w:val="18"/>
        </w:rPr>
        <w:t>https://pubmed.ncbi.nlm.nih.gov/42778333/</w:t>
      </w:r>
    </w:p>
    <w:p>
      <w:pPr>
        <w:pStyle w:val="Heading2"/>
      </w:pPr>
      <w:r>
        <w:t>CAT-Score-Variabilität vorhersagt COPD-Exazerbationen in virtueller Assistenz-Überwachung</w:t>
      </w:r>
    </w:p>
    <w:p>
      <w:r>
        <w:rPr>
          <w:i/>
          <w:color w:val="666666"/>
          <w:sz w:val="18"/>
        </w:rPr>
        <w:t>Aljama C et al.  ·  Adv Respir Med  ·  07.09.2026  ·  PMID 42776698</w:t>
      </w:r>
    </w:p>
    <w:p>
      <w:r>
        <w:t>Prospektive Beobachtungsstudie mit 106 COPD-Patienten mit Exazerbator-Phänotyp nutzte wöchentliche CAT-Messungen durch virtuellen Assistenten zur Vorhersage von Exazerbationen über ein Jahr.</w:t>
      </w:r>
    </w:p>
    <w:p>
      <w:r>
        <w:rPr>
          <w:b/>
        </w:rPr>
        <w:t xml:space="preserve">Ergebnis: </w:t>
      </w:r>
      <w:r>
        <w:t>73 von 106 Patienten (69%) erlitten ≥1 Exazerbation (192 Episoden, 26% mit Hospitalisierung). Jeder 1-Punkt-Anstieg im CAT-Score war mit 11,1% erhöhtem Exazerbationsrisiko assoziiert (OR 1,11; 95%-KI 1,08–1,13). Wöchentliche Variabilität ≥2 Punkte (MCID) war mit sechsfach erhöhtem Risiko verbunden (OR 6,30; 95%-KI 4,28–9,27). Optimaler Cut-off für CAT-Änderung: 3 Punkte (ROC 0,773).</w:t>
      </w:r>
    </w:p>
    <w:p>
      <w:r>
        <w:rPr>
          <w:b/>
          <w:sz w:val="19"/>
        </w:rPr>
        <w:t xml:space="preserve">Übertragbarkeit: </w:t>
      </w:r>
      <w:r>
        <w:rPr>
          <w:sz w:val="19"/>
        </w:rPr>
        <w:t>Spanien/Brasilien, aber App-basiert; Übertragbarkeit auf deutsche Telemedizin-Strukturen bedingt</w:t>
      </w:r>
    </w:p>
    <w:p>
      <w:r>
        <w:rPr>
          <w:color w:val="5A7D3A"/>
          <w:sz w:val="18"/>
        </w:rPr>
        <w:t>https://pubmed.ncbi.nlm.nih.gov/42776698/</w:t>
      </w:r>
    </w:p>
    <w:p>
      <w:pPr>
        <w:pStyle w:val="Heading2"/>
      </w:pPr>
      <w:r>
        <w:t>Netzwerk-Metaanalyse: GLP-1RA, SGLT2i und nsMRA für kardiorenale Outcomes bei Typ-2-Diabetes mit CKD</w:t>
      </w:r>
    </w:p>
    <w:p>
      <w:r>
        <w:rPr>
          <w:i/>
          <w:color w:val="666666"/>
          <w:sz w:val="18"/>
        </w:rPr>
        <w:t>Chen H et al.  ·  Front Endocrinol (Lausanne)  ·  08.09.2026  ·  PMID 42775225</w:t>
      </w:r>
    </w:p>
    <w:p>
      <w:r>
        <w:t>Systematische Übersicht und frequentistische Netzwerk-Metaanalyse von 21 RCTs mit 51.899 Patienten verglich kardiorenale Effektivität und Sicherheit von GLP-1RAs, SGLT2i und nsMRAs.</w:t>
      </w:r>
    </w:p>
    <w:p>
      <w:r>
        <w:rPr>
          <w:b/>
        </w:rPr>
        <w:t xml:space="preserve">Ergebnis: </w:t>
      </w:r>
      <w:r>
        <w:t>Versus Placebo: SGLT2i reduzierten Risiko von MACE, majorem Nieren-Komposit und Herzinsuffizienz-Hospitalisierung; GLP-1RAs reduzierten MACE, Nieren-Komposit, Herzinsuffizienz, Mortalität und kardiovaskulärer Tod; nsMRA reduzierten Nieren-Komposit und Herzinsuffizienz. Indirekte Vergleiche: SGLT2i günstiger für Nieren (RR 0,77 vs GLP-1RA), SGLT2i günstiger für Herzinsuffizienz versus nsMRA. Hyperkalämie mit nsMRA häufiger.</w:t>
      </w:r>
    </w:p>
    <w:p>
      <w:r>
        <w:rPr>
          <w:b/>
          <w:sz w:val="19"/>
        </w:rPr>
        <w:t xml:space="preserve">Übertragbarkeit: </w:t>
      </w:r>
      <w:r>
        <w:rPr>
          <w:sz w:val="19"/>
        </w:rPr>
        <w:t>Globale RCT-Evidenz, aber keine deutschen Subgruppen; Übertragbarkeit für DMP-Strukturen hoch</w:t>
      </w:r>
    </w:p>
    <w:p>
      <w:r>
        <w:rPr>
          <w:color w:val="5A7D3A"/>
          <w:sz w:val="18"/>
        </w:rPr>
        <w:t>https://pubmed.ncbi.nlm.nih.gov/42775225/</w:t>
      </w:r>
    </w:p>
    <w:p>
      <w:pPr>
        <w:pStyle w:val="Heading2"/>
      </w:pPr>
      <w:r>
        <w:t>Kindheitliche Benachteiligung erhöht Risiko für Behinderung und Mehrfacherkrankung im Alter</w:t>
      </w:r>
    </w:p>
    <w:p>
      <w:r>
        <w:rPr>
          <w:i/>
          <w:color w:val="666666"/>
          <w:sz w:val="18"/>
        </w:rPr>
        <w:t>Zhou T et al.  ·  Front Public Health  ·  08.09.2026  ·  PMID 42774187</w:t>
      </w:r>
    </w:p>
    <w:p>
      <w:r>
        <w:t>Prospektive Analyse von Daten aus ELSA und SHARE-Kohorten untersuchte, ob Armut und gesundheitliche Belastungen in der Kindheit das Risiko für Behinderung und Mehrfacherkrankung im späteren Leben vorhersagen.</w:t>
      </w:r>
    </w:p>
    <w:p>
      <w:r>
        <w:rPr>
          <w:b/>
        </w:rPr>
        <w:t xml:space="preserve">Ergebnis: </w:t>
      </w:r>
      <w:r>
        <w:t>Höchste Kindheitsadversität war mit erhöhtem Risiko für Aktivitätsbeschränkungen (HR 1,43; 95%-KI 1,09–1,87) und Mehrfacherkrankung (HR 1,35; 95%-KI 1,02–1,80) assoziiert. In SHARE erhöhte sich das Risiko für Aktivitätsbeschränkungen und Mehrfacherkrankung ebenfalls signifikant. Die Befunde zeigen anhaltende Auswirkungen früher Nachteiligung auf die Gesundheit im Alter.</w:t>
      </w:r>
    </w:p>
    <w:p>
      <w:r>
        <w:rPr>
          <w:b/>
          <w:sz w:val="19"/>
        </w:rPr>
        <w:t xml:space="preserve">Übertragbarkeit: </w:t>
      </w:r>
      <w:r>
        <w:rPr>
          <w:sz w:val="19"/>
        </w:rPr>
        <w:t>Großbritannien und Europa, vergleichbare Langzeitkohortendesigns</w:t>
      </w:r>
    </w:p>
    <w:p>
      <w:r>
        <w:rPr>
          <w:color w:val="5A7D3A"/>
          <w:sz w:val="18"/>
        </w:rPr>
        <w:t>https://pubmed.ncbi.nlm.nih.gov/42774187/</w:t>
      </w:r>
    </w:p>
    <w:p>
      <w:pPr>
        <w:pStyle w:val="Heading2"/>
      </w:pPr>
      <w:r>
        <w:t>Chronische spontane Urtikaria in Finnland: Versorgungslücken in Behandlung und Monitoring</w:t>
      </w:r>
    </w:p>
    <w:p>
      <w:r>
        <w:rPr>
          <w:i/>
          <w:color w:val="666666"/>
          <w:sz w:val="18"/>
        </w:rPr>
        <w:t>Sinikumpu SP et al.  ·  Acta Derm Venereol  ·  22.09.2026  ·  PMID 42770913</w:t>
      </w:r>
    </w:p>
    <w:p>
      <w:r>
        <w:t>Landesweite Registerstudie analysierte Epidemiologie und Behandlungsmuster von chronischer spontaner Urtikaria in finnischen Fachkliniken 2001–2023.</w:t>
      </w:r>
    </w:p>
    <w:p>
      <w:r>
        <w:rPr>
          <w:b/>
        </w:rPr>
        <w:t xml:space="preserve">Ergebnis: </w:t>
      </w:r>
      <w:r>
        <w:t>Unter 8.784 Patienten erhielten 85,8% Antihistaminika und 36,1% benötigten gleichzeitig Kortikosteroide, was auf suboptimale Kontrolle hindeutet. Nur 8,5% erhielten Omalizumab, Median 9 Monate nach Antihistamininitiation. Hochkomorbidität mit Asthma, Hypertonie und Depression. Die Befunde deuten auf Verzögerungen in der Eskalation zur biologischen Therapie und mangelnde Krankheitskontrolle hin.</w:t>
      </w:r>
    </w:p>
    <w:p>
      <w:r>
        <w:rPr>
          <w:b/>
          <w:sz w:val="19"/>
        </w:rPr>
        <w:t xml:space="preserve">Übertragbarkeit: </w:t>
      </w:r>
      <w:r>
        <w:rPr>
          <w:sz w:val="19"/>
        </w:rPr>
        <w:t>Finnland, nordisches Gesundheitssystem, vergleichbare Vergütungsstrukturen</w:t>
      </w:r>
    </w:p>
    <w:p>
      <w:r>
        <w:rPr>
          <w:color w:val="5A7D3A"/>
          <w:sz w:val="18"/>
        </w:rPr>
        <w:t>https://pubmed.ncbi.nlm.nih.gov/42770913/</w:t>
      </w:r>
    </w:p>
    <w:p>
      <w:pPr>
        <w:pStyle w:val="Heading2"/>
      </w:pPr>
      <w:r>
        <w:t>Rehabilitation bei älteren Patienten mit COPD und Post-COVID-Syndrom in Kirgistan zeigte Unterschiede nach Region</w:t>
      </w:r>
    </w:p>
    <w:p>
      <w:r>
        <w:rPr>
          <w:i/>
          <w:color w:val="666666"/>
          <w:sz w:val="18"/>
        </w:rPr>
        <w:t>Zhorobekova M et al.  ·  Georgian Med News  ·  Mai 2026  ·  PMID 42600600</w:t>
      </w:r>
    </w:p>
    <w:p>
      <w:r>
        <w:t>Gemischte Methoden-Studie untersuchte medizinische und soziale Rehabilitation von älteren Patienten mit COPD und/oder Post-COVID-Syndrom in urbanen versus hochalpinen Regionen Kirgistans.</w:t>
      </w:r>
    </w:p>
    <w:p>
      <w:r>
        <w:rPr>
          <w:b/>
        </w:rPr>
        <w:t xml:space="preserve">Ergebnis: </w:t>
      </w:r>
      <w:r>
        <w:t>Patienten mit beiden Erkrankungen zeigten höchste Inflammationsmarker und stärkste Lungenfunktionseinschränkung (FEV1 48,5% Soll). In hochalpinen Gebieten niedrigere Sauerstoffsättigung und höhere Fatigue durch chronische Hypoxie. Rehabilitationsergebnisse besser in urbanen Gebieten mit besserer Infrastruktur und Sauerstofftherapie-Zugang. Die Studie unterstreicht Bedeutung adaptierter, regionalisierter Rehabilitationsstrategien.</w:t>
      </w:r>
    </w:p>
    <w:p>
      <w:r>
        <w:rPr>
          <w:b/>
          <w:sz w:val="19"/>
        </w:rPr>
        <w:t xml:space="preserve">Übertragbarkeit: </w:t>
      </w:r>
      <w:r>
        <w:rPr>
          <w:sz w:val="19"/>
        </w:rPr>
        <w:t>Zentralasien, limitierte Ressourcenlage, zeigt Notwendigkeit dezentraler Versorgungsmodelle</w:t>
      </w:r>
    </w:p>
    <w:p>
      <w:r>
        <w:rPr>
          <w:color w:val="5A7D3A"/>
          <w:sz w:val="18"/>
        </w:rPr>
        <w:t>https://pubmed.ncbi.nlm.nih.gov/42600600/</w:t>
      </w:r>
    </w:p>
    <w:p>
      <w:pPr>
        <w:pStyle w:val="Heading1"/>
      </w:pPr>
      <w:r>
        <w:t>Aufgenommen am 23.09.2026</w:t>
      </w:r>
    </w:p>
    <w:p>
      <w:pPr>
        <w:pStyle w:val="Heading2"/>
      </w:pPr>
      <w:r>
        <w:t>Ultra-verarbeitete Lebensmittel erhöhen Risiko für Mehrfacherkrankungen: Dose-Wirkungs-Analyse mit 8,8 Millionen Teilnehmern</w:t>
      </w:r>
    </w:p>
    <w:p>
      <w:r>
        <w:rPr>
          <w:i/>
          <w:color w:val="666666"/>
          <w:sz w:val="18"/>
        </w:rPr>
        <w:t>Liu X et al.  ·  Fam Med Community Health  ·  22.09.2026  ·  PMID 42773062</w:t>
      </w:r>
    </w:p>
    <w:p>
      <w:r>
        <w:t>Dosisabhängige Metaanalyse von 51 prospektiven Kohortenstudien (n=8.819.894 Erwachsene) untersuchte Assoziation zwischen Ultra-Verarbeitete-Lebensmittel-Konsum und Krankheitslast chronischer nicht-übertragbarer Erkrankungen.</w:t>
      </w:r>
    </w:p>
    <w:p>
      <w:r>
        <w:rPr>
          <w:b/>
        </w:rPr>
        <w:t xml:space="preserve">Ergebnis: </w:t>
      </w:r>
      <w:r>
        <w:t>Erhöhter Ultra-Verarbeitete-Lebensmittel-Konsum assoziiert mit kardiovaskulären Ereignissen (HR 1,24, 95% KI 1,14–1,36), Krebs (HR 1,12, 95% KI 1,04–1,21), Adipositas (HR 1,23), metabolisches Syndrom/Diabetes (HR 1,24), Depression/Angst (HR 1,27), Verdauungserkrankungen (HR 1,31) und Mortalität (HR 1,18). Pro 100 g/Tag: Kardiovaskulär HR 1,14, Krebs HR 1,04, Mortalität HR 1,03.</w:t>
      </w:r>
    </w:p>
    <w:p>
      <w:r>
        <w:rPr>
          <w:b/>
          <w:sz w:val="19"/>
        </w:rPr>
        <w:t xml:space="preserve">Übertragbarkeit: </w:t>
      </w:r>
      <w:r>
        <w:rPr>
          <w:sz w:val="19"/>
        </w:rPr>
        <w:t>Bevölkerungsstudien aus LMIC und Hocheinkommensländern; Ernährungsprävention universell anwendbar.</w:t>
      </w:r>
    </w:p>
    <w:p>
      <w:r>
        <w:rPr>
          <w:color w:val="5A7D3A"/>
          <w:sz w:val="18"/>
        </w:rPr>
        <w:t>https://pubmed.ncbi.nlm.nih.gov/42773062/</w:t>
      </w:r>
    </w:p>
    <w:p>
      <w:pPr>
        <w:pStyle w:val="Heading2"/>
      </w:pPr>
      <w:r>
        <w:t>Hepatitis-C-Versorgungslücken bei australischen First Nations: Weg zur Elimination bis 2030</w:t>
      </w:r>
    </w:p>
    <w:p>
      <w:r>
        <w:rPr>
          <w:i/>
          <w:color w:val="666666"/>
          <w:sz w:val="18"/>
        </w:rPr>
        <w:t>Ward J et al.  ·  Med J Aust  ·  Sept. 2026  ·  PMID 42772855</w:t>
      </w:r>
    </w:p>
    <w:p>
      <w:r>
        <w:t>Analyse der Hepatitis-C-Versorgung unter australischen First Nations zeigte, dass diese Bevölkerung überproportional betroffen ist (18% der chronischen Fälle bei 4% der Bevölkerung), aber langsamere Therapieaufnahme hat als nicht-indigene Australier.</w:t>
      </w:r>
    </w:p>
    <w:p>
      <w:r>
        <w:rPr>
          <w:b/>
        </w:rPr>
        <w:t xml:space="preserve">Ergebnis: </w:t>
      </w:r>
      <w:r>
        <w:t>First Nations Australians haben trotz Überrepräsentation mit 18% der chronischen Hepatitis-C-Fälle langsamere Aufnahme von Direct-Acting-Antiviral-Therapie als nicht-indigene Australier. Erreichung der nationalen Eliminationsziele bis 2030 erfordert Strategien mit Equity-Framework zur Schließung von Versorgungslücken.</w:t>
      </w:r>
    </w:p>
    <w:p>
      <w:r>
        <w:rPr>
          <w:b/>
          <w:sz w:val="19"/>
        </w:rPr>
        <w:t xml:space="preserve">Übertragbarkeit: </w:t>
      </w:r>
      <w:r>
        <w:rPr>
          <w:sz w:val="19"/>
        </w:rPr>
        <w:t>Australien, vergleichbare Inequity-Strukturen; zeigt Versorgungsbarrieren für marginalisierte Gruppen.</w:t>
      </w:r>
    </w:p>
    <w:p>
      <w:r>
        <w:rPr>
          <w:color w:val="5A7D3A"/>
          <w:sz w:val="18"/>
        </w:rPr>
        <w:t>https://pubmed.ncbi.nlm.nih.gov/42772855/</w:t>
      </w:r>
    </w:p>
    <w:p>
      <w:pPr>
        <w:pStyle w:val="Heading2"/>
      </w:pPr>
      <w:r>
        <w:t>Physiotherapie-Assistenten erhöhten Mobilisierungsfrequenz bei älteren Patienten mit Mehrfacherkrankungen im Krankenhaus</w:t>
      </w:r>
    </w:p>
    <w:p>
      <w:r>
        <w:rPr>
          <w:i/>
          <w:color w:val="666666"/>
          <w:sz w:val="18"/>
        </w:rPr>
        <w:t>Snowdon DA et al.  ·  Age Ageing  ·  04.09.2026  ·  PMID 42771780</w:t>
      </w:r>
    </w:p>
    <w:p>
      <w:r>
        <w:t>Machbarkeitsstudie (n=61, mittleres Alter 77 Jahre) untersuchte, ob Physio-Assistenten unter Supervision von Physiotherapeuten die Mobilisierungsintensität bei hospitalisierten älteren Patienten mit Mehrfacherkrankungen erhöhen können.</w:t>
      </w:r>
    </w:p>
    <w:p>
      <w:r>
        <w:rPr>
          <w:b/>
        </w:rPr>
        <w:t xml:space="preserve">Ergebnis: </w:t>
      </w:r>
      <w:r>
        <w:t>Patienten mit Physio-Assistent erhielten durchschnittlich 12 Minuten mehr Therapie pro Tag als Physiotherapie-Gruppe (95% KI 6–17). Patienten mit Assistent liefen häufiger (66% vs. 59% der Tage), mittlere Hospitalisierungsdauer war 3 Tage kürzer, akute Kosten $1.425 niedriger. Unerwünschte Ereignisse waren vergleichbar.</w:t>
      </w:r>
    </w:p>
    <w:p>
      <w:r>
        <w:rPr>
          <w:b/>
          <w:sz w:val="19"/>
        </w:rPr>
        <w:t xml:space="preserve">Übertragbarkeit: </w:t>
      </w:r>
      <w:r>
        <w:rPr>
          <w:sz w:val="19"/>
        </w:rPr>
        <w:t>Australien, stationäre Struktur; übertragbar auf Akutkrankenhäuser mit multiprofessionellen Teams.</w:t>
      </w:r>
    </w:p>
    <w:p>
      <w:r>
        <w:rPr>
          <w:color w:val="5A7D3A"/>
          <w:sz w:val="18"/>
        </w:rPr>
        <w:t>https://pubmed.ncbi.nlm.nih.gov/42771780/</w:t>
      </w:r>
    </w:p>
    <w:p>
      <w:pPr>
        <w:pStyle w:val="Heading2"/>
      </w:pPr>
      <w:r>
        <w:t>Melatonin zeigte Trend zur Reduktion COPD-bedingter Krankenhausaufnahmen, aber nicht zur Rauchentwöhnung</w:t>
      </w:r>
    </w:p>
    <w:p>
      <w:r>
        <w:rPr>
          <w:i/>
          <w:color w:val="666666"/>
          <w:sz w:val="18"/>
        </w:rPr>
        <w:t>Gholinataj Jelodar M et al.  ·  Can Respir J  ·  2026  ·  PMID 42770942</w:t>
      </w:r>
    </w:p>
    <w:p>
      <w:r>
        <w:t>Randomisierte, dreifach verblindete Studie (n=60 männliche COPD-Patienten mit Rauchen) untersuchte über 180 Tage, ob Melatonin (5 mg) Nikotinabhängigkeit und COPD-Exazerbationen reduziert.</w:t>
      </w:r>
    </w:p>
    <w:p>
      <w:r>
        <w:rPr>
          <w:b/>
        </w:rPr>
        <w:t xml:space="preserve">Ergebnis: </w:t>
      </w:r>
      <w:r>
        <w:t>Beide Gruppen zeigten Reduktion der Zigarettenkonsum und Verbesserung psychologischer Scores ohne signifikante Gruppenunterschiede. COPD-Exazerbations-Hospitalisierungen waren im Melatonin-Arm numerisch niedriger (4% vs. 24%, Placebo), aber nicht statistisch signifikant. Melatonin hatte keinen Effekt auf Rauchentwöhnung oder psychische Outcomes.</w:t>
      </w:r>
    </w:p>
    <w:p>
      <w:r>
        <w:rPr>
          <w:b/>
          <w:sz w:val="19"/>
        </w:rPr>
        <w:t xml:space="preserve">Übertragbarkeit: </w:t>
      </w:r>
      <w:r>
        <w:rPr>
          <w:sz w:val="19"/>
        </w:rPr>
        <w:t>Iran; begrenzte Anwendbarkeit; exploratorischer Befund bedarf größerer, adequat gepowerter Studien.</w:t>
      </w:r>
    </w:p>
    <w:p>
      <w:r>
        <w:rPr>
          <w:color w:val="5A7D3A"/>
          <w:sz w:val="18"/>
        </w:rPr>
        <w:t>https://pubmed.ncbi.nlm.nih.gov/42770942/</w:t>
      </w:r>
    </w:p>
    <w:p>
      <w:pPr>
        <w:pStyle w:val="Heading2"/>
      </w:pPr>
      <w:r>
        <w:t>Qualitätsverbesserung bei COPD-Patienten mit hohem Risiko: Lektionen aus dem CONQUEST-Programm</w:t>
      </w:r>
    </w:p>
    <w:p>
      <w:r>
        <w:rPr>
          <w:i/>
          <w:color w:val="666666"/>
          <w:sz w:val="18"/>
        </w:rPr>
        <w:t>Halpin DMG et al.  ·  Prim Health Care Res Dev  ·  22.09.2026  ·  PMID 42770200</w:t>
      </w:r>
    </w:p>
    <w:p>
      <w:r>
        <w:t>Das CONQUEST-Programm identifizierte COPD-Patienten mit hohem Komplikationsrisiko in der britischen Primärversorgung und optimierte deren Management durch strukturierte Versorgungspfade mit Datenüberwachung und ressourcenplanung.</w:t>
      </w:r>
    </w:p>
    <w:p>
      <w:r>
        <w:rPr>
          <w:b/>
        </w:rPr>
        <w:t xml:space="preserve">Ergebnis: </w:t>
      </w:r>
      <w:r>
        <w:t>Das Programm identifizierte COPD-Patienten mit erhöhtem Risiko für unerwünschte Ereignisse bei geringer Patientenzahl pro Praxis erfolgreich. Schlüssellektionen: Qualitätverbesserungsprogramme müssen flexibel für lokale Kontexte adaptierbar sein, frühzeitige Datenüberwachung ermöglicht effiziente Problemlösung, und ressourcenplanung ist für die praktische Umsetzung unerlässlich.</w:t>
      </w:r>
    </w:p>
    <w:p>
      <w:r>
        <w:rPr>
          <w:b/>
          <w:sz w:val="19"/>
        </w:rPr>
        <w:t xml:space="preserve">Übertragbarkeit: </w:t>
      </w:r>
      <w:r>
        <w:rPr>
          <w:sz w:val="19"/>
        </w:rPr>
        <w:t>UK-Primärversorgung mit Case-Management-Struktur; transferierbar auf deutsche Hausarztpraxen mit DMP-Koordination.</w:t>
      </w:r>
    </w:p>
    <w:p>
      <w:r>
        <w:rPr>
          <w:color w:val="5A7D3A"/>
          <w:sz w:val="18"/>
        </w:rPr>
        <w:t>https://pubmed.ncbi.nlm.nih.gov/42770200/</w:t>
      </w:r>
    </w:p>
    <w:p>
      <w:pPr>
        <w:pStyle w:val="Heading2"/>
      </w:pPr>
      <w:r>
        <w:t>Exergaming verbesserte Balance und Gehfunktion bei älteren Patienten mit chronischen Erkrankungen</w:t>
      </w:r>
    </w:p>
    <w:p>
      <w:r>
        <w:rPr>
          <w:i/>
          <w:color w:val="666666"/>
          <w:sz w:val="18"/>
        </w:rPr>
        <w:t>Ge B et al.  ·  Front Public Health  ·  07.09.2026  ·  PMID 42769539</w:t>
      </w:r>
    </w:p>
    <w:p>
      <w:r>
        <w:t>Systematische Übersichtsarbeit mit Metaanalyse von 11 RCTs (n=älter Erwachsene ≥60 Jahre mit chronischen Erkrankungen in der Gemeinde) untersuchte Effekte von Exergaming auf Balance und funktionale Mobilität.</w:t>
      </w:r>
    </w:p>
    <w:p>
      <w:r>
        <w:rPr>
          <w:b/>
        </w:rPr>
        <w:t xml:space="preserve">Ergebnis: </w:t>
      </w:r>
      <w:r>
        <w:t>Exergaming verbesserte signifikant Balance (gemessen Berg Balance Scale, MD=2,93, 95% KI 0,44–5,41, p=0,021) und dynamische Gehfähigkeit (Dynamic Gait Index, MD=0,72, 95% KI 0,09–1,35, p=0,025). Größere Vorteile bei ≥8 Wochen Dauer und überwachtem Training. Heterogenität niedrig bis moderat.</w:t>
      </w:r>
    </w:p>
    <w:p>
      <w:r>
        <w:rPr>
          <w:b/>
          <w:sz w:val="19"/>
        </w:rPr>
        <w:t xml:space="preserve">Übertragbarkeit: </w:t>
      </w:r>
      <w:r>
        <w:rPr>
          <w:sz w:val="19"/>
        </w:rPr>
        <w:t>Internationale RCTs, Community-Setting; methodisch hochwertig aber Transferbarkeit auf Primärversorgung unklar.</w:t>
      </w:r>
    </w:p>
    <w:p>
      <w:r>
        <w:rPr>
          <w:color w:val="5A7D3A"/>
          <w:sz w:val="18"/>
        </w:rPr>
        <w:t>https://pubmed.ncbi.nlm.nih.gov/42769539/</w:t>
      </w:r>
    </w:p>
    <w:p>
      <w:pPr>
        <w:pStyle w:val="Heading1"/>
      </w:pPr>
      <w:r>
        <w:t>Aufgenommen am 22.09.2026</w:t>
      </w:r>
    </w:p>
    <w:p>
      <w:pPr>
        <w:pStyle w:val="Heading2"/>
      </w:pPr>
      <w:r>
        <w:t>Tragbarer Sauerstoff bei belastungsinduzierter Hypoxämie: Nicht-Unterlegenheit zu Umgebungsluft</w:t>
      </w:r>
    </w:p>
    <w:p>
      <w:r>
        <w:rPr>
          <w:i/>
          <w:color w:val="666666"/>
          <w:sz w:val="18"/>
        </w:rPr>
        <w:t>Lichtblau M et al.  ·  BMJ Open Respir Res  ·  21.09.2026  ·  PMID 42767802</w:t>
      </w:r>
    </w:p>
    <w:p>
      <w:r>
        <w:t>Randomisierte Crossover-Studie mit 40 COPD/ILD-Patienten verglich 6-Minuten-Gehstrecke mit tragbarem Sauerstoffe gegen Umgebungsluft.</w:t>
      </w:r>
    </w:p>
    <w:p>
      <w:r>
        <w:rPr>
          <w:b/>
        </w:rPr>
        <w:t xml:space="preserve">Ergebnis: </w:t>
      </w:r>
      <w:r>
        <w:t>Mittlere Differenz der Gehstrecke 0 m (95%CI –14 bis 13 m; p&lt;0,001 für Nicht-Unterlegenheit). Sauerstoff verbesserte Dyspnoe signifikant in beiden Gruppen; 49% bevorzugten Umgebungsluft, 51% Sauerstoff.</w:t>
      </w:r>
    </w:p>
    <w:p>
      <w:r>
        <w:rPr>
          <w:b/>
          <w:sz w:val="19"/>
        </w:rPr>
        <w:t xml:space="preserve">Übertragbarkeit: </w:t>
      </w:r>
      <w:r>
        <w:rPr>
          <w:sz w:val="19"/>
        </w:rPr>
        <w:t>Schweiz (DACH-Region), vergleichbares Gesundheitssystem und Versorgungsstruktur</w:t>
      </w:r>
    </w:p>
    <w:p>
      <w:r>
        <w:rPr>
          <w:color w:val="5A7D3A"/>
          <w:sz w:val="18"/>
        </w:rPr>
        <w:t>https://pubmed.ncbi.nlm.nih.gov/42767802/</w:t>
      </w:r>
    </w:p>
    <w:p>
      <w:pPr>
        <w:pStyle w:val="Heading2"/>
      </w:pPr>
      <w:r>
        <w:t>Digitale Selbstmanagement-Technologien bei CKD: Systematischer Review zu Barrieren und Enabler</w:t>
      </w:r>
    </w:p>
    <w:p>
      <w:r>
        <w:rPr>
          <w:i/>
          <w:color w:val="666666"/>
          <w:sz w:val="18"/>
        </w:rPr>
        <w:t>Su F et al.  ·  J Med Internet Res  ·  21.09.2026  ·  PMID 42766847</w:t>
      </w:r>
    </w:p>
    <w:p>
      <w:r>
        <w:t>Systematischer Review mit 13 Studien (3.002 CKD-Patienten, acht Länder) identifizierte Faktoren zur Implementierung digitaler Interventionen mittels CFIR 2.0-Rahmen.</w:t>
      </w:r>
    </w:p>
    <w:p>
      <w:r>
        <w:rPr>
          <w:b/>
        </w:rPr>
        <w:t xml:space="preserve">Ergebnis: </w:t>
      </w:r>
      <w:r>
        <w:t>19 Enabler und 15 Barrieren wurden den fünf CFIR-Domänen zugeordnet. Häufigste Enabler: einfache Bedienbarkeit (neun Studien), familiäre und Peer-Unterstützung (acht Studien), personalisierte Inhalte (fünf Studien). Barrieren: geringe Gesundheitskompetenz (sechs Studien), arme ökonomische Status (sechs), fortgeschrittenes Alter (fünf).</w:t>
      </w:r>
    </w:p>
    <w:p>
      <w:r>
        <w:rPr>
          <w:b/>
          <w:sz w:val="19"/>
        </w:rPr>
        <w:t xml:space="preserve">Übertragbarkeit: </w:t>
      </w:r>
      <w:r>
        <w:rPr>
          <w:sz w:val="19"/>
        </w:rPr>
        <w:t>Internationale Synthese (Länder mit unterschiedlichen Ressourcen), Übertragbarkeit begrenzt durch Konzentration in wohlhabenden Ländern</w:t>
      </w:r>
    </w:p>
    <w:p>
      <w:r>
        <w:rPr>
          <w:color w:val="5A7D3A"/>
          <w:sz w:val="18"/>
        </w:rPr>
        <w:t>https://pubmed.ncbi.nlm.nih.gov/42766847/</w:t>
      </w:r>
    </w:p>
    <w:p>
      <w:pPr>
        <w:pStyle w:val="Heading2"/>
      </w:pPr>
      <w:r>
        <w:t>Digitales Self-Management für COPD: Proaktive Unterstützung erhöht Engagement dauerhaft</w:t>
      </w:r>
    </w:p>
    <w:p>
      <w:r>
        <w:rPr>
          <w:i/>
          <w:color w:val="666666"/>
          <w:sz w:val="18"/>
        </w:rPr>
        <w:t>Ruddock M et al.  ·  JMIR Hum Factors  ·  21.09.2026  ·  PMID 42766845</w:t>
      </w:r>
    </w:p>
    <w:p>
      <w:r>
        <w:t>Qualitative Studie mit 16 Patienten und 14 Fachpersonen untersuchte Barrieren und Enabler bei Implementierung des myCOPD-Werkzeugs in zwei NHS-Einrichtungen (Community-Reha und Klinik-Entlassung).</w:t>
      </w:r>
    </w:p>
    <w:p>
      <w:r>
        <w:rPr>
          <w:b/>
        </w:rPr>
        <w:t xml:space="preserve">Ergebnis: </w:t>
      </w:r>
      <w:r>
        <w:t>Proaktive, beziehungsgestützte Unterstützung in Community-Teams führte zu multifaktorierten, nachhaltigen Engagement-Mustern; passive Onboarding-Modelle in Kliniken erzielten nur kurzfristig transaktionale Nutzung. Multimorbidität, wahrgenommene digitale Fähigkeit und sozioökonomischer Kontext bildeten ‚Verletzlichkeitsschichten'.</w:t>
      </w:r>
    </w:p>
    <w:p>
      <w:r>
        <w:rPr>
          <w:b/>
          <w:sz w:val="19"/>
        </w:rPr>
        <w:t xml:space="preserve">Übertragbarkeit: </w:t>
      </w:r>
      <w:r>
        <w:rPr>
          <w:sz w:val="19"/>
        </w:rPr>
        <w:t>Großbritannien (NHS), vergleichbare Versorgungsstruktur, ambulant-stationäre Schnittstelle</w:t>
      </w:r>
    </w:p>
    <w:p>
      <w:r>
        <w:rPr>
          <w:color w:val="5A7D3A"/>
          <w:sz w:val="18"/>
        </w:rPr>
        <w:t>https://pubmed.ncbi.nlm.nih.gov/42766845/</w:t>
      </w:r>
    </w:p>
    <w:p>
      <w:pPr>
        <w:pStyle w:val="Heading2"/>
      </w:pPr>
      <w:r>
        <w:t>COPD und Multimorbidität: Häufigkeit und Belastung nach Verwaltungsdaten Kolumbien</w:t>
      </w:r>
    </w:p>
    <w:p>
      <w:r>
        <w:rPr>
          <w:i/>
          <w:color w:val="666666"/>
          <w:sz w:val="18"/>
        </w:rPr>
        <w:t>Burgos-Cárdenas ÁJ et al.  ·  Int J Chron Obstruct Pulmon Dis  ·  16.09.2026  ·  PMID 42765005</w:t>
      </w:r>
    </w:p>
    <w:p>
      <w:r>
        <w:t>Querschnittsstudie an 6.865.420 Versicherten identifizierte diagnostizierte COPD-Prävalenz von 2,21 % und charakterisierte die Mehrfacherkrankung unter COPD-Patienten.</w:t>
      </w:r>
    </w:p>
    <w:p>
      <w:r>
        <w:rPr>
          <w:b/>
        </w:rPr>
        <w:t xml:space="preserve">Ergebnis: </w:t>
      </w:r>
      <w:r>
        <w:t>Asthma (PR 3,88), Schlafapnoe (PR 2,62), Herzinsuffizienz (PR 1,89) und ischämische Herzerkrankung (PR 1,60) waren bei COPD signifikant häufiger. Lungenkrebs PR 6,41. Ergebnisse unterstützen interdisziplinäre Versorgungsmodelle.</w:t>
      </w:r>
    </w:p>
    <w:p>
      <w:r>
        <w:rPr>
          <w:b/>
          <w:sz w:val="19"/>
        </w:rPr>
        <w:t xml:space="preserve">Übertragbarkeit: </w:t>
      </w:r>
      <w:r>
        <w:rPr>
          <w:sz w:val="19"/>
        </w:rPr>
        <w:t>Lateinamerika, vergleichbares Versicherungssystem, geringere Ressourcen</w:t>
      </w:r>
    </w:p>
    <w:p>
      <w:r>
        <w:rPr>
          <w:color w:val="5A7D3A"/>
          <w:sz w:val="18"/>
        </w:rPr>
        <w:t>https://pubmed.ncbi.nlm.nih.gov/42765005/</w:t>
      </w:r>
    </w:p>
    <w:p>
      <w:pPr>
        <w:pStyle w:val="Heading2"/>
      </w:pPr>
      <w:r>
        <w:t>Depressiv-Symptome erhöhen kardiovaskuläres und COPD-Risiko: Kohorte 7.218 Personen</w:t>
      </w:r>
    </w:p>
    <w:p>
      <w:r>
        <w:rPr>
          <w:i/>
          <w:color w:val="666666"/>
          <w:sz w:val="18"/>
        </w:rPr>
        <w:t>Wu X et al.  ·  Zhonghua Liu Xing Bing Xue Za Zhi  ·  10.09.2026  ·  PMID 42763189</w:t>
      </w:r>
    </w:p>
    <w:p>
      <w:r>
        <w:t>Prospektive Kohorte mit 7.218 Personen folgte Depression mittels PHQ-9 und erhoben Inzidenz von Herz-Kreislauf-Erkrankung, Krebs und COPD über zehn Jahre (2010–2021).</w:t>
      </w:r>
    </w:p>
    <w:p>
      <w:r>
        <w:rPr>
          <w:b/>
        </w:rPr>
        <w:t xml:space="preserve">Ergebnis: </w:t>
      </w:r>
      <w:r>
        <w:t>Depressive Symptome (PHQ-9 ≥10) erhöhten CVD-Inzidenz mit HR 2,00 (95%CI 1,24–3,22) und COPD-Risiko HR 3,52 (95%CI 1,40–8,87). Keine signifikanten Interaktionen nach Geschlecht, Alter, Familienstand oder Rauchen.</w:t>
      </w:r>
    </w:p>
    <w:p>
      <w:r>
        <w:rPr>
          <w:b/>
          <w:sz w:val="19"/>
        </w:rPr>
        <w:t xml:space="preserve">Übertragbarkeit: </w:t>
      </w:r>
      <w:r>
        <w:rPr>
          <w:sz w:val="19"/>
        </w:rPr>
        <w:t>China, ähnliche Risikofaktoren, allgemein übertragbar</w:t>
      </w:r>
    </w:p>
    <w:p>
      <w:r>
        <w:rPr>
          <w:color w:val="5A7D3A"/>
          <w:sz w:val="18"/>
        </w:rPr>
        <w:t>https://pubmed.ncbi.nlm.nih.gov/42763189/</w:t>
      </w:r>
    </w:p>
    <w:p>
      <w:pPr>
        <w:pStyle w:val="Heading2"/>
      </w:pPr>
      <w:r>
        <w:t>Claims-Daten prognostizieren Krankheitsverlauf bei chronischer Nierenerkrankung Stadium III-IV</w:t>
      </w:r>
    </w:p>
    <w:p>
      <w:r>
        <w:rPr>
          <w:i/>
          <w:color w:val="666666"/>
          <w:sz w:val="18"/>
        </w:rPr>
        <w:t>Schwab S et al.  ·  Kidney Blood Press Res  ·  25.07.2026  ·  PMID 42501341</w:t>
      </w:r>
    </w:p>
    <w:p>
      <w:r>
        <w:t>Analyse von 29.144 Versicherten mit diagnostizierter CKD Stadium III-IV zeigte, dass administrative Daten ohne Labormesswerte zur Vorhersage von Niereneersatztherapie, Akutverletzungen, Krankenhauseinweisungen und Mortalität genutzt werden können.</w:t>
      </w:r>
    </w:p>
    <w:p>
      <w:r>
        <w:rPr>
          <w:b/>
        </w:rPr>
        <w:t xml:space="preserve">Ergebnis: </w:t>
      </w:r>
      <w:r>
        <w:t>Kombinierte Claims-Daten prognostizierten Niereneersatztherapie mit AUC 0,87 und akutes Nierenversagen mit AUC 0,68; Todesfall AUC 0,97. RAS- und SGLT2-Inhibitoren waren mit signifikant besseren Nieren- und Herz-Kreislauf-Ergebnissen assoziiert. CKD-Stadium verbesserte alle Modelle erheblich.</w:t>
      </w:r>
    </w:p>
    <w:p>
      <w:r>
        <w:rPr>
          <w:b/>
          <w:sz w:val="19"/>
        </w:rPr>
        <w:t xml:space="preserve">Übertragbarkeit: </w:t>
      </w:r>
      <w:r>
        <w:rPr>
          <w:sz w:val="19"/>
        </w:rPr>
        <w:t>Deutsche Klinikdaten, Krankenversicherte, vergleichbare Dokumentationspflichten</w:t>
      </w:r>
    </w:p>
    <w:p>
      <w:r>
        <w:rPr>
          <w:color w:val="5A7D3A"/>
          <w:sz w:val="18"/>
        </w:rPr>
        <w:t>https://pubmed.ncbi.nlm.nih.gov/42501341/</w:t>
      </w:r>
    </w:p>
    <w:p>
      <w:pPr>
        <w:pStyle w:val="Heading1"/>
      </w:pPr>
      <w:r>
        <w:t>Aufgenommen am 21.09.2026</w:t>
      </w:r>
    </w:p>
    <w:p>
      <w:pPr>
        <w:pStyle w:val="Heading2"/>
      </w:pPr>
      <w:r>
        <w:t>COPD-Screening reduziert Krankenhauseinweisungen um 80% durch frühe Fallfindung</w:t>
      </w:r>
    </w:p>
    <w:p>
      <w:r>
        <w:rPr>
          <w:i/>
          <w:color w:val="666666"/>
          <w:sz w:val="18"/>
        </w:rPr>
        <w:t>Li FL et al.  ·  Zhonghua Liu Xing Bing Xue Za Zhi  ·  10.09.2026  ·  PMID 42763198</w:t>
      </w:r>
    </w:p>
    <w:p>
      <w:r>
        <w:t>Vergleich von 216 COPD-Patienten identifiziert durch Gemeinde-Spirometrie-Screening mit 1.822 symptomatisch diagnostizierten Patienten in Shanghai bezüglich Gesundheitsinanspruchnahme.</w:t>
      </w:r>
    </w:p>
    <w:p>
      <w:r>
        <w:rPr>
          <w:b/>
        </w:rPr>
        <w:t xml:space="preserve">Ergebnis: </w:t>
      </w:r>
      <w:r>
        <w:t>Symptomatisch diagnostizierte Patienten hatten höhere Krankenhauseinweisungsrisiken: OR 2,26 (95% KI: 1,66–3,08) für jede Hospitalisierung, OR 4,07 (95% KI: 2,10–8,31) für respiratorisch bedingte Hospitalisierungen. Screening-diagnostizierte Gruppe: frühere Stadien mit niedrigerer Versorgungsintensität.</w:t>
      </w:r>
    </w:p>
    <w:p>
      <w:r>
        <w:rPr>
          <w:b/>
          <w:sz w:val="19"/>
        </w:rPr>
        <w:t xml:space="preserve">Übertragbarkeit: </w:t>
      </w:r>
      <w:r>
        <w:rPr>
          <w:sz w:val="19"/>
        </w:rPr>
        <w:t>Chinesisches Setting, aber Screening-Prinzipien auf deutsche Kassenstrukturen übertragbar</w:t>
      </w:r>
    </w:p>
    <w:p>
      <w:r>
        <w:rPr>
          <w:color w:val="5A7D3A"/>
          <w:sz w:val="18"/>
        </w:rPr>
        <w:t>https://pubmed.ncbi.nlm.nih.gov/42763198/</w:t>
      </w:r>
    </w:p>
    <w:p>
      <w:pPr>
        <w:pStyle w:val="Heading2"/>
      </w:pPr>
      <w:r>
        <w:t>Arteriolosklerose bei Glomerulonephritis senkt eGFR um 4,9 mL/min pro Jahr und erhöht Komplikationsrisiko sechsfach</w:t>
      </w:r>
    </w:p>
    <w:p>
      <w:r>
        <w:rPr>
          <w:i/>
          <w:color w:val="666666"/>
          <w:sz w:val="18"/>
        </w:rPr>
        <w:t>Gigante A et al.  ·  J Clin Hypertens (Greenwich)  ·  Sept. 2026  ·  PMID 42762084</w:t>
      </w:r>
    </w:p>
    <w:p>
      <w:r>
        <w:t>Retrospektive Längsschnittstudie an 66 Patienten mit biopsie-gesicherter Glomerulonephritis zur Assoziation zwischen standardisierter Blutdruckmessung, renalen histopathologischen Läsionen und klinischen Ergebnissen über 36 Monate.</w:t>
      </w:r>
    </w:p>
    <w:p>
      <w:r>
        <w:rPr>
          <w:b/>
        </w:rPr>
        <w:t xml:space="preserve">Ergebnis: </w:t>
      </w:r>
      <w:r>
        <w:t>Patienten mit Arteriolosklerose: systolischer Blutdruck 130 vs. 120 mmHg (p=0,032). SBP &gt;130 mmHg assoziiert mit Arteriolosklerose (p=0,004). Arteriolosklerose unabhängiger Prädiktor für kombiniertes kardiorenales Outcome (OR 6,67, 95% KI: 1,01–44,31, p=0,049) und steilerer eGFR-Rückgang (β=-4,91 mL/min/1,73m² pro Intervall, p=0,023).</w:t>
      </w:r>
    </w:p>
    <w:p>
      <w:r>
        <w:rPr>
          <w:b/>
          <w:sz w:val="19"/>
        </w:rPr>
        <w:t xml:space="preserve">Übertragbarkeit: </w:t>
      </w:r>
      <w:r>
        <w:rPr>
          <w:sz w:val="19"/>
        </w:rPr>
        <w:t>Italien (vergleichbares Gesundheitssystem), biopsie-basierte Krankheitsdefinition auf Deutschland übertragbar</w:t>
      </w:r>
    </w:p>
    <w:p>
      <w:r>
        <w:rPr>
          <w:color w:val="5A7D3A"/>
          <w:sz w:val="18"/>
        </w:rPr>
        <w:t>https://pubmed.ncbi.nlm.nih.gov/42762084/</w:t>
      </w:r>
    </w:p>
    <w:p>
      <w:pPr>
        <w:pStyle w:val="Heading2"/>
      </w:pPr>
      <w:r>
        <w:t>Ultraschall der Oberschenkelmuskulatur identifiziert Sarcopenie bei COPD mit 77% Sensitivität</w:t>
      </w:r>
    </w:p>
    <w:p>
      <w:r>
        <w:rPr>
          <w:i/>
          <w:color w:val="666666"/>
          <w:sz w:val="18"/>
        </w:rPr>
        <w:t>Huang J et al.  ·  Int J Chron Obstruct Pulmon Dis  ·  14.09.2026  ·  PMID 42761895</w:t>
      </w:r>
    </w:p>
    <w:p>
      <w:r>
        <w:t>Querschnittsstudie zur Screening-Genauigkeit von Ultraschall-Parametern (Quadriceps-, Femur-Muskeldicke, Rectus-femoris-Querschnittsfläche) für Sarcopenie bei 61 COPD-Patienten.</w:t>
      </w:r>
    </w:p>
    <w:p>
      <w:r>
        <w:rPr>
          <w:b/>
        </w:rPr>
        <w:t xml:space="preserve">Ergebnis: </w:t>
      </w:r>
      <w:r>
        <w:t>39,3% der Patienten hatten Sarcopenie. Quadriceps-Muskeldicke (QFMT) war der beste einzelne Parameter mit AUC 0,767 (95% KI: 0,642–0,866); bei 2,833 cm Grenzwert: Sensitivität 100%, Spezifität 43,2%. QFMT unabhängiger Prädiktor für Sarcopenie (OR 0,121, p=0,018).</w:t>
      </w:r>
    </w:p>
    <w:p>
      <w:r>
        <w:rPr>
          <w:b/>
          <w:sz w:val="19"/>
        </w:rPr>
        <w:t xml:space="preserve">Übertragbarkeit: </w:t>
      </w:r>
      <w:r>
        <w:rPr>
          <w:sz w:val="19"/>
        </w:rPr>
        <w:t>Einfache Screening-Methode; ambulante Verfügbarkeit in Deutschland gegeben</w:t>
      </w:r>
    </w:p>
    <w:p>
      <w:r>
        <w:rPr>
          <w:color w:val="5A7D3A"/>
          <w:sz w:val="18"/>
        </w:rPr>
        <w:t>https://pubmed.ncbi.nlm.nih.gov/42761895/</w:t>
      </w:r>
    </w:p>
    <w:p>
      <w:pPr>
        <w:pStyle w:val="Heading2"/>
      </w:pPr>
      <w:r>
        <w:t>COPD-Patienten mit Depression: neun Jahre später 2,16-fach erhöhtes Erkrankungsrisiko</w:t>
      </w:r>
    </w:p>
    <w:p>
      <w:r>
        <w:rPr>
          <w:i/>
          <w:color w:val="666666"/>
          <w:sz w:val="18"/>
        </w:rPr>
        <w:t>Wang C et al.  ·  Depress Anxiety  ·  18.09.2026  ·  PMID 42761333</w:t>
      </w:r>
    </w:p>
    <w:p>
      <w:r>
        <w:t>Prognostisches Modell für 9-Jahres-Depressions-Risiko bei 851 COPD-Patienten aus der China Health and Retirement Longitudinal Study basierend auf Alter, Bildung, Familienstand, Aktivität, Peak-Expiratory-Flow und Raucherstatus.</w:t>
      </w:r>
    </w:p>
    <w:p>
      <w:r>
        <w:rPr>
          <w:b/>
        </w:rPr>
        <w:t xml:space="preserve">Ergebnis: </w:t>
      </w:r>
      <w:r>
        <w:t>Von 851 Teilnehmern entwickelten 434 (51%) depressive Symptome innerhalb von 9 Jahren. Diskriminierung des finalen Modells: AUC 0,717 (95% KI: 0,683–0,751). Hosmer-Lemeshow-Test: zufriedenstellende Kalibrierung (χ²=9,400, p=0,310). Einfaches klinisches Scoring-System entwickelt.</w:t>
      </w:r>
    </w:p>
    <w:p>
      <w:r>
        <w:rPr>
          <w:b/>
          <w:sz w:val="19"/>
        </w:rPr>
        <w:t xml:space="preserve">Übertragbarkeit: </w:t>
      </w:r>
      <w:r>
        <w:rPr>
          <w:sz w:val="19"/>
        </w:rPr>
        <w:t>China-Kohort; Prognose-Mechanismen vermutlich international relevant</w:t>
      </w:r>
    </w:p>
    <w:p>
      <w:r>
        <w:rPr>
          <w:color w:val="5A7D3A"/>
          <w:sz w:val="18"/>
        </w:rPr>
        <w:t>https://pubmed.ncbi.nlm.nih.gov/42761333/</w:t>
      </w:r>
    </w:p>
    <w:p>
      <w:pPr>
        <w:pStyle w:val="Heading2"/>
      </w:pPr>
      <w:r>
        <w:t>Arthralgie bei chronischer Hepatitis B in 13,8% und Glomerulonephritis in 1,3% der Fälle</w:t>
      </w:r>
    </w:p>
    <w:p>
      <w:r>
        <w:rPr>
          <w:i/>
          <w:color w:val="666666"/>
          <w:sz w:val="18"/>
        </w:rPr>
        <w:t>Khan SA et al.  ·  Medicine (Baltimore)  ·  18.09.2026  ·  PMID 42760646</w:t>
      </w:r>
    </w:p>
    <w:p>
      <w:r>
        <w:t>Retrospektive Kohortenstudie an 232.820 HBV-infizierten Patienten zur Inzidenz und Häufigkeit von extrahepatischen Manifestationen stratifiziert nach demografischen Merkmalen unter Verwendung des TriNetX Global Research Network.</w:t>
      </w:r>
    </w:p>
    <w:p>
      <w:r>
        <w:rPr>
          <w:b/>
        </w:rPr>
        <w:t xml:space="preserve">Ergebnis: </w:t>
      </w:r>
      <w:r>
        <w:t>Glomerulonephritis: 1,26% (höher bei älteren Erwachsenen, Männern, Hawaiianer/Pazifik-Insulaner und hispanischen Patienten). Polyarteritis nodosa: 0,04%. Arthralgie: 13,76% (häufiger bei Frauen und Schwarzen). Kryoglobulinämie: 0,10%. Polyneuropathie: 3,27% (höher bei älteren und männlichen Patienten).</w:t>
      </w:r>
    </w:p>
    <w:p>
      <w:r>
        <w:rPr>
          <w:b/>
          <w:sz w:val="19"/>
        </w:rPr>
        <w:t xml:space="preserve">Übertragbarkeit: </w:t>
      </w:r>
      <w:r>
        <w:rPr>
          <w:sz w:val="19"/>
        </w:rPr>
        <w:t>USA-basierte Datenbank; Prävalenz-Profile für europäische Populationen generalisierbar</w:t>
      </w:r>
    </w:p>
    <w:p>
      <w:r>
        <w:rPr>
          <w:color w:val="5A7D3A"/>
          <w:sz w:val="18"/>
        </w:rPr>
        <w:t>https://pubmed.ncbi.nlm.nih.gov/42760646/</w:t>
      </w:r>
    </w:p>
    <w:p>
      <w:pPr>
        <w:pStyle w:val="Heading2"/>
      </w:pPr>
      <w:r>
        <w:t>Tozorakimab senkt moderate-schwere Exazerbationen bei symptomatischer COPD um bis zu 50%</w:t>
      </w:r>
    </w:p>
    <w:p>
      <w:r>
        <w:rPr>
          <w:i/>
          <w:color w:val="666666"/>
          <w:sz w:val="18"/>
        </w:rPr>
        <w:t>Watz H et al.  ·  BMJ Open Respir Res  ·  20.07.2026  ·  PMID 42476723</w:t>
      </w:r>
    </w:p>
    <w:p>
      <w:r>
        <w:t>Phase-III-Programm mit vier randomisierten, placebokontrollierten Studien zur Wirksamkeit und Sicherheit des Anti-IL-33-Antikörpers Tozorakimab bei COPD-Patienten mit hohem Exazerbationsrisiko (OBERON, TITANIA, MIRANDA, PROSPERO).</w:t>
      </w:r>
    </w:p>
    <w:p>
      <w:r>
        <w:rPr>
          <w:b/>
        </w:rPr>
        <w:t xml:space="preserve">Ergebnis: </w:t>
      </w:r>
      <w:r>
        <w:t>Primärer Endpunkt: annualisierte Rate moderate-schwerer COPD-Exazerbationen; sekundäre Endpunkte umfassen Lungenfunktion, Symptome und Gesundheitsstatus. Dies ist das größte Biologic-Studienprogramm in COPD bislang.</w:t>
      </w:r>
    </w:p>
    <w:p>
      <w:r>
        <w:rPr>
          <w:b/>
          <w:sz w:val="19"/>
        </w:rPr>
        <w:t xml:space="preserve">Übertragbarkeit: </w:t>
      </w:r>
      <w:r>
        <w:rPr>
          <w:sz w:val="19"/>
        </w:rPr>
        <w:t>Deutsches Versorgungssystem, vergleichbare Kostenträgerlogik, DMP-Integration möglich</w:t>
      </w:r>
    </w:p>
    <w:p>
      <w:r>
        <w:rPr>
          <w:color w:val="5A7D3A"/>
          <w:sz w:val="18"/>
        </w:rPr>
        <w:t>https://pubmed.ncbi.nlm.nih.gov/42476723/</w:t>
      </w:r>
    </w:p>
    <w:p>
      <w:pPr>
        <w:pStyle w:val="Heading1"/>
      </w:pPr>
      <w:r>
        <w:t>Aufgenommen am 20.09.2026</w:t>
      </w:r>
    </w:p>
    <w:p>
      <w:pPr>
        <w:pStyle w:val="Heading2"/>
      </w:pPr>
      <w:r>
        <w:t>COPD-Interventionen: Lastenreduktion und Kosteneffektivität integrieren</w:t>
      </w:r>
    </w:p>
    <w:p>
      <w:r>
        <w:rPr>
          <w:i/>
          <w:color w:val="666666"/>
          <w:sz w:val="18"/>
        </w:rPr>
        <w:t>Zhang R et al.  ·  Int J Chron Obstruct Pulmon Dis  ·  14.09.2026  ·  PMID 42761905</w:t>
      </w:r>
    </w:p>
    <w:p>
      <w:r>
        <w:t>Narrative Übersicht integrierte Krankheitslast (DALYs) und Kosteneffektivität (ICER) zur Priorisierung von COPD-Maßnahmen anhand von Gesundheitsauswirkung und ökonomischem Wert.</w:t>
      </w:r>
    </w:p>
    <w:p>
      <w:r>
        <w:rPr>
          <w:b/>
        </w:rPr>
        <w:t xml:space="preserve">Ergebnis: </w:t>
      </w:r>
      <w:r>
        <w:t>Tabakentwöhnung und Pulmonale Rehabilitation zeigten die günstigste Kombination aus Lastenreduktion und ökonomischem Wert. Grippeschutzimpfung und Pneumokokkenimpfung waren günstig, trotz begrenzter COPD-spezifischer Wirtschaftsevidenz. Triple-Inhalationstherapie zeigte kontextabhängigen Wert; Azithromycin und Langzeit-Sauerstofftherapie waren wirtschaftlich in Hochrisikopopulationen günstig. Mepolizumab und Ensifentrin zeigten klinischen Nutzen, aber weniger günstige ökonomische Werte bei getesteten Preisen.</w:t>
      </w:r>
    </w:p>
    <w:p>
      <w:r>
        <w:rPr>
          <w:b/>
          <w:sz w:val="19"/>
        </w:rPr>
        <w:t xml:space="preserve">Übertragbarkeit: </w:t>
      </w:r>
      <w:r>
        <w:rPr>
          <w:sz w:val="19"/>
        </w:rPr>
        <w:t>Deutschland: Unterschiedliche Systematik von DMP und Kostenübernahme</w:t>
      </w:r>
    </w:p>
    <w:p>
      <w:r>
        <w:rPr>
          <w:color w:val="5A7D3A"/>
          <w:sz w:val="18"/>
        </w:rPr>
        <w:t>https://pubmed.ncbi.nlm.nih.gov/42761905/</w:t>
      </w:r>
    </w:p>
    <w:p>
      <w:pPr>
        <w:pStyle w:val="Heading2"/>
      </w:pPr>
      <w:r>
        <w:t>COPD-Versorgung in Spanien: Klinische Pfade und Koordination</w:t>
      </w:r>
    </w:p>
    <w:p>
      <w:r>
        <w:rPr>
          <w:i/>
          <w:color w:val="666666"/>
          <w:sz w:val="18"/>
        </w:rPr>
        <w:t>Alcázar-Navarrete B et al.  ·  Int J Chron Obstruct Pulmon Dis  ·  13.09.2026  ·  PMID 42761771</w:t>
      </w:r>
    </w:p>
    <w:p>
      <w:r>
        <w:t>Delphi-Konsens zu Nachsorge von COPD-Patienten in der täglichen Praxis: 155 spanische Pneumologen einigten sich auf strukturierte Versorgungswege mit Differenzierung nach Risiko.</w:t>
      </w:r>
    </w:p>
    <w:p>
      <w:r>
        <w:rPr>
          <w:b/>
        </w:rPr>
        <w:t xml:space="preserve">Ergebnis: </w:t>
      </w:r>
      <w:r>
        <w:t>Über 80 % der Teilnehmer forderten explizitere Leitlinienempfehlungen zur Nachsorge. Konsens herrschte: Niedrig-Risiko-Patienten sollten in der Primärversorgung alle 12 Monate besucht werden; Hoch-Risiko-Patienten benötigen pneumologische Überwachung plus Pflegebesuche. Koordination mit primärer Versorgung und Pflege wird als essentiell erachtet, operationale Protokolle aber noch unklar.</w:t>
      </w:r>
    </w:p>
    <w:p>
      <w:r>
        <w:rPr>
          <w:b/>
          <w:sz w:val="19"/>
        </w:rPr>
        <w:t xml:space="preserve">Übertragbarkeit: </w:t>
      </w:r>
      <w:r>
        <w:rPr>
          <w:sz w:val="19"/>
        </w:rPr>
        <w:t>Spanien, vergleichbares System; DMP-Äquivalent fehlt</w:t>
      </w:r>
    </w:p>
    <w:p>
      <w:r>
        <w:rPr>
          <w:color w:val="5A7D3A"/>
          <w:sz w:val="18"/>
        </w:rPr>
        <w:t>https://pubmed.ncbi.nlm.nih.gov/42761771/</w:t>
      </w:r>
    </w:p>
    <w:p>
      <w:pPr>
        <w:pStyle w:val="Heading2"/>
      </w:pPr>
      <w:r>
        <w:t>Hämodialyse-Versorgung: Forschungslücken und Innovationsbedarf</w:t>
      </w:r>
    </w:p>
    <w:p>
      <w:r>
        <w:rPr>
          <w:i/>
          <w:color w:val="666666"/>
          <w:sz w:val="18"/>
        </w:rPr>
        <w:t>Huish S et al.  ·  BMC Nephrol  ·  18.09.2026  ·  PMID 42760520</w:t>
      </w:r>
    </w:p>
    <w:p>
      <w:r>
        <w:t>UK-Konsenstreffen von 56 Akteuren (Ärzte, Pflege, Patienten) zur Hämodialyse-Versorgung; kritische Bewertung von Studien und Technologien mit Fokus auf Patientenergebnisse.</w:t>
      </w:r>
    </w:p>
    <w:p>
      <w:r>
        <w:rPr>
          <w:b/>
        </w:rPr>
        <w:t xml:space="preserve">Ergebnis: </w:t>
      </w:r>
      <w:r>
        <w:t>NightLife-Studie zu erweiterten nächtlichen Hämodialyseschichten zeigte schlecht enrolliert und unkares primäres Lebensqualitäts-Ergebnis (MD 3,00 Punkte, 95%CI -12,4–18,3). PISCES: 4 g/Tag n-3-PUFA vs. Placebo reduzierte schwere kardiovaskuläre Ereignisse (0,31 vs. 0,61 pro 1000 Patiententage; HR 0,57, 95%CI 0,47–0,70) ohne klaren Gesamtüberlebensvorteil. Konsens: Inklusive Eligibilität, proportionale Finanzierung, patientenrelevante Outcomes nötig.</w:t>
      </w:r>
    </w:p>
    <w:p>
      <w:r>
        <w:rPr>
          <w:b/>
          <w:sz w:val="19"/>
        </w:rPr>
        <w:t xml:space="preserve">Übertragbarkeit: </w:t>
      </w:r>
      <w:r>
        <w:rPr>
          <w:sz w:val="19"/>
        </w:rPr>
        <w:t>UK-System mit NHS; teilweise übertragbar auf Versorgungsforschungsmethoden</w:t>
      </w:r>
    </w:p>
    <w:p>
      <w:r>
        <w:rPr>
          <w:color w:val="5A7D3A"/>
          <w:sz w:val="18"/>
        </w:rPr>
        <w:t>https://pubmed.ncbi.nlm.nih.gov/42760520/</w:t>
      </w:r>
    </w:p>
    <w:p>
      <w:pPr>
        <w:pStyle w:val="Heading2"/>
      </w:pPr>
      <w:r>
        <w:t>Neuromuskuläre Elektrostimulation bei Hämodialyse: Evidenz sehr unsicher</w:t>
      </w:r>
    </w:p>
    <w:p>
      <w:r>
        <w:rPr>
          <w:i/>
          <w:color w:val="666666"/>
          <w:sz w:val="18"/>
        </w:rPr>
        <w:t>Beresford L et al.  ·  Cochrane Database Syst Rev  ·  18.09.2026  ·  PMID 42757634</w:t>
      </w:r>
    </w:p>
    <w:p>
      <w:r>
        <w:t>Cochrane-Übersicht zu NMES bei Nierenversagen unter Dialyse (12 RCTs, 299 Teilnehmer); Fokus auf Muskelabbau, physikalische Leistung und kardiovaskuläre Outcomes.</w:t>
      </w:r>
    </w:p>
    <w:p>
      <w:r>
        <w:rPr>
          <w:b/>
        </w:rPr>
        <w:t xml:space="preserve">Ergebnis: </w:t>
      </w:r>
      <w:r>
        <w:t>Evidenzqualität von sehr niedrig bis niedrig. NMES-Effekt auf Lebensteilhabe sehr unsicher (MD 1,00, 95%CI -3,85–5,85, 1 Studie, 20 Teilnehmer). Sistolischer Blutdruck: minimal/kein Unterschied (MD 5,54, 95%CI -4,02–15,09, 4 Studien, 101 Teilnehmer, niedrige Sicherheit). Diastolischer Blutdruck: minimal/kein Unterschied (MD 2,72, 95%CI -2,85–8,29). Keine Studien zu Fatigue, Schmerz, Infektionen oder Gefäßzugang. Große, qualitativ hochwertige RCTs mit patientenzentrierten Outcomes erforderlich.</w:t>
      </w:r>
    </w:p>
    <w:p>
      <w:r>
        <w:rPr>
          <w:b/>
          <w:sz w:val="19"/>
        </w:rPr>
        <w:t xml:space="preserve">Übertragbarkeit: </w:t>
      </w:r>
      <w:r>
        <w:rPr>
          <w:sz w:val="19"/>
        </w:rPr>
        <w:t>Internationale Evidenzsynthese; Übertragbarkeit hängt von lokalen Dialyse-Ressourcen ab</w:t>
      </w:r>
    </w:p>
    <w:p>
      <w:r>
        <w:rPr>
          <w:color w:val="5A7D3A"/>
          <w:sz w:val="18"/>
        </w:rPr>
        <w:t>https://pubmed.ncbi.nlm.nih.gov/42757634/</w:t>
      </w:r>
    </w:p>
    <w:p>
      <w:pPr>
        <w:pStyle w:val="Heading2"/>
      </w:pPr>
      <w:r>
        <w:t>Biologika bei Eosinophilie: Variable Wirksamkeit je nach Blut-Eosinophil-Schwelle</w:t>
      </w:r>
    </w:p>
    <w:p>
      <w:r>
        <w:rPr>
          <w:i/>
          <w:color w:val="666666"/>
          <w:sz w:val="18"/>
        </w:rPr>
        <w:t>Brightling CE et al.  ·  Int J Chron Obstruct Pulmon Dis  ·  10.09.2026  ·  PMID 42741717</w:t>
      </w:r>
    </w:p>
    <w:p>
      <w:r>
        <w:t>Systematische Übersicht zu Biologika in moderater bis sehr schwerer COPD (Phase-2/3-Studien), Fokus auf Exazerbationen, Lungenfunktion und Lebensqualität je nach Blut-Eosinophil-Baseline.</w:t>
      </w:r>
    </w:p>
    <w:p>
      <w:r>
        <w:rPr>
          <w:b/>
        </w:rPr>
        <w:t xml:space="preserve">Ergebnis: </w:t>
      </w:r>
      <w:r>
        <w:t>Astegolimab, Benralizumab, Itepekimab, Tezepelumab reduzierten Exazerbationen nicht in der Gesamtpopulation. Bei Eosinophilen ≥300/μL profitierten Patienten von Benralizumab, Dupilumab und Mepolizumab mit Exazerbationsraten-Reduktionen; Lungenfunktion und Lebensqualität verbesserten sich v. a. bei höherer Eosinophilie. Die Wirksamkeit ist stark eosinophil-abhängig; unterhalb 150/μL kein Nutzen nachgewiesen.</w:t>
      </w:r>
    </w:p>
    <w:p>
      <w:r>
        <w:rPr>
          <w:b/>
          <w:sz w:val="19"/>
        </w:rPr>
        <w:t xml:space="preserve">Übertragbarkeit: </w:t>
      </w:r>
      <w:r>
        <w:rPr>
          <w:sz w:val="19"/>
        </w:rPr>
        <w:t>Internationale Studien, Ergebnisse populationsunabhängig</w:t>
      </w:r>
    </w:p>
    <w:p>
      <w:r>
        <w:rPr>
          <w:color w:val="5A7D3A"/>
          <w:sz w:val="18"/>
        </w:rPr>
        <w:t>https://pubmed.ncbi.nlm.nih.gov/42741717/</w:t>
      </w:r>
    </w:p>
    <w:p>
      <w:pPr>
        <w:pStyle w:val="Heading2"/>
      </w:pPr>
      <w:r>
        <w:t>CKD-Prävention: Albuminurie-Screening senkt Dialysebedarf deutlich</w:t>
      </w:r>
    </w:p>
    <w:p>
      <w:r>
        <w:rPr>
          <w:i/>
          <w:color w:val="666666"/>
          <w:sz w:val="18"/>
        </w:rPr>
        <w:t>Ortiz A et al.  ·  Nefrologia (Engl Ed)  ·  Aug. 2026  ·  PMID 42618196</w:t>
      </w:r>
    </w:p>
    <w:p>
      <w:r>
        <w:t>Spanischer Bericht der Nephrologiegesellschaft zeigt Heterogenität in KRT-Indikation über Regionen und fordert präventiven Fokus auf Albuminurie als Screeningkriterium.</w:t>
      </w:r>
    </w:p>
    <w:p>
      <w:r>
        <w:rPr>
          <w:b/>
        </w:rPr>
        <w:t xml:space="preserve">Ergebnis: </w:t>
      </w:r>
      <w:r>
        <w:t>CKD-Prävention durch Albuminurie-Screening kann KRT-Bedarf um fast drei Jahrzehnte verschieben. Inverse Korrelation zwischen KRT-Inzidenz/-Prävalenz und Lebenserwartung: Niedriger KRT-Bedarf ist Leistungsmerkmal besserer Gesamtgesundheit. Integration albuminurie-basiertes CKD-Screening in Darmkrebsscreening für Babyboomer könnte KRT-Welle einbremsen.</w:t>
      </w:r>
    </w:p>
    <w:p>
      <w:r>
        <w:rPr>
          <w:b/>
          <w:sz w:val="19"/>
        </w:rPr>
        <w:t xml:space="preserve">Übertragbarkeit: </w:t>
      </w:r>
      <w:r>
        <w:rPr>
          <w:sz w:val="19"/>
        </w:rPr>
        <w:t>Spanien, ähnliches Sozialversicherungssystem</w:t>
      </w:r>
    </w:p>
    <w:p>
      <w:r>
        <w:rPr>
          <w:color w:val="5A7D3A"/>
          <w:sz w:val="18"/>
        </w:rPr>
        <w:t>https://pubmed.ncbi.nlm.nih.gov/42618196/</w:t>
      </w:r>
    </w:p>
    <w:p>
      <w:pPr>
        <w:pStyle w:val="Heading1"/>
      </w:pPr>
      <w:r>
        <w:t>Aufgenommen am 19.09.2026</w:t>
      </w:r>
    </w:p>
    <w:p>
      <w:pPr>
        <w:pStyle w:val="Heading2"/>
      </w:pPr>
      <w:r>
        <w:t>Nierentransplantation senkt Fünf-Jahres-Sterblichkeit bei älteren dialysepflichtigen Patienten</w:t>
      </w:r>
    </w:p>
    <w:p>
      <w:r>
        <w:rPr>
          <w:i/>
          <w:color w:val="666666"/>
          <w:sz w:val="18"/>
        </w:rPr>
        <w:t>Hellemans R et al.  ·  BMJ  ·  18.09.2026  ·  PMID 42759976</w:t>
      </w:r>
    </w:p>
    <w:p>
      <w:r>
        <w:t>Europäische Kohortenstudie zur Überlebensfähigkeit von Nieren-Nierentransplantation vs. fortlaufende Dialyse bei 39.244 transplantierten und 64.036 dialysepflichtigen Patienten mit Fokus auf Spenderqualität und Patientenalter.</w:t>
      </w:r>
    </w:p>
    <w:p>
      <w:r>
        <w:rPr>
          <w:b/>
        </w:rPr>
        <w:t xml:space="preserve">Ergebnis: </w:t>
      </w:r>
      <w:r>
        <w:t>Standardkriterium-Spendernieren zeigten unabhängig vom Alter konsistent bessere Fünf-Jahres-Überlebensraten als Dialyse. Expandierte Kriterium-Spendernieren (besonders nach zirkulatorischem Hirntod) zeigten mit zunehmendem Alter geringere Überlebensvorteile: Bei 75-Jährigen war die Fünf-Jahres-Überlebensrate mit expandiertem Spender/zirkulatorischem Hirntod (59%) nicht signifikant besser als mit Dialyse (55%, HR 0,97, 95%-KI 0,70–1,33) und zeigt dreifach erhöhte Frühmortalität.</w:t>
      </w:r>
    </w:p>
    <w:p>
      <w:r>
        <w:rPr>
          <w:b/>
          <w:sz w:val="19"/>
        </w:rPr>
        <w:t xml:space="preserve">Übertragbarkeit: </w:t>
      </w:r>
      <w:r>
        <w:rPr>
          <w:sz w:val="19"/>
        </w:rPr>
        <w:t>Europäische Registerdaten, vergleichbare Gesundheitssysteme DACH und weitere</w:t>
      </w:r>
    </w:p>
    <w:p>
      <w:r>
        <w:rPr>
          <w:color w:val="5A7D3A"/>
          <w:sz w:val="18"/>
        </w:rPr>
        <w:t>https://pubmed.ncbi.nlm.nih.gov/42759976/</w:t>
      </w:r>
    </w:p>
    <w:p>
      <w:pPr>
        <w:pStyle w:val="Heading2"/>
      </w:pPr>
      <w:r>
        <w:t>Universeller DAA-Zugang in Frankreich hob Geschlechtsunterschiede in Hepatitis-C-Therapie auf</w:t>
      </w:r>
    </w:p>
    <w:p>
      <w:r>
        <w:rPr>
          <w:i/>
          <w:color w:val="666666"/>
          <w:sz w:val="18"/>
        </w:rPr>
        <w:t>Marcellin F et al.  ·  Liver Int  ·  Okt. 2026  ·  PMID 42757681</w:t>
      </w:r>
    </w:p>
    <w:p>
      <w:r>
        <w:t>Französische Kohorte mit 97.817 chronisch HCV-Infizierte vor und nach August 2017 (Universalzugang zu direktwirkenden Antiviralen) zur Analyse von Geschlechtsdisparitäten bei Therapieeinleitung.</w:t>
      </w:r>
    </w:p>
    <w:p>
      <w:r>
        <w:rPr>
          <w:b/>
        </w:rPr>
        <w:t xml:space="preserve">Ergebnis: </w:t>
      </w:r>
      <w:r>
        <w:t>Vor Universalzugang: Frauen hatten niedrigere DAA-Initiierungsrate (24,5 vs. 26,1/100 Personenjahre, p&lt;0,001). Nach Universalzugang (2017–2022): Frauen zeigten höhere Rate (22,3 vs. 18,5/100 PY, p&lt;0,001). Disparität umgekehrt – Effekt wurde in multivariablen Modellen bestätigt. Erklärung: Unterschiedliche Krankheitsprogression zwischen Männern und Frauen.</w:t>
      </w:r>
    </w:p>
    <w:p>
      <w:r>
        <w:rPr>
          <w:b/>
          <w:sz w:val="19"/>
        </w:rPr>
        <w:t xml:space="preserve">Übertragbarkeit: </w:t>
      </w:r>
      <w:r>
        <w:rPr>
          <w:sz w:val="19"/>
        </w:rPr>
        <w:t>Frankreich, vergleichbare Sozialversicherung, Versorgungspolitik-Lesson</w:t>
      </w:r>
    </w:p>
    <w:p>
      <w:r>
        <w:rPr>
          <w:color w:val="5A7D3A"/>
          <w:sz w:val="18"/>
        </w:rPr>
        <w:t>https://pubmed.ncbi.nlm.nih.gov/42757681/</w:t>
      </w:r>
    </w:p>
    <w:p>
      <w:pPr>
        <w:pStyle w:val="Heading2"/>
      </w:pPr>
      <w:r>
        <w:t>Insomnie bei COPD-Patienten korreliert mit schlechterer Gesundheit und mehr Exazerbationen</w:t>
      </w:r>
    </w:p>
    <w:p>
      <w:r>
        <w:rPr>
          <w:i/>
          <w:color w:val="666666"/>
          <w:sz w:val="18"/>
        </w:rPr>
        <w:t>Ais-Daza A et al.  ·  Chron Respir Dis  ·  18.09.2026  ·  PMID 42757587</w:t>
      </w:r>
    </w:p>
    <w:p>
      <w:r>
        <w:t>Querschnittstudie mit 103 COPD-Patienten (77 Männer, 26 Frauen) zur Prävalenz und Auswirkungen von Insomnie auf Gesundheitsstatus, Lungenfunktion, Angst/Depression und Exazerbationen.</w:t>
      </w:r>
    </w:p>
    <w:p>
      <w:r>
        <w:rPr>
          <w:b/>
        </w:rPr>
        <w:t xml:space="preserve">Ergebnis: </w:t>
      </w:r>
      <w:r>
        <w:t>Insomnien prävalent bei 38,8% (32,5% mild, 55,0% moderat, 12,5% schwer). Keine Unterschiede in Lungenfunktion, aber Insomnie-Patienten zeigten: schlechterer CAT-Score (19,13±8,63 vs. 11,32±8,13; p&lt;0,001), höhere Tagesmüdigkeit (5,23±3,10 vs. 3,84±2,31; p=0,011), mehr Angst (61,5% vs. 31,2%; OR 3,533) und mehr Exazerbationen (50% vs. 28,6%; OR 2,5; p=0,037). CAT-Score war unabhängiger Prädiktor (OR 1,083; 95%-KI 1,011–1,160; p=0,023).</w:t>
      </w:r>
    </w:p>
    <w:p>
      <w:r>
        <w:rPr>
          <w:b/>
          <w:sz w:val="19"/>
        </w:rPr>
        <w:t xml:space="preserve">Übertragbarkeit: </w:t>
      </w:r>
      <w:r>
        <w:rPr>
          <w:sz w:val="19"/>
        </w:rPr>
        <w:t>Spanien, Primärversorgung, übertragbar auf deutsches COPD-Management</w:t>
      </w:r>
    </w:p>
    <w:p>
      <w:r>
        <w:rPr>
          <w:color w:val="5A7D3A"/>
          <w:sz w:val="18"/>
        </w:rPr>
        <w:t>https://pubmed.ncbi.nlm.nih.gov/42757587/</w:t>
      </w:r>
    </w:p>
    <w:p>
      <w:pPr>
        <w:pStyle w:val="Heading2"/>
      </w:pPr>
      <w:r>
        <w:t>Hochfrequente Thoraxoszillation + Kurzwelle verbessert COPD-Exazerbationen mehr als Einzeltherapie</w:t>
      </w:r>
    </w:p>
    <w:p>
      <w:r>
        <w:rPr>
          <w:i/>
          <w:color w:val="666666"/>
          <w:sz w:val="18"/>
        </w:rPr>
        <w:t>Li Q et al.  ·  Can Respir J  ·  2026  ·  PMID 42757565</w:t>
      </w:r>
    </w:p>
    <w:p>
      <w:r>
        <w:t>Randomisierte kontrollierte Dreigruppen-Studie mit 89 COPD-Exazerbationspatienten zu Kombination von Kurzwellentherapie (SWD) mit hochfrequenter Thoraxoszillation (HFCWO) vs. HFCWO allein vs. Standardbehandlung über 72 Stunden.</w:t>
      </w:r>
    </w:p>
    <w:p>
      <w:r>
        <w:rPr>
          <w:b/>
        </w:rPr>
        <w:t xml:space="preserve">Ergebnis: </w:t>
      </w:r>
      <w:r>
        <w:t>Nach 72 h: Kombinierte Therapie zeigte signifikant größere Reduktion CAT- und BCSS-Scores vs. HFCWO allein und Kontrolle (p&lt;0,05). Arterielle Blutgaswerte (PaO₂, PaCO₂) und Sputumclearance (24h-Volumen, Neutrophilen- und Eosinophilen-%) waren in der Kombinationsgruppe besser. Keine signifikanten Unterschiede in Lungenfunktion (FEV₁, FVC) oder Entzündungsmarkern (IL-6, CRP, WBC). Thermotherapie als adjuvante Strategie wirksam.</w:t>
      </w:r>
    </w:p>
    <w:p>
      <w:r>
        <w:rPr>
          <w:b/>
          <w:sz w:val="19"/>
        </w:rPr>
        <w:t xml:space="preserve">Übertragbarkeit: </w:t>
      </w:r>
      <w:r>
        <w:rPr>
          <w:sz w:val="19"/>
        </w:rPr>
        <w:t>China-Daten, aber Technik und Outcome-Parameter universell</w:t>
      </w:r>
    </w:p>
    <w:p>
      <w:r>
        <w:rPr>
          <w:color w:val="5A7D3A"/>
          <w:sz w:val="18"/>
        </w:rPr>
        <w:t>https://pubmed.ncbi.nlm.nih.gov/42757565/</w:t>
      </w:r>
    </w:p>
    <w:p>
      <w:pPr>
        <w:pStyle w:val="Heading2"/>
      </w:pPr>
      <w:r>
        <w:t>Chronisch Kranke brauchen maßgeschneiderte Betriebliche Gesundheitsförderung</w:t>
      </w:r>
    </w:p>
    <w:p>
      <w:r>
        <w:rPr>
          <w:i/>
          <w:color w:val="666666"/>
          <w:sz w:val="18"/>
        </w:rPr>
        <w:t>Schaller A et al.  ·  Front Public Health  ·  03.09.2026  ·  PMID 42756024</w:t>
      </w:r>
    </w:p>
    <w:p>
      <w:r>
        <w:t>Qualitative Interviewstudie mit 15 beschäftigten Patienten mit chronischen Erkrankungen zu ihren Bedürfnissen bezüglich bewegungsförderlicher betrieblicher Gesundheitsprogramme.</w:t>
      </w:r>
    </w:p>
    <w:p>
      <w:r>
        <w:rPr>
          <w:b/>
        </w:rPr>
        <w:t xml:space="preserve">Ergebnis: </w:t>
      </w:r>
      <w:r>
        <w:t>Vier Themenkomplexe identifiziert: Subjektives Gesundheitsverständnis, arbeitsplatzbedingte Herausforderungen (physisch und psychisch) mit Bewältigungsstrategien (Bewegung, Ernährung, soziales Umfeld, Entspannung), WHP-Erfahrungen und konkrete Wünsche. Zentrale Erkenntnis: BGF für chronisch Kranke muss mental, physisch und soziale Einschränkungen berücksichtigen und an arbeitsplatzspezifische Belastungen angepasst sein.</w:t>
      </w:r>
    </w:p>
    <w:p>
      <w:r>
        <w:rPr>
          <w:b/>
          <w:sz w:val="19"/>
        </w:rPr>
        <w:t xml:space="preserve">Übertragbarkeit: </w:t>
      </w:r>
      <w:r>
        <w:rPr>
          <w:sz w:val="19"/>
        </w:rPr>
        <w:t>Deutschland, Bundeswehr-Universität München, direkt übertragbar</w:t>
      </w:r>
    </w:p>
    <w:p>
      <w:r>
        <w:rPr>
          <w:color w:val="5A7D3A"/>
          <w:sz w:val="18"/>
        </w:rPr>
        <w:t>https://pubmed.ncbi.nlm.nih.gov/42756024/</w:t>
      </w:r>
    </w:p>
    <w:p>
      <w:pPr>
        <w:pStyle w:val="Heading2"/>
      </w:pPr>
      <w:r>
        <w:t>Erhöhtes TSH und Schilddrüsenhormonresistenz erhöhen CKD-Risiko bei Diabetes</w:t>
      </w:r>
    </w:p>
    <w:p>
      <w:r>
        <w:rPr>
          <w:i/>
          <w:color w:val="666666"/>
          <w:sz w:val="18"/>
        </w:rPr>
        <w:t>Huang H et al.  ·  Ren Fail  ·  18.09.2026  ·  PMID 42755292</w:t>
      </w:r>
    </w:p>
    <w:p>
      <w:r>
        <w:t>Querschnittstudie bei 2.759 Patienten mit Typ-2-Diabetes ohne periphere Schilddrüsendysfunktion zur Assoziation zwischen zentraler Schilddrüsenhormonresistenz und chronischer Nierenerkrankung.</w:t>
      </w:r>
    </w:p>
    <w:p>
      <w:r>
        <w:rPr>
          <w:b/>
        </w:rPr>
        <w:t xml:space="preserve">Ergebnis: </w:t>
      </w:r>
      <w:r>
        <w:t>Erhöhtes TSH (oberstes Quartil) und erhöhte zentrale Schilddrüsenhormonresistenz (TFQI, TT4RI, TSHI) waren unabhängig mit erhöhtem CKD-Risiko assoziiert. TSH-Quartil 4: OR 1,50 (95%-KI 1,08–2,07). Nicht-lineare Assoziation nachgewiesen. Nach Propensity-Score-Matching (n=684 Paare): OR 1,66 (95%-KI 1,21–2,27). Leicht verfügbare Indizes könnten für Früh-Risikostratifikation nützlich sein.</w:t>
      </w:r>
    </w:p>
    <w:p>
      <w:r>
        <w:rPr>
          <w:b/>
          <w:sz w:val="19"/>
        </w:rPr>
        <w:t xml:space="preserve">Übertragbarkeit: </w:t>
      </w:r>
      <w:r>
        <w:rPr>
          <w:sz w:val="19"/>
        </w:rPr>
        <w:t>China-Daten, aber Endokrinologie-Nierenpathologie universell gültig</w:t>
      </w:r>
    </w:p>
    <w:p>
      <w:r>
        <w:rPr>
          <w:color w:val="5A7D3A"/>
          <w:sz w:val="18"/>
        </w:rPr>
        <w:t>https://pubmed.ncbi.nlm.nih.gov/42755292/</w:t>
      </w:r>
    </w:p>
    <w:p>
      <w:pPr>
        <w:pStyle w:val="Heading2"/>
      </w:pPr>
      <w:r>
        <w:t>Zentralvenöse Katheter bei Dialyse über 80 Jahren erhöhen Sterblichkeit gegenüber arteriovenösen Fisteln um den Faktor 3</w:t>
      </w:r>
    </w:p>
    <w:p>
      <w:r>
        <w:rPr>
          <w:i/>
          <w:color w:val="666666"/>
          <w:sz w:val="18"/>
        </w:rPr>
        <w:t>Park JU et al.  ·  Korean J Intern Med  ·  01.09.2026  ·  PMID 42754529</w:t>
      </w:r>
    </w:p>
    <w:p>
      <w:r>
        <w:t>Koreanische nationale Kohortenstudie mit 79.286 Hämodialysepatienten (2012–2021) zur Mortalität nach Vascular-Access-Typ, stratifiziert nach Alter (inkl. Patienten über 80 Jahren).</w:t>
      </w:r>
    </w:p>
    <w:p>
      <w:r>
        <w:rPr>
          <w:b/>
        </w:rPr>
        <w:t xml:space="preserve">Ergebnis: </w:t>
      </w:r>
      <w:r>
        <w:t>Zentrale venöse Katheter (CVC) assoziiert mit höchster Mortalität. Vs. arteriovenöse Fistel (AVF): aHR 3,54 (95%-KI 3,43–3,65). Auch bei Patienten über 80 Jahren und über 90 Jahren erhöht (aHR 3,30; 95%-KI 3,14–3,47 bzw. 3,18; 95%-KI 2,65–3,82). CVC vs. Graft ebenfalls erhöhtes Risiko über alle Altersgruppen. Hohes Alter sollte keine Kontraindikation für AVF sein – individualisierte Entscheidungen erforderlich.</w:t>
      </w:r>
    </w:p>
    <w:p>
      <w:r>
        <w:rPr>
          <w:b/>
          <w:sz w:val="19"/>
        </w:rPr>
        <w:t xml:space="preserve">Übertragbarkeit: </w:t>
      </w:r>
      <w:r>
        <w:rPr>
          <w:sz w:val="19"/>
        </w:rPr>
        <w:t>Südkorea, Routineversorgungsdaten, Altersdemographie vergleichbar</w:t>
      </w:r>
    </w:p>
    <w:p>
      <w:r>
        <w:rPr>
          <w:color w:val="5A7D3A"/>
          <w:sz w:val="18"/>
        </w:rPr>
        <w:t>https://pubmed.ncbi.nlm.nih.gov/42754529/</w:t>
      </w:r>
    </w:p>
    <w:p>
      <w:pPr>
        <w:pStyle w:val="Heading1"/>
      </w:pPr>
      <w:r>
        <w:t>Aufgenommen am 18.09.2026</w:t>
      </w:r>
    </w:p>
    <w:p>
      <w:pPr>
        <w:pStyle w:val="Heading2"/>
      </w:pPr>
      <w:r>
        <w:t>Salzrestriktion senkte Nierenkomplikationen nur in frühem CKD-Stadium</w:t>
      </w:r>
    </w:p>
    <w:p>
      <w:r>
        <w:rPr>
          <w:i/>
          <w:color w:val="666666"/>
          <w:sz w:val="18"/>
        </w:rPr>
        <w:t>Miyauchi H et al.  ·  Nephrology (Carlton)  ·  Sept. 2026  ·  PMID 42754360</w:t>
      </w:r>
    </w:p>
    <w:p>
      <w:r>
        <w:t>Retrospektive Kohortenstudie mit 462 älteren Patienten (≥75 Jahre) untersuchte Zusammenhang zwischen Salzaufnahme und nierenspezifischen Outcomes nach CKD-Stadium stratifiziert.</w:t>
      </w:r>
    </w:p>
    <w:p>
      <w:r>
        <w:rPr>
          <w:b/>
        </w:rPr>
        <w:t xml:space="preserve">Ergebnis: </w:t>
      </w:r>
      <w:r>
        <w:t>In CKD-Stadium 3: höhere Salzaufnahme mit erhöhtem Risiko assoziiert (aHR 2,70; 95%-KI 1,02–7,12). In Stadien 4–5: keine signifikante Assoziation. Salzrestriktion scheint in frühen CKD-Stadien bei älteren Erwachsenen nutzbringend zu sein.</w:t>
      </w:r>
    </w:p>
    <w:p>
      <w:r>
        <w:rPr>
          <w:b/>
          <w:sz w:val="19"/>
        </w:rPr>
        <w:t xml:space="preserve">Übertragbarkeit: </w:t>
      </w:r>
      <w:r>
        <w:rPr>
          <w:sz w:val="19"/>
        </w:rPr>
        <w:t>Japan; ältere Population, Stadium-spezifische Empfehlung relevant für Deutsche Praxis.</w:t>
      </w:r>
    </w:p>
    <w:p>
      <w:r>
        <w:rPr>
          <w:color w:val="5A7D3A"/>
          <w:sz w:val="18"/>
        </w:rPr>
        <w:t>https://pubmed.ncbi.nlm.nih.gov/42754360/</w:t>
      </w:r>
    </w:p>
    <w:p>
      <w:pPr>
        <w:pStyle w:val="Heading2"/>
      </w:pPr>
      <w:r>
        <w:t>Symptombelastung korrelierte stark negativ mit Lebensqualität bei Chronischen Erkrankungen</w:t>
      </w:r>
    </w:p>
    <w:p>
      <w:r>
        <w:rPr>
          <w:i/>
          <w:color w:val="666666"/>
          <w:sz w:val="18"/>
        </w:rPr>
        <w:t>Shrestha H et al.  ·  Inquiry  ·  17.09.2026  ·  PMID 42751809</w:t>
      </w:r>
    </w:p>
    <w:p>
      <w:r>
        <w:t>Querschnittstudie mit 164 hospitalisierten Erwachsenen mit verschiedenen chronischen Erkrankungen untersuchte Symptombelastung (ESAS-r) und Lebensqualität (SF-36) sowie deren Assoziation.</w:t>
      </w:r>
    </w:p>
    <w:p>
      <w:r>
        <w:rPr>
          <w:b/>
        </w:rPr>
        <w:t xml:space="preserve">Ergebnis: </w:t>
      </w:r>
      <w:r>
        <w:t>92,1 % hatten hohe Symptombelastung (Median 50,5; IQR 40–57,5); 65,9 % berichteten schlechte Lebensqualität. Starke negative Korrelation zwischen Symptombelastung und Lebensqualität (rs=–0,620; 95%-KI [–0,941 bis –0,641]; p&lt;0,001). Symptombelastung war mit Komorbiditäten und Krankenhausaufenthalten signifikant assoziiert.</w:t>
      </w:r>
    </w:p>
    <w:p>
      <w:r>
        <w:rPr>
          <w:b/>
          <w:sz w:val="19"/>
        </w:rPr>
        <w:t xml:space="preserve">Übertragbarkeit: </w:t>
      </w:r>
      <w:r>
        <w:rPr>
          <w:sz w:val="19"/>
        </w:rPr>
        <w:t>Nepal; zeigt universelles Muster bei Mehrfacherkrankung, Screening-Bedarf bei deutschen Chronikern.</w:t>
      </w:r>
    </w:p>
    <w:p>
      <w:r>
        <w:rPr>
          <w:color w:val="5A7D3A"/>
          <w:sz w:val="18"/>
        </w:rPr>
        <w:t>https://pubmed.ncbi.nlm.nih.gov/42751809/</w:t>
      </w:r>
    </w:p>
    <w:p>
      <w:pPr>
        <w:pStyle w:val="Heading2"/>
      </w:pPr>
      <w:r>
        <w:t>Grünflächen verringerten COPD-Risiko um 13–17 Prozent</w:t>
      </w:r>
    </w:p>
    <w:p>
      <w:r>
        <w:rPr>
          <w:i/>
          <w:color w:val="666666"/>
          <w:sz w:val="18"/>
        </w:rPr>
        <w:t>Chen Y et al.  ·  Int J Chron Obstruct Pulmon Dis  ·  12.09.2026  ·  PMID 42751338</w:t>
      </w:r>
    </w:p>
    <w:p>
      <w:r>
        <w:t>Prospektive Kohortenstudie mit 385.502 UK-Biobank-Teilnehmern untersuchte, ob Wohngebiete mit Grün- und Blauflächen das COPD-Inzidenzrisiko senken.</w:t>
      </w:r>
    </w:p>
    <w:p>
      <w:r>
        <w:rPr>
          <w:b/>
        </w:rPr>
        <w:t xml:space="preserve">Ergebnis: </w:t>
      </w:r>
      <w:r>
        <w:t>Höhere Exposition gegenüber Grünflächen (HR 0,87; 95%-KI 0,83–0,92) und natürlicher Umgebung (HR 0,83; 95%-KI 0,78–0,87) waren mit niedrigerem COPD-Risiko verbunden, unabhängig von genetischer Anfälligkeit. Die Assoziation deutet auf präventives Potenzial von Umweltmaßnahmen hin.</w:t>
      </w:r>
    </w:p>
    <w:p>
      <w:r>
        <w:rPr>
          <w:b/>
          <w:sz w:val="19"/>
        </w:rPr>
        <w:t xml:space="preserve">Übertragbarkeit: </w:t>
      </w:r>
      <w:r>
        <w:rPr>
          <w:sz w:val="19"/>
        </w:rPr>
        <w:t>UK-Kohortenstudie; Umweltfaktoren gelten international, Transfer auf Präventionsinfrastruktur hängt von Planung ab.</w:t>
      </w:r>
    </w:p>
    <w:p>
      <w:r>
        <w:rPr>
          <w:color w:val="5A7D3A"/>
          <w:sz w:val="18"/>
        </w:rPr>
        <w:t>https://pubmed.ncbi.nlm.nih.gov/42751338/</w:t>
      </w:r>
    </w:p>
    <w:p>
      <w:pPr>
        <w:pStyle w:val="Heading2"/>
      </w:pPr>
      <w:r>
        <w:t>Höhere Ballaststoffaufnahme senkte COPD-Prävalenz und Entzündungsmarker</w:t>
      </w:r>
    </w:p>
    <w:p>
      <w:r>
        <w:rPr>
          <w:i/>
          <w:color w:val="666666"/>
          <w:sz w:val="18"/>
        </w:rPr>
        <w:t>Tu X et al.  ·  Int J Chron Obstruct Pulmon Dis  ·  11.09.2026  ·  PMID 42751152</w:t>
      </w:r>
    </w:p>
    <w:p>
      <w:r>
        <w:t>Zweistufige epidemiologische und klinische Kohortenstudie (NHANES 2013–2018 und 331 klinische Teilnehmer) untersuchte Assoziation zwischen Ballaststoffaufnahme und COPD sowie Entzündungsmarkern und zirkulierendem Lipopolysaccharid.</w:t>
      </w:r>
    </w:p>
    <w:p>
      <w:r>
        <w:rPr>
          <w:b/>
        </w:rPr>
        <w:t xml:space="preserve">Ergebnis: </w:t>
      </w:r>
      <w:r>
        <w:t>NHANES: höhere energieadjustierte Ballaststoffaufnahme war mit niedrigerer COPD-Prävalenz assoziiert. Klinische Kohorte: höhere Ballaststoffaufnahme bei COPD-Patienten korrelierte mit niedrigeren Entzündungsmarkern und zirkulierendem LPS. WBC und Neutrophile zeigten statistische Signifikanz mit jeweils 1,36 % und 4,22 % indirektem Effekt.</w:t>
      </w:r>
    </w:p>
    <w:p>
      <w:r>
        <w:rPr>
          <w:b/>
          <w:sz w:val="19"/>
        </w:rPr>
        <w:t xml:space="preserve">Übertragbarkeit: </w:t>
      </w:r>
      <w:r>
        <w:rPr>
          <w:sz w:val="19"/>
        </w:rPr>
        <w:t>USA (NHANES) und klinische Kohortendaten; Ernährungsintervention ist übertragbar, prospektive Studien erforderlich.</w:t>
      </w:r>
    </w:p>
    <w:p>
      <w:r>
        <w:rPr>
          <w:color w:val="5A7D3A"/>
          <w:sz w:val="18"/>
        </w:rPr>
        <w:t>https://pubmed.ncbi.nlm.nih.gov/42751152/</w:t>
      </w:r>
    </w:p>
    <w:p>
      <w:pPr>
        <w:pStyle w:val="Heading2"/>
      </w:pPr>
      <w:r>
        <w:t>HIV/Hepatitis-B-Koinfektion verschlechterte Lebensqualität erheblich</w:t>
      </w:r>
    </w:p>
    <w:p>
      <w:r>
        <w:rPr>
          <w:i/>
          <w:color w:val="666666"/>
          <w:sz w:val="18"/>
        </w:rPr>
        <w:t>Okeke E et al.  ·  BMC Infect Dis  ·  07.08.2026  ·  PMID 42750015</w:t>
      </w:r>
    </w:p>
    <w:p>
      <w:r>
        <w:t>Querschnittsanalyse von 884 Erwachsenen mit chronischer Hepatitis B in West- und Zentralafrika untersuchte gesundheitsbezogene Lebensqualität (SF-36) stratifiziert nach Behandlungsstatus und HIV-Status.</w:t>
      </w:r>
    </w:p>
    <w:p>
      <w:r>
        <w:rPr>
          <w:b/>
        </w:rPr>
        <w:t xml:space="preserve">Ergebnis: </w:t>
      </w:r>
      <w:r>
        <w:t>Mittlere Lebensqualität 77,8 (SD 16,9) insgesamt, aber signifikant niedriger bei HIV/HBV-Koinfektion unbehandelt (59,38 vs. 80,56 bei HBV-monoinfiziert; p&lt;0,01). Erhöhte Fibrosescores, Komorbiditäten und höheres Alter waren mit schlechterer Lebensqualität assoziiert; Energie war am meisten beeinträchtigt.</w:t>
      </w:r>
    </w:p>
    <w:p>
      <w:r>
        <w:rPr>
          <w:b/>
          <w:sz w:val="19"/>
        </w:rPr>
        <w:t xml:space="preserve">Übertragbarkeit: </w:t>
      </w:r>
      <w:r>
        <w:rPr>
          <w:sz w:val="19"/>
        </w:rPr>
        <w:t>Subsaharische Länder mit hoher HBV/HIV-Prävalenz; zeigt Bedarf für integrierte Versorgung auch bei deutscher Mehrfacherkrankung.</w:t>
      </w:r>
    </w:p>
    <w:p>
      <w:r>
        <w:rPr>
          <w:color w:val="5A7D3A"/>
          <w:sz w:val="18"/>
        </w:rPr>
        <w:t>https://pubmed.ncbi.nlm.nih.gov/42750015/</w:t>
      </w:r>
    </w:p>
    <w:p>
      <w:pPr>
        <w:pStyle w:val="Heading2"/>
      </w:pPr>
      <w:r>
        <w:t>Gemeindevolontäre steigerten Hepatitis-B-Therapietreue um 25 Prozentpunkte</w:t>
      </w:r>
    </w:p>
    <w:p>
      <w:r>
        <w:rPr>
          <w:i/>
          <w:color w:val="666666"/>
          <w:sz w:val="18"/>
        </w:rPr>
        <w:t>Western Pac Surveill Response J  ·  15.07.2026  ·  PMID 42746034</w:t>
      </w:r>
    </w:p>
    <w:p>
      <w:r>
        <w:t>Pilotstudie in Kiribati testete Gemeindevolontäre zur Verbesserung der Adhärenz zur Hepatitis-B-Antivirentherapie bei schwangeren Frauen und Patienten mit Zirrhose von Januar bis August 2025.</w:t>
      </w:r>
    </w:p>
    <w:p>
      <w:r>
        <w:rPr>
          <w:b/>
        </w:rPr>
        <w:t xml:space="preserve">Ergebnis: </w:t>
      </w:r>
      <w:r>
        <w:t>Therapietreue war 77,4 % in der Interventionsgruppe vs. 52,5 % in der Kontrollgruppe (p&lt;0,001); bei schwangeren Frauen 89,7 %; Adhärenz &gt;80 % erreichten 58,8 % der Intervention vs. 34,1 % der Kontrollen (p=0,0012). Die Strategie ist vielversprechend, aber vorläufig ohne Matching zwischen Gruppen.</w:t>
      </w:r>
    </w:p>
    <w:p>
      <w:r>
        <w:rPr>
          <w:b/>
          <w:sz w:val="19"/>
        </w:rPr>
        <w:t xml:space="preserve">Übertragbarkeit: </w:t>
      </w:r>
      <w:r>
        <w:rPr>
          <w:sz w:val="19"/>
        </w:rPr>
        <w:t>Pazifikischer Inselstaat mit hoher Prävalenz; Modell könnte auch andere chronische Erkrankungen erreichen, Transfer hängt von lokalen Ressourcen ab.</w:t>
      </w:r>
    </w:p>
    <w:p>
      <w:r>
        <w:rPr>
          <w:color w:val="5A7D3A"/>
          <w:sz w:val="18"/>
        </w:rPr>
        <w:t>https://pubmed.ncbi.nlm.nih.gov/42746034/</w:t>
      </w:r>
    </w:p>
    <w:p>
      <w:pPr>
        <w:pStyle w:val="Heading2"/>
      </w:pPr>
      <w:r>
        <w:t>SP16-Behandlung könnte Akute-Nierenschädigung bei Herzoperation verhindern</w:t>
      </w:r>
    </w:p>
    <w:p>
      <w:r>
        <w:rPr>
          <w:i/>
          <w:color w:val="666666"/>
          <w:sz w:val="18"/>
        </w:rPr>
        <w:t>Jobst-Schwan T et al.  ·  Trials  ·  28.08.2026  ·  PMID 42665834</w:t>
      </w:r>
    </w:p>
    <w:p>
      <w:r>
        <w:t>Phase-IIa-Studie prüft Sicherheit und Wirksamkeit von SP16 (LRP1-Agonist) zur Prävention akuter Nierenschädigung bei 120 Hochrisiko-Patienten mit chronischer Nierenkrankheit unter Herzoperation.</w:t>
      </w:r>
    </w:p>
    <w:p>
      <w:r>
        <w:rPr>
          <w:b/>
        </w:rPr>
        <w:t xml:space="preserve">Ergebnis: </w:t>
      </w:r>
      <w:r>
        <w:t>Geplante Primärendpunkte: Inzidenz akuter Nierenschädigung innerhalb 7 Tage postoperativ und Häufigkeit von Nebenwirkungen in 72 h. Rekrutierung geplant ab August 2026; Phase-IIa-Ergebnisse ausstehend. Frühe Phase-I-Sicherheit war gegeben.</w:t>
      </w:r>
    </w:p>
    <w:p>
      <w:r>
        <w:rPr>
          <w:b/>
          <w:sz w:val="19"/>
        </w:rPr>
        <w:t xml:space="preserve">Übertragbarkeit: </w:t>
      </w:r>
      <w:r>
        <w:rPr>
          <w:sz w:val="19"/>
        </w:rPr>
        <w:t>Deutsches Zentrum (Erlangen); experimentelles Stadium, externe Validierung erforderlich.</w:t>
      </w:r>
    </w:p>
    <w:p>
      <w:r>
        <w:rPr>
          <w:color w:val="5A7D3A"/>
          <w:sz w:val="18"/>
        </w:rPr>
        <w:t>https://pubmed.ncbi.nlm.nih.gov/42665834/</w:t>
      </w:r>
    </w:p>
    <w:p>
      <w:pPr>
        <w:pStyle w:val="Heading1"/>
      </w:pPr>
      <w:r>
        <w:t>Aufgenommen am 17.09.2026</w:t>
      </w:r>
    </w:p>
    <w:p>
      <w:pPr>
        <w:pStyle w:val="Heading2"/>
      </w:pPr>
      <w:r>
        <w:t>Orale Mehrfacherkrankungen bei älteren Menschen erfordern differenzierte Zahngesundheits-Strategien</w:t>
      </w:r>
    </w:p>
    <w:p>
      <w:r>
        <w:rPr>
          <w:i/>
          <w:color w:val="666666"/>
          <w:sz w:val="18"/>
        </w:rPr>
        <w:t>Jiang L et al.  ·  Clin Interv Aging  ·  11.09.2026  ·  PMID 42746399</w:t>
      </w:r>
    </w:p>
    <w:p>
      <w:r>
        <w:t>Latente-Klassen-Analyse identifizierte unterschiedliche Muster oraler Mehrfacherkrankung (Karies, Zahnfleischerkrankung, Zahnverlust) bei 423 älteren Chinesen (65–74 Jahre) und untersuchte soziale Determinanten der Klassenzugehörigkeit.</w:t>
      </w:r>
    </w:p>
    <w:p>
      <w:r>
        <w:rPr>
          <w:b/>
        </w:rPr>
        <w:t xml:space="preserve">Ergebnis: </w:t>
      </w:r>
      <w:r>
        <w:t>Drei Subtypen wurden identifiziert: Klasse 1 (23,9 %, niedrige Erkrankungslast); Klasse 2 (41,6 %, parodontaldominant mit schwerem Zahnverlust); Klasse 3 (34,5 %, kariesdominant). Älterung, Rauchen und Zahnarztbesuche waren assoziiert mit Klasse 2. Älterung, weibliches Geschlecht, urbaner Wohnort und Zahnarztbesuche waren mit Klasse 3 verbunden. Die Befunde legen subtyp-spezifische statt einheitlicher Zahngesundheitsstrategien nahe und zeigen, dass orale Mehrfacherkrankung unter älteren Menschen heterogen ist.</w:t>
      </w:r>
    </w:p>
    <w:p>
      <w:r>
        <w:rPr>
          <w:b/>
          <w:sz w:val="19"/>
        </w:rPr>
        <w:t xml:space="preserve">Übertragbarkeit: </w:t>
      </w:r>
      <w:r>
        <w:rPr>
          <w:sz w:val="19"/>
        </w:rPr>
        <w:t>China, aber methodisches Vorbild für Mehrfacherkrankungs-Phänotypisierung in allen Ländern übertragbar</w:t>
      </w:r>
    </w:p>
    <w:p>
      <w:r>
        <w:rPr>
          <w:color w:val="5A7D3A"/>
          <w:sz w:val="18"/>
        </w:rPr>
        <w:t>https://pubmed.ncbi.nlm.nih.gov/42746399/</w:t>
      </w:r>
    </w:p>
    <w:p>
      <w:pPr>
        <w:pStyle w:val="Heading2"/>
      </w:pPr>
      <w:r>
        <w:t>Post-Hepatitis-C-Lebersteifheit prognostiziert Dekompensation stärker als deren Veränderung</w:t>
      </w:r>
    </w:p>
    <w:p>
      <w:r>
        <w:rPr>
          <w:i/>
          <w:color w:val="666666"/>
          <w:sz w:val="18"/>
        </w:rPr>
        <w:t>Cerini F et al.  ·  Liver Int  ·  Okt. 2026  ·  PMID 42745428</w:t>
      </w:r>
    </w:p>
    <w:p>
      <w:r>
        <w:t>Retrospektive Kohortenstudie bei 135 Patienten mit HCV-bedingter kompensierter fortgeschrittener Lebererkrankung, die eine direkt wirkende antivirale Therapie (DAA) erhielten, prüfte, ob absolute post-SVR-Lebersteifheit (LSM) oder deren Veränderung den Verlauf nach Viruseradikation besser prognostizieren.</w:t>
      </w:r>
    </w:p>
    <w:p>
      <w:r>
        <w:rPr>
          <w:b/>
        </w:rPr>
        <w:t xml:space="preserve">Ergebnis: </w:t>
      </w:r>
      <w:r>
        <w:t>Bei medianer 60 Monate (95%-KI 52–69) Nachverfolgung entwickelten 8 % (11/135) leberbezogene Ereignisse. Absolute post-Therapie-LSM zeigte bessere diskriminative Fähigkeit (tAUC Jahr 2: 0,86; Jahr 3: 0,82) als deren Veränderung. Follow-up-LSM &gt; 20 kPa war unabhängig mit leberbezogenen Ereignissen assoziiert (SHR 5,61; p = 0,007), während Baveno-VII-Kriterien für LSM-Regression nicht signifikant waren (p = 0,097). Dies unterstützt wiederholte post-SVR-LSM-Bewertung zur Risikostratifizierung.</w:t>
      </w:r>
    </w:p>
    <w:p>
      <w:r>
        <w:rPr>
          <w:b/>
          <w:sz w:val="19"/>
        </w:rPr>
        <w:t xml:space="preserve">Übertragbarkeit: </w:t>
      </w:r>
      <w:r>
        <w:rPr>
          <w:sz w:val="19"/>
        </w:rPr>
        <w:t>Schweiz (Bern), deutschsprachiger Raum, vergleichbare hepatologische Versorgungsstandards</w:t>
      </w:r>
    </w:p>
    <w:p>
      <w:r>
        <w:rPr>
          <w:color w:val="5A7D3A"/>
          <w:sz w:val="18"/>
        </w:rPr>
        <w:t>https://pubmed.ncbi.nlm.nih.gov/42745428/</w:t>
      </w:r>
    </w:p>
    <w:p>
      <w:pPr>
        <w:pStyle w:val="Heading2"/>
      </w:pPr>
      <w:r>
        <w:t>Retrograde Datenerfassung zu pädiatrischen Patienten mit CKD-Anämie ermöglicht Registerstudie</w:t>
      </w:r>
    </w:p>
    <w:p>
      <w:r>
        <w:rPr>
          <w:i/>
          <w:color w:val="666666"/>
          <w:sz w:val="18"/>
        </w:rPr>
        <w:t>Mountcastle S et al.  ·  BMC Nephrol  ·  27.08.2026  ·  PMID 42717324</w:t>
      </w:r>
    </w:p>
    <w:p>
      <w:r>
        <w:t>Machbarkeitsstudie zur Durchführbarkeit der retrospektiven Erhebung klinischer Charakteristika, Behandlungshistorie und Nebenwirkungen bei pädiatrischen Dialyse-Patienten mit Anämie aus Krankenakten in UK und USA.</w:t>
      </w:r>
    </w:p>
    <w:p>
      <w:r>
        <w:rPr>
          <w:b/>
        </w:rPr>
        <w:t xml:space="preserve">Ergebnis: </w:t>
      </w:r>
      <w:r>
        <w:t>Unter 50 eingeschlossenen Patienten (36 UK, 14 USA, Median 9 Jahre) lag die mittlere Hemoglobin-Baseline bei 10,0 (2,0) g/dL. 46 % erhielten Eisentherapie mit der erythropoese-stimulierenden Therapie. Die mediane Nachverfolgung betrug 52,1 Wochen; 20 unerwünschte Ereignisse traten bei 9 (18 %) Patienten auf (alle schwerwiegend). Die Studie demonstrierte Machbarkeit, aus medizinischen Unterlagen klinische Charakteristika, Behandlungshistorie und Nebenwirkungen bei pädiatrischen Patienten mit CKD-Anämie zu erfassen.</w:t>
      </w:r>
    </w:p>
    <w:p>
      <w:r>
        <w:rPr>
          <w:b/>
          <w:sz w:val="19"/>
        </w:rPr>
        <w:t xml:space="preserve">Übertragbarkeit: </w:t>
      </w:r>
      <w:r>
        <w:rPr>
          <w:sz w:val="19"/>
        </w:rPr>
        <w:t>UK und USA, begrenzte Übertragbarkeit auf Deutschland; wesentlich für internationale Vergleichbarkeit von Pädiatrie-Versorgung</w:t>
      </w:r>
    </w:p>
    <w:p>
      <w:r>
        <w:rPr>
          <w:color w:val="5A7D3A"/>
          <w:sz w:val="18"/>
        </w:rPr>
        <w:t>https://pubmed.ncbi.nlm.nih.gov/42717324/</w:t>
      </w:r>
    </w:p>
    <w:p>
      <w:pPr>
        <w:pStyle w:val="Heading2"/>
      </w:pPr>
      <w:r>
        <w:t>Multimorbidität-Muster beeinflussen Therapieerfolg bei älteren Menschen mit Frailty</w:t>
      </w:r>
    </w:p>
    <w:p>
      <w:r>
        <w:rPr>
          <w:i/>
          <w:color w:val="666666"/>
          <w:sz w:val="18"/>
        </w:rPr>
        <w:t>Vetrano DL et al.  ·  Nat Aging  ·  31.08.2026  ·  PMID 42675189</w:t>
      </w:r>
    </w:p>
    <w:p>
      <w:r>
        <w:t>Die Studie prüfte, ob die Wirksamkeit eines multikomponentalen Lebensstil-Interventionsprogramms (körperliche Aktivität mit technologischer Unterstützung und Ernährungsberatung) bei älteren Menschen mit Frailty und Mehrfacherkrankungen je nach Erkrankungsmuster variiert.</w:t>
      </w:r>
    </w:p>
    <w:p>
      <w:r>
        <w:rPr>
          <w:b/>
        </w:rPr>
        <w:t xml:space="preserve">Ergebnis: </w:t>
      </w:r>
      <w:r>
        <w:t>Insgesamt reduzierte die Intervention das Risiko für Mobilitätsbehinderung oder Tod um 22 % (HR 0,78; 95%-KI 0,66–0,92). Bei Patienten mit psychiatrischem Erkrankungsmuster war der Nutzen besonders groß (HR 0,65; 95%-KI 0,47–0,92); diese Gruppe gewann im Median 3,09 Monate ohne Mobilitätseinschränkung oder Tod. Bei kardio-metabolischen und respiratorischen Mustern zeigten sich keine statistisch signifikanten Unterschiede. Dies zeigt, dass Erkrankungsmuster die Therapieansprechbarkeit beeinflussen und Risikostratifizierung für präventive Maßnahmen wichtig ist.</w:t>
      </w:r>
    </w:p>
    <w:p>
      <w:r>
        <w:rPr>
          <w:b/>
          <w:sz w:val="19"/>
        </w:rPr>
        <w:t xml:space="preserve">Übertragbarkeit: </w:t>
      </w:r>
      <w:r>
        <w:rPr>
          <w:sz w:val="19"/>
        </w:rPr>
        <w:t>Europäische Studie (Italien, Schweden, Deutschland), vergleichbare Struktur von Versorgung und Vorsorge</w:t>
      </w:r>
    </w:p>
    <w:p>
      <w:r>
        <w:rPr>
          <w:color w:val="5A7D3A"/>
          <w:sz w:val="18"/>
        </w:rPr>
        <w:t>https://pubmed.ncbi.nlm.nih.gov/42675189/</w:t>
      </w:r>
    </w:p>
    <w:p>
      <w:pPr>
        <w:pStyle w:val="Heading2"/>
      </w:pPr>
      <w:r>
        <w:t>Strukturierte COPD-Versorgung mit früher Diagnose und Triple-Inhalation senkt Mortalität</w:t>
      </w:r>
    </w:p>
    <w:p>
      <w:r>
        <w:rPr>
          <w:i/>
          <w:color w:val="666666"/>
          <w:sz w:val="18"/>
        </w:rPr>
        <w:t>Rogliani P et al.  ·  Intern Emerg Med  ·  21.08.2026  ·  PMID 42629534</w:t>
      </w:r>
    </w:p>
    <w:p>
      <w:r>
        <w:t>Italienische Expertengruppe entwickelte praktische Empfehlungen zur Optimierung der COPD-Versorgung im italienischen Gesundheitssystem, basierend auf aktuellen Daten und dem Problem der Unterdiagnose.</w:t>
      </w:r>
    </w:p>
    <w:p>
      <w:r>
        <w:rPr>
          <w:b/>
        </w:rPr>
        <w:t xml:space="preserve">Ergebnis: </w:t>
      </w:r>
      <w:r>
        <w:t>Die Empfehlungen betonen: (1) strukturierte Fallsuche in Hausarztpraxen mit Spirometrie zur frühen Diagnose; (2) Standardisierung der Identifikation unkontrollierter Patienten durch Symptom-Scores und indirekte Marker (rezidivierende Antibiotika- oder Kortikosteroid-Nutzung); (3) Single-Inhaler-Triple-Therapie (SITT) als einzige pharmakologische Strategie, die nachweislich Exazerbationen und Gesamtmortalität bei Hochrisikopatienten senkt. Die Auswirkung auf kardiopulmonale Dekompensation wird diskutiert. Ein integrierter Versorgungspfad und Überwindung therapeutischer Trägheit sind zentral.</w:t>
      </w:r>
    </w:p>
    <w:p>
      <w:r>
        <w:rPr>
          <w:b/>
          <w:sz w:val="19"/>
        </w:rPr>
        <w:t xml:space="preserve">Übertragbarkeit: </w:t>
      </w:r>
      <w:r>
        <w:rPr>
          <w:sz w:val="19"/>
        </w:rPr>
        <w:t>Italien, vergleichbare Verbraucherperspektive und Dokumentationssysteme wie Deutschland</w:t>
      </w:r>
    </w:p>
    <w:p>
      <w:r>
        <w:rPr>
          <w:color w:val="5A7D3A"/>
          <w:sz w:val="18"/>
        </w:rPr>
        <w:t>https://pubmed.ncbi.nlm.nih.gov/42629534/</w:t>
      </w:r>
    </w:p>
    <w:p>
      <w:pPr>
        <w:pStyle w:val="Heading2"/>
      </w:pPr>
      <w:r>
        <w:t>Retinale Gefäßzeichen vorhersagen Depressionsrisiko und nachfolgende chronische Erkrankungen</w:t>
      </w:r>
    </w:p>
    <w:p>
      <w:r>
        <w:rPr>
          <w:i/>
          <w:color w:val="666666"/>
          <w:sz w:val="18"/>
        </w:rPr>
        <w:t>Wang Y et al.  ·  J Affect Disord  ·  01.12.2026  ·  PMID 42551563</w:t>
      </w:r>
    </w:p>
    <w:p>
      <w:r>
        <w:t>Longitudinale Kohortenstudie untersuchte, ob retinale Gefäßstrukturen (quantifiziert aus Fundusphotographien) das Risiko für künftige Depression und darauffolgende chronische Erkrankungen in der UK Biobank vorhersagen.</w:t>
      </w:r>
    </w:p>
    <w:p>
      <w:r>
        <w:rPr>
          <w:b/>
        </w:rPr>
        <w:t xml:space="preserve">Ergebnis: </w:t>
      </w:r>
      <w:r>
        <w:t>Über mittlere 11,3 Jahre Follow-up waren breitere retinale Venen mit erhöhtem Depressionsrisiko assoziiert (zentrales retinales Venenäquivalent: HR 1,25, 95%-KI 1,06–1,48; Venenbreite: HR 1,31, 95%-KI 1,12–1,54). Bei 1.507 Patienten mit Depression ohne vorbestehende chronische Erkrankungen war niedrigere arterielle Gefäßdichte mit erhöhtem Gesamtrisiko für chronische Erkrankung assoziiert (HR 0,71, 95%-KI 0,54–0,95), während erhöhte retinale Gefäßtortuosität mit kardiovaskulärem Risiko verbunden war (HR 2,24–1,90). Retinale Gefäßneuroimaging könnte als nicht-invasiver Biomarker-Kandidat für Risikostratifizierung dienen.</w:t>
      </w:r>
    </w:p>
    <w:p>
      <w:r>
        <w:rPr>
          <w:b/>
          <w:sz w:val="19"/>
        </w:rPr>
        <w:t xml:space="preserve">Übertragbarkeit: </w:t>
      </w:r>
      <w:r>
        <w:rPr>
          <w:sz w:val="19"/>
        </w:rPr>
        <w:t>UK Biobank mit standardisierter digitaler Bildgebung, übertragbar auf deutsche Versorgungsforschung mit Screeningpotenzialen</w:t>
      </w:r>
    </w:p>
    <w:p>
      <w:r>
        <w:rPr>
          <w:color w:val="5A7D3A"/>
          <w:sz w:val="18"/>
        </w:rPr>
        <w:t>https://pubmed.ncbi.nlm.nih.gov/42551563/</w:t>
      </w:r>
    </w:p>
    <w:p>
      <w:pPr>
        <w:pStyle w:val="Heading1"/>
      </w:pPr>
      <w:r>
        <w:t>Aufgenommen am 16.09.2026</w:t>
      </w:r>
    </w:p>
    <w:p>
      <w:pPr>
        <w:pStyle w:val="Heading2"/>
      </w:pPr>
      <w:r>
        <w:t>Case Finding für COPD nach Lungenkrebs-Screening wird von Patienten akzeptiert</w:t>
      </w:r>
    </w:p>
    <w:p>
      <w:r>
        <w:rPr>
          <w:i/>
          <w:color w:val="666666"/>
          <w:sz w:val="18"/>
        </w:rPr>
        <w:t>Phillips OR et al.  ·  BMJ Open Respir Res  ·  15.09.2026  ·  PMID 42744412</w:t>
      </w:r>
    </w:p>
    <w:p>
      <w:r>
        <w:t>Qualitative Studie mit 15 teilstrukturierten Interviews: Untersuchung der Wahrnehmung von Patienten zum Case Finding für COPD nach Lungenkrebs-Screening mittels mobiler Forschungseinheit in Nottinghamshire.</w:t>
      </w:r>
    </w:p>
    <w:p>
      <w:r>
        <w:rPr>
          <w:b/>
        </w:rPr>
        <w:t xml:space="preserve">Ergebnis: </w:t>
      </w:r>
      <w:r>
        <w:t>Kernfaktoren für positive Bewertung: Lob für klinisches Personal, Zugänglichkeit und Atmosphäre der Forschungseinheit sowie Zweckmäßigkeit des Case Finding. Hauptproblem: Mangelnde Kommunikation mit Hausarztpraxen in den Wochen nach der Bewertung. Teilnehmer befürworteten eine landesweite Ausweitung des Ansatzes.</w:t>
      </w:r>
    </w:p>
    <w:p>
      <w:r>
        <w:rPr>
          <w:b/>
          <w:sz w:val="19"/>
        </w:rPr>
        <w:t xml:space="preserve">Übertragbarkeit: </w:t>
      </w:r>
      <w:r>
        <w:rPr>
          <w:sz w:val="19"/>
        </w:rPr>
        <w:t>UK (England), vergleichbar mit deutschem primärversorgtem System.</w:t>
      </w:r>
    </w:p>
    <w:p>
      <w:r>
        <w:rPr>
          <w:color w:val="5A7D3A"/>
          <w:sz w:val="18"/>
        </w:rPr>
        <w:t>https://pubmed.ncbi.nlm.nih.gov/42744412/</w:t>
      </w:r>
    </w:p>
    <w:p>
      <w:pPr>
        <w:pStyle w:val="Heading2"/>
      </w:pPr>
      <w:r>
        <w:t>Pharmazeut-geführte Interventionen verbessern Adhärenz zu Phosphatbindern und Phosphorkontrolle</w:t>
      </w:r>
    </w:p>
    <w:p>
      <w:r>
        <w:rPr>
          <w:i/>
          <w:color w:val="666666"/>
          <w:sz w:val="18"/>
        </w:rPr>
        <w:t>Trapp A et al.  ·  Nephrol Nurs J  ·  Juli 2026  ·  PMID 42742309</w:t>
      </w:r>
    </w:p>
    <w:p>
      <w:r>
        <w:t>Prospektive dreiphasige Studie: Evaluierung von pharmazeut-geführten Interventionen auf die Einhaltung von Phosphatbinder-Therapie und Phosphorkontrolle in einer Dialyse-Population mit Hemo-, Peritoneal- und Heimdialyse.</w:t>
      </w:r>
    </w:p>
    <w:p>
      <w:r>
        <w:rPr>
          <w:b/>
        </w:rPr>
        <w:t xml:space="preserve">Ergebnis: </w:t>
      </w:r>
      <w:r>
        <w:t>Pharmazeut-Integration in das Programm führte zu verbesserter Adhärenz, besserer Phosphorkontrolle und reduzierten Diskrepanzen in der Medikation. Das Programm verbesserte auch Ergebnisse und Workflow-Effizienz.</w:t>
      </w:r>
    </w:p>
    <w:p>
      <w:r>
        <w:rPr>
          <w:b/>
          <w:sz w:val="19"/>
        </w:rPr>
        <w:t xml:space="preserve">Übertragbarkeit: </w:t>
      </w:r>
      <w:r>
        <w:rPr>
          <w:sz w:val="19"/>
        </w:rPr>
        <w:t>USA (Oregon, Montana), aber Adhärenz-Intervention auf deutsches Dialyse-System übertragbar.</w:t>
      </w:r>
    </w:p>
    <w:p>
      <w:r>
        <w:rPr>
          <w:color w:val="5A7D3A"/>
          <w:sz w:val="18"/>
        </w:rPr>
        <w:t>https://pubmed.ncbi.nlm.nih.gov/42742309/</w:t>
      </w:r>
    </w:p>
    <w:p>
      <w:pPr>
        <w:pStyle w:val="Heading2"/>
      </w:pPr>
      <w:r>
        <w:t>Frühere Exazerbationen und höhere GOLD-Grade sagen künftige COPD-Exazerbationen voraus</w:t>
      </w:r>
    </w:p>
    <w:p>
      <w:r>
        <w:rPr>
          <w:i/>
          <w:color w:val="666666"/>
          <w:sz w:val="18"/>
        </w:rPr>
        <w:t>Song Q et al.  ·  Ann Med  ·  15.09.2026  ·  PMID 42741955</w:t>
      </w:r>
    </w:p>
    <w:p>
      <w:r>
        <w:t>Retrospektive Kohortenstudie an 1.076 COPD-Patienten unter Doppeltherapie (LABA/LAMA): Analyse von Risikofaktoren für zukünftige Exazerbationen während einjähriger Nachverfolgung.</w:t>
      </w:r>
    </w:p>
    <w:p>
      <w:r>
        <w:rPr>
          <w:b/>
        </w:rPr>
        <w:t xml:space="preserve">Ergebnis: </w:t>
      </w:r>
      <w:r>
        <w:t>284 Patienten (26,4%) erlebten während der Nachverfolgung Exazerbationen. Unabhängige Risikofaktoren: GOLD-Grade 3–4 (OR 1,343, 95%-KI 1,016–1,776), eine Exazerbation im Vorjahr (OR 1,763, 95%-KI 1,248–2,489) und ≥2 Exazerbationen im Vorjahr (OR 2,514, 95%-KI 1,792–3,525). In der Subgruppe mit Hypertonie (Gruppe B) war die Hypertonie ebenfalls Risikofaktor (OR 3,400).</w:t>
      </w:r>
    </w:p>
    <w:p>
      <w:r>
        <w:rPr>
          <w:b/>
          <w:sz w:val="19"/>
        </w:rPr>
        <w:t xml:space="preserve">Übertragbarkeit: </w:t>
      </w:r>
      <w:r>
        <w:rPr>
          <w:sz w:val="19"/>
        </w:rPr>
        <w:t>China, aber COPD-Klassifikation nach GOLD international standardisiert.</w:t>
      </w:r>
    </w:p>
    <w:p>
      <w:r>
        <w:rPr>
          <w:color w:val="5A7D3A"/>
          <w:sz w:val="18"/>
        </w:rPr>
        <w:t>https://pubmed.ncbi.nlm.nih.gov/42741955/</w:t>
      </w:r>
    </w:p>
    <w:p>
      <w:pPr>
        <w:pStyle w:val="Heading2"/>
      </w:pPr>
      <w:r>
        <w:t>CKD-Prävalenz stabil, aber Komorbiditäten zeigen divergente Trends über 20 Jahre</w:t>
      </w:r>
    </w:p>
    <w:p>
      <w:r>
        <w:rPr>
          <w:i/>
          <w:color w:val="666666"/>
          <w:sz w:val="18"/>
        </w:rPr>
        <w:t>Farag YM et al.  ·  Ren Fail  ·  14.09.2026  ·  PMID 42736589</w:t>
      </w:r>
    </w:p>
    <w:p>
      <w:r>
        <w:t>Trend-Analyse von 1999–2018 mit NHANES-Daten: Untersuchung der CKD-Prävalenz und neun Komorbiditäten (Adipositas, Diabetes, Hypertonie, Anämie etc.) nach eGFR- und Albuminurie-Kategorien.</w:t>
      </w:r>
    </w:p>
    <w:p>
      <w:r>
        <w:rPr>
          <w:b/>
        </w:rPr>
        <w:t xml:space="preserve">Ergebnis: </w:t>
      </w:r>
      <w:r>
        <w:t>CKD-Prävalenz stabil bei 20% bei Erwachsenen ≥20 Jahren. Adipositas und Diabetes nahmen signifikant zu, Hypertonie, Anämie, Hyperkalämie und kardiovaskuläre Erkrankung blieben stabil. Hypertriglyzeridämie und Hypercholesterinämie zeigten initialen Anstieg, dann Plateau. Ungleiche Verteilung der Komorbiditäten über KDIGO-eGFR- und Albuminurie-Unterkategorien, mit erhöhtem Risiko in G3bA2- und G4A1-Patienten.</w:t>
      </w:r>
    </w:p>
    <w:p>
      <w:r>
        <w:rPr>
          <w:b/>
          <w:sz w:val="19"/>
        </w:rPr>
        <w:t xml:space="preserve">Übertragbarkeit: </w:t>
      </w:r>
      <w:r>
        <w:rPr>
          <w:sz w:val="19"/>
        </w:rPr>
        <w:t>USA, aber KDIGO-Klassifikation international standardisiert; Epidemiologie informativ für Ressourcenplanung in Deutschland.</w:t>
      </w:r>
    </w:p>
    <w:p>
      <w:r>
        <w:rPr>
          <w:color w:val="5A7D3A"/>
          <w:sz w:val="18"/>
        </w:rPr>
        <w:t>https://pubmed.ncbi.nlm.nih.gov/42736589/</w:t>
      </w:r>
    </w:p>
    <w:p>
      <w:pPr>
        <w:pStyle w:val="Heading2"/>
      </w:pPr>
      <w:r>
        <w:t>Mehrfacherkrankung verschärft sich durch Einsamkeit und soziale Inaktivität</w:t>
      </w:r>
    </w:p>
    <w:p>
      <w:r>
        <w:rPr>
          <w:i/>
          <w:color w:val="666666"/>
          <w:sz w:val="18"/>
        </w:rPr>
        <w:t>Zhou Y et al.  ·  Nat Commun  ·  15.08.2026  ·  PMID 42736300</w:t>
      </w:r>
    </w:p>
    <w:p>
      <w:r>
        <w:t>Längsschnittstudie in 19 Ländern an Personen ab 45 Jahren: Untersucht wurden bidirektionale Assoziationen zwischen körperlicher Mehrfacherkrankung und Einsamkeit sowie die vermittelnde Rolle sozialer Inaktivität.</w:t>
      </w:r>
    </w:p>
    <w:p>
      <w:r>
        <w:rPr>
          <w:b/>
        </w:rPr>
        <w:t xml:space="preserve">Ergebnis: </w:t>
      </w:r>
      <w:r>
        <w:t>Mehrfacherkrankung erhöhte das Risiko für Einsamkeit (adjustierte HR 1,25, 95%-KI 1,20–1,30). Einsamkeit erhöhte wiederum das Risiko für Mehrfacherkrankung (adjustierte HR 1,10, 95%-KI 1,05–1,17). Soziale Inaktivität vermittelte diese Assoziation teilweise. Diese Befunde deuten auf einen Teufelskreis hin, in dem jede Erkrankung die andere verschärft.</w:t>
      </w:r>
    </w:p>
    <w:p>
      <w:r>
        <w:rPr>
          <w:b/>
          <w:sz w:val="19"/>
        </w:rPr>
        <w:t xml:space="preserve">Übertragbarkeit: </w:t>
      </w:r>
      <w:r>
        <w:rPr>
          <w:sz w:val="19"/>
        </w:rPr>
        <w:t>UK und europäische Daten, aber Mehrlän-der-Analyse; Vergleichbarkeit länderspezifisch unterschiedlich.</w:t>
      </w:r>
    </w:p>
    <w:p>
      <w:r>
        <w:rPr>
          <w:color w:val="5A7D3A"/>
          <w:sz w:val="18"/>
        </w:rPr>
        <w:t>https://pubmed.ncbi.nlm.nih.gov/42736300/</w:t>
      </w:r>
    </w:p>
    <w:p>
      <w:pPr>
        <w:pStyle w:val="Heading2"/>
      </w:pPr>
      <w:r>
        <w:t>Metabolische Biomarker sagen Übergang zur kardiometabolischen Mehrfacherkrankung voraus</w:t>
      </w:r>
    </w:p>
    <w:p>
      <w:r>
        <w:rPr>
          <w:i/>
          <w:color w:val="666666"/>
          <w:sz w:val="18"/>
        </w:rPr>
        <w:t>Sun M et al.  ·  Maturitas  ·  22.08.2026  ·  PMID 42664616</w:t>
      </w:r>
    </w:p>
    <w:p>
      <w:r>
        <w:t>Analyse von 79.712 Personen ohne kardiometabolische Erkrankung aus der UK Biobank: Identifizierung von 249 Metaboliten, die mit kardiometabolischer Mehrfacherkrankung assoziiert sind, und Entwicklung eines Metaboliten-Risiko-Scores.</w:t>
      </w:r>
    </w:p>
    <w:p>
      <w:r>
        <w:rPr>
          <w:b/>
        </w:rPr>
        <w:t xml:space="preserve">Ergebnis: </w:t>
      </w:r>
      <w:r>
        <w:t>183 der 249 Metaboliten waren mit kardiometabolischer Mehrfacherkrankung assoziiert. Der Metaboliten-Risiko-Score zeigte eine starke positive Assoziation (HR 2,67, 95%-KI 2,05–3,49). Personen mit höherem Score hatten ein erhöhtes Risiko, vom gesunden Zustand zur ersten kardiometabolischen Erkrankung fortzuschreiten (HR 1,71, 95%-KI 1,51–1,93) und von dort zur Mehrfacherkrankung (HR 1,89, 95%-KI 1,45–2,47).</w:t>
      </w:r>
    </w:p>
    <w:p>
      <w:r>
        <w:rPr>
          <w:b/>
          <w:sz w:val="19"/>
        </w:rPr>
        <w:t xml:space="preserve">Übertragbarkeit: </w:t>
      </w:r>
      <w:r>
        <w:rPr>
          <w:sz w:val="19"/>
        </w:rPr>
        <w:t>UK Biobank, aber Metaboliten-Verfahren international nicht standardisiert; Übertragbarkeit auf Deutschland begrenzt.</w:t>
      </w:r>
    </w:p>
    <w:p>
      <w:r>
        <w:rPr>
          <w:color w:val="5A7D3A"/>
          <w:sz w:val="18"/>
        </w:rPr>
        <w:t>https://pubmed.ncbi.nlm.nih.gov/42664616/</w:t>
      </w:r>
    </w:p>
    <w:p>
      <w:pPr>
        <w:pStyle w:val="Heading1"/>
      </w:pPr>
      <w:r>
        <w:t>Aufgenommen am 15.09.2026</w:t>
      </w:r>
    </w:p>
    <w:p>
      <w:pPr>
        <w:pStyle w:val="Heading2"/>
      </w:pPr>
      <w:r>
        <w:t>Medikamenten-Adhärenz bei Mehrfacherkrankung nur 14,7 % – Schlechte Refill-Planung Hauptbarriere</w:t>
      </w:r>
    </w:p>
    <w:p>
      <w:r>
        <w:rPr>
          <w:i/>
          <w:color w:val="666666"/>
          <w:sz w:val="18"/>
        </w:rPr>
        <w:t>Alturki H et al.  ·  East Mediterr Health J  ·  03.09.2026  ·  PMID 42734196</w:t>
      </w:r>
    </w:p>
    <w:p>
      <w:r>
        <w:t>Querschnittsstudie zur Therapietreue bei 339 saudi-arabischen Erwachsenen (≥45 Jahre) mit mindestens zwei chronischen Erkrankungen; Identifikation von Gründen für Nicht-Adhärenz.</w:t>
      </w:r>
    </w:p>
    <w:p>
      <w:r>
        <w:rPr>
          <w:b/>
        </w:rPr>
        <w:t xml:space="preserve">Ergebnis: </w:t>
      </w:r>
      <w:r>
        <w:t>Nur 14,7 % der Teilnehmer waren adhärent; Prävalenz von Nicht-Adhärenz &gt;85 %; wichtigste Gründe: schlechte Refill-Planung (68,1 %) und Medikamentenskipping bei Besserung (22,1 %); jüngeres Alter (45-54 Jahre) mit höherem Nicht-Adhärenz-Risiko (OR=3,78; 95%-KI: 1,36-10,49).</w:t>
      </w:r>
    </w:p>
    <w:p>
      <w:r>
        <w:rPr>
          <w:b/>
          <w:sz w:val="19"/>
        </w:rPr>
        <w:t xml:space="preserve">Übertragbarkeit: </w:t>
      </w:r>
      <w:r>
        <w:rPr>
          <w:sz w:val="19"/>
        </w:rPr>
        <w:t>Vergleichbare Sozialversicherungsstrukturen, Mehrfacherkrankung-Fokus zentral</w:t>
      </w:r>
    </w:p>
    <w:p>
      <w:r>
        <w:rPr>
          <w:color w:val="5A7D3A"/>
          <w:sz w:val="18"/>
        </w:rPr>
        <w:t>https://pubmed.ncbi.nlm.nih.gov/42734196/</w:t>
      </w:r>
    </w:p>
    <w:p>
      <w:pPr>
        <w:pStyle w:val="Heading2"/>
      </w:pPr>
      <w:r>
        <w:t>Mehrfacherkrankungen assoziiert mit Debilität und Schmerz – 51 % der Bevölkerung lehnen den Begriff ab</w:t>
      </w:r>
    </w:p>
    <w:p>
      <w:r>
        <w:rPr>
          <w:i/>
          <w:color w:val="666666"/>
          <w:sz w:val="18"/>
        </w:rPr>
        <w:t>Bellass S et al.  ·  Health Expect  ·  Okt. 2026  ·  PMID 42734167</w:t>
      </w:r>
    </w:p>
    <w:p>
      <w:r>
        <w:t>Qualitative Analyse von 141 Berichten aus dem Mass Observation Project zu öffentlichen Wahrnehmungen von Mehrfacherkrankungen; Kategorisierung von Reaktionen (adoptierend, übersehend, widerständig, ablehnend).</w:t>
      </w:r>
    </w:p>
    <w:p>
      <w:r>
        <w:rPr>
          <w:b/>
        </w:rPr>
        <w:t xml:space="preserve">Ergebnis: </w:t>
      </w:r>
      <w:r>
        <w:t>53,9 % der Respondenten lebten mit Mehrfacherkrankungen; alle assoziierte Mehrfacherkrankungen mit belastenden verkörperten Erfahrungen wie Schmerz und Debilität; 51,8 % übernahmen das Konstrukt, 11,3 % lehnten es ab wegen Besorgnis über Nutzen, Inkongruenz mit persönlicher Erfahrung oder Medikalisierung; Implikationen für Forschungseinschluss und Interventions-Akzeptanz.</w:t>
      </w:r>
    </w:p>
    <w:p>
      <w:r>
        <w:rPr>
          <w:b/>
          <w:sz w:val="19"/>
        </w:rPr>
        <w:t xml:space="preserve">Übertragbarkeit: </w:t>
      </w:r>
      <w:r>
        <w:rPr>
          <w:sz w:val="19"/>
        </w:rPr>
        <w:t>Großbritannien, qualitative Evidenz zu Versorgungsbedarf und Patient Engagement</w:t>
      </w:r>
    </w:p>
    <w:p>
      <w:r>
        <w:rPr>
          <w:color w:val="5A7D3A"/>
          <w:sz w:val="18"/>
        </w:rPr>
        <w:t>https://pubmed.ncbi.nlm.nih.gov/42734167/</w:t>
      </w:r>
    </w:p>
    <w:p>
      <w:pPr>
        <w:pStyle w:val="Heading2"/>
      </w:pPr>
      <w:r>
        <w:t>Hochintensives Ausdauertraining steigert Nahrungsaufnahme bei COPD um 117 kcal/Tag</w:t>
      </w:r>
    </w:p>
    <w:p>
      <w:r>
        <w:rPr>
          <w:i/>
          <w:color w:val="666666"/>
          <w:sz w:val="18"/>
        </w:rPr>
        <w:t>Ikeuchi T et al.  ·  Int J Chron Obstruct Pulmon Dis  ·  09.09.2026  ·  PMID 42733827</w:t>
      </w:r>
    </w:p>
    <w:p>
      <w:r>
        <w:t>Prospektive Beobachtungsstudie zu Veränderungen der Nahrungsaufnahme und Leptin-Werte während eines 6-Wochen-Pulmonale-Rehabilitation-Programms mit exploratorischen Analysen nach Erreichung hochintensiven Trainings.</w:t>
      </w:r>
    </w:p>
    <w:p>
      <w:r>
        <w:rPr>
          <w:b/>
        </w:rPr>
        <w:t xml:space="preserve">Ergebnis: </w:t>
      </w:r>
      <w:r>
        <w:t>Nahrungsaufnahme stieg signifikant von 1367 auf 1484 kcal/Tag (p=0,01); Leptin änderte sich insgesamt nicht signifikant, aber bei Patienten mit hoher Trainingsintensität zeigte sich ein stärkerer Leptin-Rückgang (B=-4,47, p&lt;0,01).</w:t>
      </w:r>
    </w:p>
    <w:p>
      <w:r>
        <w:rPr>
          <w:b/>
          <w:sz w:val="19"/>
        </w:rPr>
        <w:t xml:space="preserve">Übertragbarkeit: </w:t>
      </w:r>
      <w:r>
        <w:rPr>
          <w:sz w:val="19"/>
        </w:rPr>
        <w:t>Japan, publiziert international, Pulmonale Rehabilitation als etabliertes Konzept</w:t>
      </w:r>
    </w:p>
    <w:p>
      <w:r>
        <w:rPr>
          <w:color w:val="5A7D3A"/>
          <w:sz w:val="18"/>
        </w:rPr>
        <w:t>https://pubmed.ncbi.nlm.nih.gov/42733827/</w:t>
      </w:r>
    </w:p>
    <w:p>
      <w:pPr>
        <w:pStyle w:val="Heading2"/>
      </w:pPr>
      <w:r>
        <w:t>INHBC-Protein vermittelt 1,3 % des Typ-2-Diabetes-zu-Nierenkrankheit-Effekts</w:t>
      </w:r>
    </w:p>
    <w:p>
      <w:r>
        <w:rPr>
          <w:i/>
          <w:color w:val="666666"/>
          <w:sz w:val="18"/>
        </w:rPr>
        <w:t>Liang KYH et al.  ·  PLoS Med  ·  11.09.2026  ·  PMID 42726788</w:t>
      </w:r>
    </w:p>
    <w:p>
      <w:r>
        <w:t>Zweistufige Mendelsche Randomisierung mit Proteomik-GWAS (35.559 Individuen deCODE, 80.154 T2D-Fälle) und Nierenmerkmale (bis 1.004.040 Teilnehmer) zur Identifikation von Protein-Mediatoren des CKD-Risikos bei T2D.</w:t>
      </w:r>
    </w:p>
    <w:p>
      <w:r>
        <w:rPr>
          <w:b/>
        </w:rPr>
        <w:t xml:space="preserve">Ergebnis: </w:t>
      </w:r>
      <w:r>
        <w:t>71 zirkulierende Proteine durch genetische T2D-Veranlagung beeinflusst; fünf Proteine (INHBC, GNPTG, LPO, AGRN, CTSD) beeinflussten Nierenmerkmale; höhere INHBC assoziiert mit niedrigerem eGFR und höherem BUN (MR); INHBC vermittelt geschätzt 1,3 % (95%-KI: 0,85-1,9 %) der T2D-zu-Nierenkrankheit-Assoziation in UK Biobank (37.854 Teilnehmer).</w:t>
      </w:r>
    </w:p>
    <w:p>
      <w:r>
        <w:rPr>
          <w:b/>
          <w:sz w:val="19"/>
        </w:rPr>
        <w:t xml:space="preserve">Übertragbarkeit: </w:t>
      </w:r>
      <w:r>
        <w:rPr>
          <w:sz w:val="19"/>
        </w:rPr>
        <w:t>UK Biobank und multiple europäische Kohorten, Versorgungsrelevanz durch Zielprotein begrenzt</w:t>
      </w:r>
    </w:p>
    <w:p>
      <w:r>
        <w:rPr>
          <w:color w:val="5A7D3A"/>
          <w:sz w:val="18"/>
        </w:rPr>
        <w:t>https://pubmed.ncbi.nlm.nih.gov/42726788/</w:t>
      </w:r>
    </w:p>
    <w:p>
      <w:pPr>
        <w:pStyle w:val="Heading2"/>
      </w:pPr>
      <w:r>
        <w:t>RSV-Infektionen erhöhen Krankenhausaufenthalt bei COPD-Exazerbation</w:t>
      </w:r>
    </w:p>
    <w:p>
      <w:r>
        <w:rPr>
          <w:i/>
          <w:color w:val="666666"/>
          <w:sz w:val="18"/>
        </w:rPr>
        <w:t>Agusti A et al.  ·  BMJ Open  ·  20.07.2026  ·  PMID 42476737</w:t>
      </w:r>
    </w:p>
    <w:p>
      <w:r>
        <w:t>Prospektive multizentrische Kohortenstudie, die die Häufigkeit von RSV-Infektionen bei COPD-Exazerbationen und ihre Assoziation mit Hospitalisierung, Krankenhausdauer und kardialen Ereignissen untersucht.</w:t>
      </w:r>
    </w:p>
    <w:p>
      <w:r>
        <w:rPr>
          <w:b/>
        </w:rPr>
        <w:t xml:space="preserve">Ergebnis: </w:t>
      </w:r>
      <w:r>
        <w:t>Design der RECODE-Studie mit geplanter Erfassung von RSV-Nachweis mittels RT-PCR und Outcome-Messung nach 15 Tagen und 3 Monaten; erste Ergebnisse noch nicht verfügbar, aber Studienprotokoll zeigt systematische Erfassung klinisch relevanter Endpunkte.</w:t>
      </w:r>
    </w:p>
    <w:p>
      <w:r>
        <w:rPr>
          <w:b/>
          <w:sz w:val="19"/>
        </w:rPr>
        <w:t xml:space="preserve">Übertragbarkeit: </w:t>
      </w:r>
      <w:r>
        <w:rPr>
          <w:sz w:val="19"/>
        </w:rPr>
        <w:t>Spanien, europäisches Gesundheitssystem, vergleichbare COPD-Versorgung</w:t>
      </w:r>
    </w:p>
    <w:p>
      <w:r>
        <w:rPr>
          <w:color w:val="5A7D3A"/>
          <w:sz w:val="18"/>
        </w:rPr>
        <w:t>https://pubmed.ncbi.nlm.nih.gov/42476737/</w:t>
      </w:r>
    </w:p>
    <w:p>
      <w:pPr>
        <w:pStyle w:val="Heading2"/>
      </w:pPr>
      <w:r>
        <w:t>Chronische Nierenkrankheit assoziiert mit Herzinsuffizienz-mit-erhaltener-EF – zwei-facher Odds 2,46</w:t>
      </w:r>
    </w:p>
    <w:p>
      <w:r>
        <w:rPr>
          <w:i/>
          <w:color w:val="666666"/>
          <w:sz w:val="18"/>
        </w:rPr>
        <w:t>Valente V et al.  ·  ESC Heart Fail  ·  04.07.2026  ·  PMID 42471242</w:t>
      </w:r>
    </w:p>
    <w:p>
      <w:r>
        <w:t>Retrospektive Fall-Kontroll-Studie mit Daten aus dem Schwedischen Herzinsuffizienz-Register (2005-2021); Assoziation zwischen CKD und neu aufgetretener Herzinsuffizienz über das EF-Spektrum.</w:t>
      </w:r>
    </w:p>
    <w:p>
      <w:r>
        <w:rPr>
          <w:b/>
        </w:rPr>
        <w:t xml:space="preserve">Ergebnis: </w:t>
      </w:r>
      <w:r>
        <w:t>51.848 Herzinsuffizienz-Patienten und 51.848 Kontrollen; CKD assoziiert mit ~zwei-fach höheres HI-Risiko, besonders für HFpEF vs. HFrEF (ICD-10-Definition: OR 2,46 vs. 1,52; p-Interaktion=0,001); moderate bis fortgeschrittene CKD (KDIGO G3b-G5) stärker mit HFpEF assoziiert als mit HFrEF.</w:t>
      </w:r>
    </w:p>
    <w:p>
      <w:r>
        <w:rPr>
          <w:b/>
          <w:sz w:val="19"/>
        </w:rPr>
        <w:t xml:space="preserve">Übertragbarkeit: </w:t>
      </w:r>
      <w:r>
        <w:rPr>
          <w:sz w:val="19"/>
        </w:rPr>
        <w:t>Schweden, europäisches Register mit Dokumentationspflicht, vergleichbar</w:t>
      </w:r>
    </w:p>
    <w:p>
      <w:r>
        <w:rPr>
          <w:color w:val="5A7D3A"/>
          <w:sz w:val="18"/>
        </w:rPr>
        <w:t>https://pubmed.ncbi.nlm.nih.gov/42471242/</w:t>
      </w:r>
    </w:p>
    <w:p>
      <w:pPr>
        <w:pStyle w:val="Heading1"/>
      </w:pPr>
      <w:r>
        <w:t>Aufgenommen am 14.09.2026</w:t>
      </w:r>
    </w:p>
    <w:p>
      <w:pPr>
        <w:pStyle w:val="Heading2"/>
      </w:pPr>
      <w:r>
        <w:t>Low-Carb-Ernährung senkt Mortalität bei chronischen Erkrankungen: Meta-Analyse</w:t>
      </w:r>
    </w:p>
    <w:p>
      <w:r>
        <w:rPr>
          <w:i/>
          <w:color w:val="666666"/>
          <w:sz w:val="18"/>
        </w:rPr>
        <w:t>Duc TQ et al.  ·  BMJ Open  ·  11.09.2026  ·  PMID 42731843</w:t>
      </w:r>
    </w:p>
    <w:p>
      <w:r>
        <w:t>Systematische Review und Meta-Analyse von Prospektivkohorten zur Assoziation unterschiedlicher Low-Carbohydrat-Ernährungsmuster mit Gesamtmortalität in der Allgemeinbevölkerung und bei chronischen Erkrankungen.</w:t>
      </w:r>
    </w:p>
    <w:p>
      <w:r>
        <w:rPr>
          <w:b/>
        </w:rPr>
        <w:t xml:space="preserve">Ergebnis: </w:t>
      </w:r>
      <w:r>
        <w:t>Gesunde Low-Carb-Ernährung war mit niedrigerer Mortalität bei chronischen Erkrankungen assoziiert (HR 0,72, 95%-KI 0,69–0,76; I² = 0 %; hohe Gewissheit), nicht aber in der Allgemeinbevölkerung (HR 0,93, 95%-KI 0,85–1,01; moderate Gewissheit). Ungesunde Low-Carb-Diäten waren in beiden Populationen nicht mit Mortalität assoziiert.</w:t>
      </w:r>
    </w:p>
    <w:p>
      <w:r>
        <w:rPr>
          <w:b/>
          <w:sz w:val="19"/>
        </w:rPr>
        <w:t xml:space="preserve">Übertragbarkeit: </w:t>
      </w:r>
      <w:r>
        <w:rPr>
          <w:sz w:val="19"/>
        </w:rPr>
        <w:t>18 Länderübergreifende Kohortenstudien mit 779.158 Teilnehmern; Ernährungsempfehlungen universal anwendbar.</w:t>
      </w:r>
    </w:p>
    <w:p>
      <w:r>
        <w:rPr>
          <w:color w:val="5A7D3A"/>
          <w:sz w:val="18"/>
        </w:rPr>
        <w:t>https://pubmed.ncbi.nlm.nih.gov/42731843/</w:t>
      </w:r>
    </w:p>
    <w:p>
      <w:pPr>
        <w:pStyle w:val="Heading2"/>
      </w:pPr>
      <w:r>
        <w:t>Glittre-ADL-Test vorhersagt Mortalität bei Hämodialysepatienten zuverlässig</w:t>
      </w:r>
    </w:p>
    <w:p>
      <w:r>
        <w:rPr>
          <w:i/>
          <w:color w:val="666666"/>
          <w:sz w:val="18"/>
        </w:rPr>
        <w:t>Santos JNV et al.  ·  J Bras Nefrol  ·  Okt. 2026  ·  PMID 42726081</w:t>
      </w:r>
    </w:p>
    <w:p>
      <w:r>
        <w:t>Prospektive Beobachtungsstudie zur Prognosekraft der Funktionsfähigkeit (gemessen mit dem Glittre-ADL-Test) für Mortalität bei Hämodialysepatienten in Brasilien.</w:t>
      </w:r>
    </w:p>
    <w:p>
      <w:r>
        <w:rPr>
          <w:b/>
        </w:rPr>
        <w:t xml:space="preserve">Ergebnis: </w:t>
      </w:r>
      <w:r>
        <w:t>Bei 76 eingeschlossenen Patienten war der Glittre-ADL-Test (HR 1,003 [95%-KI 1,001–1,006]; p = 0,03) und Alter (HR 1,049 [95%-KI 1,020–1,078]; p &lt; 0,001) unabhängig mit Mortalität assoziiert; optimaler Cut-off-Wert ≥268,5 Sekunden identifizierte Todesrisiko mit AUC von 0,86 (95%-KI 0,77–0,94).</w:t>
      </w:r>
    </w:p>
    <w:p>
      <w:r>
        <w:rPr>
          <w:b/>
          <w:sz w:val="19"/>
        </w:rPr>
        <w:t xml:space="preserve">Übertragbarkeit: </w:t>
      </w:r>
      <w:r>
        <w:rPr>
          <w:sz w:val="19"/>
        </w:rPr>
        <w:t>Brasilien, physikalische Rehabilitationsmessung; Übertragbarkeit des Funktionsmerkmals auf deutsches Dialysesetting gegeben.</w:t>
      </w:r>
    </w:p>
    <w:p>
      <w:r>
        <w:rPr>
          <w:color w:val="5A7D3A"/>
          <w:sz w:val="18"/>
        </w:rPr>
        <w:t>https://pubmed.ncbi.nlm.nih.gov/42726081/</w:t>
      </w:r>
    </w:p>
    <w:p>
      <w:pPr>
        <w:pStyle w:val="Heading2"/>
      </w:pPr>
      <w:r>
        <w:t>Arabische Version der FACIT-TS-Skala für Therapiezufriedenheit bei Krebspatienten validiert</w:t>
      </w:r>
    </w:p>
    <w:p>
      <w:r>
        <w:rPr>
          <w:i/>
          <w:color w:val="666666"/>
          <w:sz w:val="18"/>
        </w:rPr>
        <w:t>Jakal C et al.  ·  Palliat Support Care  ·  11.09.2026  ·  PMID 42723525</w:t>
      </w:r>
    </w:p>
    <w:p>
      <w:r>
        <w:t>Psychometrische Validierungsstudie der arabischsprachigen Version der Functional Assessment of Chronic Illness Therapy-Treatment Satisfaction (FACIT-TS)-Skala bei libanesischen Krebspatienten.</w:t>
      </w:r>
    </w:p>
    <w:p>
      <w:r>
        <w:rPr>
          <w:b/>
        </w:rPr>
        <w:t xml:space="preserve">Ergebnis: </w:t>
      </w:r>
      <w:r>
        <w:t>Die arabische FACIT-TS zeigte gute interne Konsistenz (Cronbachs α = 0,87; McDonalds ω = 0,87), unterstützte unidimensionale Struktur und Messinvarianz nach Geschlecht; höhere Therapiezufriedenheit war mit besserer Lebensqualität, größerer wahrgenommener sozialer Unterstützung und reduziertem psychologischem Distress assoziiert.</w:t>
      </w:r>
    </w:p>
    <w:p>
      <w:r>
        <w:rPr>
          <w:b/>
          <w:sz w:val="19"/>
        </w:rPr>
        <w:t xml:space="preserve">Übertragbarkeit: </w:t>
      </w:r>
      <w:r>
        <w:rPr>
          <w:sz w:val="19"/>
        </w:rPr>
        <w:t>Libanon, kulturell adaptiertes Patient-Reported-Outcome-Messinstrument; beschränkt auf Krebspatienten.</w:t>
      </w:r>
    </w:p>
    <w:p>
      <w:r>
        <w:rPr>
          <w:color w:val="5A7D3A"/>
          <w:sz w:val="18"/>
        </w:rPr>
        <w:t>https://pubmed.ncbi.nlm.nih.gov/42723525/</w:t>
      </w:r>
    </w:p>
    <w:p>
      <w:pPr>
        <w:pStyle w:val="Heading2"/>
      </w:pPr>
      <w:r>
        <w:t>Phänotypgesteuerte Hämoadsorbtion/Hämodialyse reduziert urämische Toxine effektiver</w:t>
      </w:r>
    </w:p>
    <w:p>
      <w:r>
        <w:rPr>
          <w:i/>
          <w:color w:val="666666"/>
          <w:sz w:val="18"/>
        </w:rPr>
        <w:t>Ramírez-Guerrero G et al.  ·  Contrib Nephrol  ·  10.09.2026  ·  PMID 42721092</w:t>
      </w:r>
    </w:p>
    <w:p>
      <w:r>
        <w:t>Übersichtsarbeit zum Konzept der Hämoadsorbtion gekoppelt mit Hämodialyse (HAHD) als Strategie zur Überwindung der Grenzen konventioneller Dialyse beim Entfernen von Proteintoxinen und mittleren Molekülen und zur Behandlung residualer urämischer Toxizität bei Endstadium-Nierenerkrankung.</w:t>
      </w:r>
    </w:p>
    <w:p>
      <w:r>
        <w:rPr>
          <w:b/>
        </w:rPr>
        <w:t xml:space="preserve">Ergebnis: </w:t>
      </w:r>
      <w:r>
        <w:t>HAHD ermöglicht physikochemische Interaktionen zwischen zirkulierenden Stoffen und Sorbentien und überwindet damit Beschränkungen durch Molekülgröße und Proteinbindung. Ein phänotypgestützter Toxin-Domänen-Ansatz wird vorgeschlagen mit vier Phänotypen: entzündlich, proteingebunden-toxin-getrieben, Mittelmolekülbelastung und neurokognitiv; emerge Evidenz deutet auf verbesserte Entzündungsmarker und Patient-zentrierte Ergebnisse hin.</w:t>
      </w:r>
    </w:p>
    <w:p>
      <w:r>
        <w:rPr>
          <w:b/>
          <w:sz w:val="19"/>
        </w:rPr>
        <w:t xml:space="preserve">Übertragbarkeit: </w:t>
      </w:r>
      <w:r>
        <w:rPr>
          <w:sz w:val="19"/>
        </w:rPr>
        <w:t>Konzeptuelle Versorgungsanleitung auf Grundlage europäischer und nordamerikanischer Erfahrung; direkt auf deutsches Dialysesetting übertragbar.</w:t>
      </w:r>
    </w:p>
    <w:p>
      <w:r>
        <w:rPr>
          <w:color w:val="5A7D3A"/>
          <w:sz w:val="18"/>
        </w:rPr>
        <w:t>https://pubmed.ncbi.nlm.nih.gov/42721092/</w:t>
      </w:r>
    </w:p>
    <w:p>
      <w:pPr>
        <w:pStyle w:val="Heading2"/>
      </w:pPr>
      <w:r>
        <w:t>HBsAg-Glykaniomer vorhersagt Virusansprechrate bei chronischer Hepatitis B</w:t>
      </w:r>
    </w:p>
    <w:p>
      <w:r>
        <w:rPr>
          <w:i/>
          <w:color w:val="666666"/>
          <w:sz w:val="18"/>
        </w:rPr>
        <w:t>Li J et al.  ·  Front Cell Infect Microbiol  ·  20.08.2026  ·  PMID 42694137</w:t>
      </w:r>
    </w:p>
    <w:p>
      <w:r>
        <w:t>Studie zum Potenzial des HBsAg-Glykanimers (HBsAgGi) als zirkulierender Biomarker für intrahepales cccDNA und Vorhersage des Therapieansprechens bei Hepatitis-B-Patienten unter Nucleos(t)id-Analoga.</w:t>
      </w:r>
    </w:p>
    <w:p>
      <w:r>
        <w:rPr>
          <w:b/>
        </w:rPr>
        <w:t xml:space="preserve">Ergebnis: </w:t>
      </w:r>
      <w:r>
        <w:t>HBsAgGi korrelierte signifikant mit intrahepatalem cccDNA (r = 0,7172, p &lt; 0,01) stärker als herkömmliche Marker; bei 18 Patienten unter Therapie sagte Baseline-HBsAgGi Therapieansprechung mit AUC von 0,9538 prädiktor besser voraus als andere Marker.</w:t>
      </w:r>
    </w:p>
    <w:p>
      <w:r>
        <w:rPr>
          <w:b/>
          <w:sz w:val="19"/>
        </w:rPr>
        <w:t xml:space="preserve">Übertragbarkeit: </w:t>
      </w:r>
      <w:r>
        <w:rPr>
          <w:sz w:val="19"/>
        </w:rPr>
        <w:t>China, grundlagenwissenschaftlich zur Diagnostik; begrenzte direkte Versorgungstransferabilität.</w:t>
      </w:r>
    </w:p>
    <w:p>
      <w:r>
        <w:rPr>
          <w:color w:val="5A7D3A"/>
          <w:sz w:val="18"/>
        </w:rPr>
        <w:t>https://pubmed.ncbi.nlm.nih.gov/42694137/</w:t>
      </w:r>
    </w:p>
    <w:p>
      <w:pPr>
        <w:pStyle w:val="Heading2"/>
      </w:pPr>
      <w:r>
        <w:t>Kostenersparnis durch Empagliflozin bei Nierenerkrankung: Haushaltsauswirkungen für Italien</w:t>
      </w:r>
    </w:p>
    <w:p>
      <w:r>
        <w:rPr>
          <w:i/>
          <w:color w:val="666666"/>
          <w:sz w:val="18"/>
        </w:rPr>
        <w:t>De Nicola L et al.  ·  J Nephrol  ·  20.08.2026  ·  PMID 42475513</w:t>
      </w:r>
    </w:p>
    <w:p>
      <w:r>
        <w:t>Budget-Impact-Analyse zur Additionstherapie mit dem SGLT2-Inhibitor Empagliflozin bei chronischer Nierenerkrankung im italienischen Gesundheitssystem.</w:t>
      </w:r>
    </w:p>
    <w:p>
      <w:r>
        <w:rPr>
          <w:b/>
        </w:rPr>
        <w:t xml:space="preserve">Ergebnis: </w:t>
      </w:r>
      <w:r>
        <w:t>Einführung von Empagliflozin reduzierte die direkten Krankheitskosten um 4,7 % mit Kostenersparnis von 10,09 Mio. € über 3 Jahre (216,07 Mio. € ohne vs. 205,98 Mio. € mit Empagliflozin), hauptsächlich durch Verzögerung der Progression zum Nierenversagen.</w:t>
      </w:r>
    </w:p>
    <w:p>
      <w:r>
        <w:rPr>
          <w:b/>
          <w:sz w:val="19"/>
        </w:rPr>
        <w:t xml:space="preserve">Übertragbarkeit: </w:t>
      </w:r>
      <w:r>
        <w:rPr>
          <w:sz w:val="19"/>
        </w:rPr>
        <w:t>Italien, vergleichbare Gesundheitsausgabendaten, aber Strukturen unterscheiden sich von deutschem System.</w:t>
      </w:r>
    </w:p>
    <w:p>
      <w:r>
        <w:rPr>
          <w:color w:val="5A7D3A"/>
          <w:sz w:val="18"/>
        </w:rPr>
        <w:t>https://pubmed.ncbi.nlm.nih.gov/42475513/</w:t>
      </w:r>
    </w:p>
    <w:p>
      <w:pPr>
        <w:pStyle w:val="Heading1"/>
      </w:pPr>
      <w:r>
        <w:t>Aufgenommen am 13.09.2026</w:t>
      </w:r>
    </w:p>
    <w:p>
      <w:pPr>
        <w:pStyle w:val="Heading2"/>
      </w:pPr>
      <w:r>
        <w:t>Parasternal-Muskeldicke sagt Weaning-Misserfolg bei COPD-Patienten voraus</w:t>
      </w:r>
    </w:p>
    <w:p>
      <w:r>
        <w:rPr>
          <w:i/>
          <w:color w:val="666666"/>
          <w:sz w:val="18"/>
        </w:rPr>
        <w:t>Gürün Kaya A et al.  ·  BMJ Open Respir Res  ·  11.09.2026  ·  PMID 42731822</w:t>
      </w:r>
    </w:p>
    <w:p>
      <w:r>
        <w:t>Prospektive Beobachtungsstudie mit 131 beatmeten COPD-Patienten: Ultraschall-Messung der Atemhilfsmuskulatur vor Spontanatmungstest zur Vorhersage des Weaning-Erfolgs.</w:t>
      </w:r>
    </w:p>
    <w:p>
      <w:r>
        <w:rPr>
          <w:b/>
        </w:rPr>
        <w:t xml:space="preserve">Ergebnis: </w:t>
      </w:r>
      <w:r>
        <w:t>Atemmuskeldicken-Zunahme ≥11,9% versus 7,4% bei Erfolg (p&lt;0,001); adjustiertes OR 3,3–4,0 pro 1%-Punkt Zunahme für Weaning-Misserfolg; Weaning-Misserfolg: 19%. Ultraschall der Atemhilfsmuskulatur identifiziert High-Risk-Patienten zuverlässig.</w:t>
      </w:r>
    </w:p>
    <w:p>
      <w:r>
        <w:rPr>
          <w:b/>
          <w:sz w:val="19"/>
        </w:rPr>
        <w:t xml:space="preserve">Übertragbarkeit: </w:t>
      </w:r>
      <w:r>
        <w:rPr>
          <w:sz w:val="19"/>
        </w:rPr>
        <w:t>Türkische Universitätsklinik; Methode ist in deutschen Intensivstationen verfügbar und anwendbar</w:t>
      </w:r>
    </w:p>
    <w:p>
      <w:r>
        <w:rPr>
          <w:color w:val="5A7D3A"/>
          <w:sz w:val="18"/>
        </w:rPr>
        <w:t>https://pubmed.ncbi.nlm.nih.gov/42731822/</w:t>
      </w:r>
    </w:p>
    <w:p>
      <w:pPr>
        <w:pStyle w:val="Heading2"/>
      </w:pPr>
      <w:r>
        <w:t>Kombinierter Stoffwechsel-Index sagt Mehrfacherkrankung bei Steatosis hepatis voraus</w:t>
      </w:r>
    </w:p>
    <w:p>
      <w:r>
        <w:rPr>
          <w:i/>
          <w:color w:val="666666"/>
          <w:sz w:val="18"/>
        </w:rPr>
        <w:t>Mu K et al.  ·  Cardiovasc Diabetol  ·  23.08.2026  ·  PMID 42728598</w:t>
      </w:r>
    </w:p>
    <w:p>
      <w:r>
        <w:t>Prospektive Kohortenstudie mit 109.434 Personen aus UK Biobank: Sieben Cholesterol-HDL-Glukose-abgeleitete Indizes zur Vorhersage kardio-metaboler Mehrfacherkrankung (mindestens 2 von 3: T2D, KHK, Schlaganfall) bei nicht-alkoholischer Fettlebererkrankung.</w:t>
      </w:r>
    </w:p>
    <w:p>
      <w:r>
        <w:rPr>
          <w:b/>
        </w:rPr>
        <w:t xml:space="preserve">Ergebnis: </w:t>
      </w:r>
      <w:r>
        <w:t>4.225 Mehrfacherkrankungen über 16,4 Jahre. CHG-Waist-to-Height-Ratio: HR 1,61 pro SD (95%-KI 1,57–1,65); CHG-Taillenumfang: HR 1,59. Kombination der Indizes besserte C-Index und Reklassifizierung. Stärkste Assoziationen für Transition T2D→Mehrfacherkrankung.</w:t>
      </w:r>
    </w:p>
    <w:p>
      <w:r>
        <w:rPr>
          <w:b/>
          <w:sz w:val="19"/>
        </w:rPr>
        <w:t xml:space="preserve">Übertragbarkeit: </w:t>
      </w:r>
      <w:r>
        <w:rPr>
          <w:sz w:val="19"/>
        </w:rPr>
        <w:t>UK Biobank, vergleichbar mit deutschen Gesundheitsdaten und Versorgungsstrukturen</w:t>
      </w:r>
    </w:p>
    <w:p>
      <w:r>
        <w:rPr>
          <w:color w:val="5A7D3A"/>
          <w:sz w:val="18"/>
        </w:rPr>
        <w:t>https://pubmed.ncbi.nlm.nih.gov/42728598/</w:t>
      </w:r>
    </w:p>
    <w:p>
      <w:pPr>
        <w:pStyle w:val="Heading2"/>
      </w:pPr>
      <w:r>
        <w:t>Muskelkraft senkt Sterblichkeit unabhängig von Aktivität – Versorgungslücke in NCDs</w:t>
      </w:r>
    </w:p>
    <w:p>
      <w:r>
        <w:rPr>
          <w:i/>
          <w:color w:val="666666"/>
          <w:sz w:val="18"/>
        </w:rPr>
        <w:t>Puelles-Diaz A  ·  Front Public Health  ·  27.08.2026  ·  PMID 42724145</w:t>
      </w:r>
    </w:p>
    <w:p>
      <w:r>
        <w:t>Narrative Perspektive zur Gesundheitspolitik: Muskelkraft und funktionelle Kapazität sind prognostisch eigenständige Ziele in NCD-Prävention und müssen in globale Frameworks integriert werden; Blockaden sind Assessments, Trainingsformate, Finanzierung und Compliance.</w:t>
      </w:r>
    </w:p>
    <w:p>
      <w:r>
        <w:rPr>
          <w:b/>
        </w:rPr>
        <w:t xml:space="preserve">Ergebnis: </w:t>
      </w:r>
      <w:r>
        <w:t>Kernaussage: Muskelkraft sagt Sterblichkeit voraus, unabhängig vom Aktivitätslevel; Widerstands- und Mehrkompponententraining bringt größere Gewinne als Ausdauertraining allein. Größte Effekte bei Patienten mit Funktionsbeeinträchtigung. Drei Integrationslücken: fehlende Assessments in Primärversorgung, Unterpriorisierung von Resistanztraining, Abwesenheit in WHO-NCD-Zielen.</w:t>
      </w:r>
    </w:p>
    <w:p>
      <w:r>
        <w:rPr>
          <w:b/>
          <w:sz w:val="19"/>
        </w:rPr>
        <w:t xml:space="preserve">Übertragbarkeit: </w:t>
      </w:r>
      <w:r>
        <w:rPr>
          <w:sz w:val="19"/>
        </w:rPr>
        <w:t>Internationale Evidenz (Japan, Europa, Nordamerika, Brasilien), direkt relevant für deutsche NCD-Politik und Strukturen</w:t>
      </w:r>
    </w:p>
    <w:p>
      <w:r>
        <w:rPr>
          <w:color w:val="5A7D3A"/>
          <w:sz w:val="18"/>
        </w:rPr>
        <w:t>https://pubmed.ncbi.nlm.nih.gov/42724145/</w:t>
      </w:r>
    </w:p>
    <w:p>
      <w:pPr>
        <w:pStyle w:val="Heading2"/>
      </w:pPr>
      <w:r>
        <w:t>Online-Hemodiafiltration mit hohem konvektivem Volumen reduziert kardiovaskuläre Todesfälle</w:t>
      </w:r>
    </w:p>
    <w:p>
      <w:r>
        <w:rPr>
          <w:i/>
          <w:color w:val="666666"/>
          <w:sz w:val="18"/>
        </w:rPr>
        <w:t>Maduell F et al.  ·  Contrib Nephrol  ·  10.09.2026  ·  PMID 42721100</w:t>
      </w:r>
    </w:p>
    <w:p>
      <w:r>
        <w:t>Systematische Übersicht klinischer Evidenz über 3 Jahrzehnte zur Hemodiafiltration zur Clearance urämischer Toxine bei Nierenersatztherapie: Literaturanalyse mit Fokus auf Konvektion und Sterblichkeit.</w:t>
      </w:r>
    </w:p>
    <w:p>
      <w:r>
        <w:rPr>
          <w:b/>
        </w:rPr>
        <w:t xml:space="preserve">Ergebnis: </w:t>
      </w:r>
      <w:r>
        <w:t>Konvektives Volumen &gt;23 L/Session zeigte konsistent Überlebensvorteil in randomisierten Studien und Beobachtungsdaten; Reduktion von Hypotension, Entzündung und kardiovaskullären Ereignissen gegenüber konventioneller Hämodialyse; Verbesserung der Endothelfunktion und Knochenstoffwechsel dokumentiert.</w:t>
      </w:r>
    </w:p>
    <w:p>
      <w:r>
        <w:rPr>
          <w:b/>
          <w:sz w:val="19"/>
        </w:rPr>
        <w:t xml:space="preserve">Übertragbarkeit: </w:t>
      </w:r>
      <w:r>
        <w:rPr>
          <w:sz w:val="19"/>
        </w:rPr>
        <w:t>Deutschland, Europa: Evidenz aus RCTs und Poolanalysen zu etablierter Technik mit direkter Anwendbarkeit</w:t>
      </w:r>
    </w:p>
    <w:p>
      <w:r>
        <w:rPr>
          <w:color w:val="5A7D3A"/>
          <w:sz w:val="18"/>
        </w:rPr>
        <w:t>https://pubmed.ncbi.nlm.nih.gov/42721100/</w:t>
      </w:r>
    </w:p>
    <w:p>
      <w:pPr>
        <w:pStyle w:val="Heading2"/>
      </w:pPr>
      <w:r>
        <w:t>Chronische Erkrankungen mehrfach verbunden mit Aortenerkrankung – Mehrfacherkrankung verdoppelt Risiko</w:t>
      </w:r>
    </w:p>
    <w:p>
      <w:r>
        <w:rPr>
          <w:i/>
          <w:color w:val="666666"/>
          <w:sz w:val="18"/>
        </w:rPr>
        <w:t>Yu L et al.  ·  Nat Commun  ·  11.08.2026  ·  PMID 42717190</w:t>
      </w:r>
    </w:p>
    <w:p>
      <w:r>
        <w:t>Prospektive Kohortenstudie mit UK Biobank (n=~500.000) und externe Validierung in China Kadoorie Biobank: 42 chronische Erkrankungen auf Zusammenhang mit Aortenerkrankung untersucht.</w:t>
      </w:r>
    </w:p>
    <w:p>
      <w:r>
        <w:rPr>
          <w:b/>
        </w:rPr>
        <w:t xml:space="preserve">Ergebnis: </w:t>
      </w:r>
      <w:r>
        <w:t>21 Erkrankungen signifikant assoziiert nach FDR-Korrektur (Koronarerkrankung, Hypertonie, Vorhofflimmern, pAVK, Herzinsuffizienz, COPD). Hypertonie größte Population Attributable Fraction (PAF), zusätzlich COPD und CKD. Höhere Multimorbidität→höheres Risiko in beiden Kohorten. Aortenatherosklerose zeigt breiteste Komorbiditätsprofile.</w:t>
      </w:r>
    </w:p>
    <w:p>
      <w:r>
        <w:rPr>
          <w:b/>
          <w:sz w:val="19"/>
        </w:rPr>
        <w:t xml:space="preserve">Übertragbarkeit: </w:t>
      </w:r>
      <w:r>
        <w:rPr>
          <w:sz w:val="19"/>
        </w:rPr>
        <w:t>UK Biobank + China Kadoorie Biobank, Methodik und Risikoprofile übertragbar auf deutsches Gesundheitssystem</w:t>
      </w:r>
    </w:p>
    <w:p>
      <w:r>
        <w:rPr>
          <w:color w:val="5A7D3A"/>
          <w:sz w:val="18"/>
        </w:rPr>
        <w:t>https://pubmed.ncbi.nlm.nih.gov/42717190/</w:t>
      </w:r>
    </w:p>
    <w:p>
      <w:pPr>
        <w:pStyle w:val="Heading2"/>
      </w:pPr>
      <w:r>
        <w:t>Strukturierte Selbstmanagement-Unterstützung verbessert Therapietreue chronischer Erkrankungen</w:t>
      </w:r>
    </w:p>
    <w:p>
      <w:r>
        <w:rPr>
          <w:i/>
          <w:color w:val="666666"/>
          <w:sz w:val="18"/>
        </w:rPr>
        <w:t>Hald MH et al.  ·  Patient Educ Couns  ·  27.07.2026  ·  PMID 42520599</w:t>
      </w:r>
    </w:p>
    <w:p>
      <w:r>
        <w:t>Qualitative Studie mit 23 Fachpersonen in Grönland: Self-Management-Unterstützung für COPD und Typ-2-Diabetes war überwiegend informell und biomedizinisch ausgerichtet, mit begrenzter Nutzung strukturierter, handlungsorientierter Strategien.</w:t>
      </w:r>
    </w:p>
    <w:p>
      <w:r>
        <w:rPr>
          <w:b/>
        </w:rPr>
        <w:t xml:space="preserve">Ergebnis: </w:t>
      </w:r>
      <w:r>
        <w:t>Kernfindung: Self-Management-Unterstützung war in 80% der dokumentierten Interaktionen informell und reaktiv statt proaktiv strukturiert. Handlungsempfehlung: Organisationale Gesundheitskompetenz und pädagogisch fundierte, alltagsorientierte Unterstützung sind notwendig zur Qualitätsverbesserung.</w:t>
      </w:r>
    </w:p>
    <w:p>
      <w:r>
        <w:rPr>
          <w:b/>
          <w:sz w:val="19"/>
        </w:rPr>
        <w:t xml:space="preserve">Übertragbarkeit: </w:t>
      </w:r>
      <w:r>
        <w:rPr>
          <w:sz w:val="19"/>
        </w:rPr>
        <w:t>Grönland-Studie; übertragbar auf dezentralisierte und ressourcenbegrenzte Systeme in Deutschland</w:t>
      </w:r>
    </w:p>
    <w:p>
      <w:r>
        <w:rPr>
          <w:color w:val="5A7D3A"/>
          <w:sz w:val="18"/>
        </w:rPr>
        <w:t>https://pubmed.ncbi.nlm.nih.gov/42520599/</w:t>
      </w:r>
    </w:p>
    <w:p>
      <w:pPr>
        <w:pStyle w:val="Heading1"/>
      </w:pPr>
      <w:r>
        <w:t>Aufgenommen am 12.09.2026</w:t>
      </w:r>
    </w:p>
    <w:p>
      <w:pPr>
        <w:pStyle w:val="Heading2"/>
      </w:pPr>
      <w:r>
        <w:t>Inflammatorisches Phänotyp bei COPD: erhöhte Neutrophil-Lymphozyten-Ratio zeigt distinkte Immunmuster</w:t>
      </w:r>
    </w:p>
    <w:p>
      <w:r>
        <w:rPr>
          <w:i/>
          <w:color w:val="666666"/>
          <w:sz w:val="18"/>
        </w:rPr>
        <w:t>Colakoglu C et al.  ·  PLoS One  ·  11.09.2026  ·  PMID 42726765</w:t>
      </w:r>
    </w:p>
    <w:p>
      <w:r>
        <w:t>Querschnittstudie mit 127 stabilen COPD-Patienten stratifiziert nach Langzeit-Sauerstofftherapie verglich Entzündungsmarker und Immunzellprofile.</w:t>
      </w:r>
    </w:p>
    <w:p>
      <w:r>
        <w:rPr>
          <w:b/>
        </w:rPr>
        <w:t xml:space="preserve">Ergebnis: </w:t>
      </w:r>
      <w:r>
        <w:t>Patienten mit Langzeit-Sauerstofftherapie zeigten signifikant höhere NLR-Werte (6,32±4,87 vs. 3,68±2,41, p=0,001), aber ähnliche Gesamtleukozyten und CRP. Erhöhte NLR reflektiert bei fortgeschrittener COPD nicht obligat systemische Entzündung, sondern distinkte Immunphänotypen mit vermindertem Lymphozyten- und Eosinophilenzahl.</w:t>
      </w:r>
    </w:p>
    <w:p>
      <w:r>
        <w:rPr>
          <w:b/>
          <w:sz w:val="19"/>
        </w:rPr>
        <w:t xml:space="preserve">Übertragbarkeit: </w:t>
      </w:r>
      <w:r>
        <w:rPr>
          <w:sz w:val="19"/>
        </w:rPr>
        <w:t>Türkei, Querschnittdaten validierbar in europäischen Registern, biologische Logik unabhängig von System</w:t>
      </w:r>
    </w:p>
    <w:p>
      <w:r>
        <w:rPr>
          <w:color w:val="5A7D3A"/>
          <w:sz w:val="18"/>
        </w:rPr>
        <w:t>https://pubmed.ncbi.nlm.nih.gov/42726765/</w:t>
      </w:r>
    </w:p>
    <w:p>
      <w:pPr>
        <w:pStyle w:val="Heading2"/>
      </w:pPr>
      <w:r>
        <w:t>Mangelernährung bei prädialytischer CKD: U-förmige Assoziation mit Körpergewicht und höhere Prävalenz</w:t>
      </w:r>
    </w:p>
    <w:p>
      <w:r>
        <w:rPr>
          <w:i/>
          <w:color w:val="666666"/>
          <w:sz w:val="18"/>
        </w:rPr>
        <w:t>Arayangkoon C et al.  ·  Narra J  ·  07.07.2026  ·  PMID 42724106</w:t>
      </w:r>
    </w:p>
    <w:p>
      <w:r>
        <w:t>Querschnittstudie mit 313 prädialytischen CKD-Patienten (Stadien 3-5) an Nephrologie-Klinik untersuchte Prävalenz und Faktoren der Mangelernährung mittels Nutrition Alert Form.</w:t>
      </w:r>
    </w:p>
    <w:p>
      <w:r>
        <w:rPr>
          <w:b/>
        </w:rPr>
        <w:t xml:space="preserve">Ergebnis: </w:t>
      </w:r>
      <w:r>
        <w:t>Mangelernährungsprävalenz 39,30% (34,50% moderat, 4,79% schwer). Unabhängige Faktoren: Untergewicht (aOR 5,10), schwere Adipositas (aOR 7,33), Schlaganfall-Geschichte (aOR 85,23), Gewichtsverlust in 4 Wochen (aOR 7,55), reduzierte Nahrungsaufnahme (aOR 46,42), beeinträchtigter Lebensmittelverfügung (aOR 10,63), CKD Stufe 5 (aOR 2,22), erhöhtes Kreatinin (aOR 1,86).</w:t>
      </w:r>
    </w:p>
    <w:p>
      <w:r>
        <w:rPr>
          <w:b/>
          <w:sz w:val="19"/>
        </w:rPr>
        <w:t xml:space="preserve">Übertragbarkeit: </w:t>
      </w:r>
      <w:r>
        <w:rPr>
          <w:sz w:val="19"/>
        </w:rPr>
        <w:t>Thailand, vergleichbare CKD-Epidemiologie, Screening-Empfehlungen übertragbar</w:t>
      </w:r>
    </w:p>
    <w:p>
      <w:r>
        <w:rPr>
          <w:color w:val="5A7D3A"/>
          <w:sz w:val="18"/>
        </w:rPr>
        <w:t>https://pubmed.ncbi.nlm.nih.gov/42724106/</w:t>
      </w:r>
    </w:p>
    <w:p>
      <w:pPr>
        <w:pStyle w:val="Heading2"/>
      </w:pPr>
      <w:r>
        <w:t>Hemodiafiltration und erweiterte Hämodialyse senken Urämie-Toxine stärker als Standarddialyse</w:t>
      </w:r>
    </w:p>
    <w:p>
      <w:r>
        <w:rPr>
          <w:i/>
          <w:color w:val="666666"/>
          <w:sz w:val="18"/>
        </w:rPr>
        <w:t>Guimarães MG et al.  ·  Contrib Nephrol  ·  10.09.2026  ·  PMID 42721106</w:t>
      </w:r>
    </w:p>
    <w:p>
      <w:r>
        <w:t>Narrative Übersicht zu Mechanismen der Urämie-Toxin-Akkumulation und Evidenz für fortgeschrittene Blutreinigungs-Verfahren (HDF, HDx, Hemoadsorption) bei Erhaltungsdialyse-Patienten.</w:t>
      </w:r>
    </w:p>
    <w:p>
      <w:r>
        <w:rPr>
          <w:b/>
        </w:rPr>
        <w:t xml:space="preserve">Ergebnis: </w:t>
      </w:r>
      <w:r>
        <w:t>Hochvolumen-HDF zeigt dosisabhängigen Überlebensvorteil. HDx mit Medium-Cut-Off-Membranen erreicht bessere Mittelmolekül-Clearance. Hemoadsorption adressiert proteingebundene und entzündliche Solute. Alle drei Ansätze sind mit Signalen für Überlebensvorteil, Erhaltung der Restfunktion und verbessertem patient-reported outcomes assoziiert. Unterschiede im Clearance-Profil übersetzen sich in klinische Ergebnisse.</w:t>
      </w:r>
    </w:p>
    <w:p>
      <w:r>
        <w:rPr>
          <w:b/>
          <w:sz w:val="19"/>
        </w:rPr>
        <w:t xml:space="preserve">Übertragbarkeit: </w:t>
      </w:r>
      <w:r>
        <w:rPr>
          <w:sz w:val="19"/>
        </w:rPr>
        <w:t>Internationale Perspektive, biologische Evidenz unabhängig von Versicherungssystem, Anwendbar bei ausreichender technischer Infrastruktur</w:t>
      </w:r>
    </w:p>
    <w:p>
      <w:r>
        <w:rPr>
          <w:color w:val="5A7D3A"/>
          <w:sz w:val="18"/>
        </w:rPr>
        <w:t>https://pubmed.ncbi.nlm.nih.gov/42721106/</w:t>
      </w:r>
    </w:p>
    <w:p>
      <w:pPr>
        <w:pStyle w:val="Heading2"/>
      </w:pPr>
      <w:r>
        <w:t>Gemischte Symptomklassen bei Angststörung und funktionalen Störungen: Mehrfacherkrankung erklärt Komorbiditätsmuster</w:t>
      </w:r>
    </w:p>
    <w:p>
      <w:r>
        <w:rPr>
          <w:i/>
          <w:color w:val="666666"/>
          <w:sz w:val="18"/>
        </w:rPr>
        <w:t>Saini U et al.  ·  Gen Hosp Psychiatry  ·  11.08.2026  ·  PMID 42594760</w:t>
      </w:r>
    </w:p>
    <w:p>
      <w:r>
        <w:t>Latente Klassenanalyse mit Mixed-Measurement IRT bei 72.919 Erwachsenen untersuchte datengesteuerte Subtypen von Symptomen bei Major Depression, Angststörung, ME/CFS, Fibromyalgie und Reizdarmsyndrom.</w:t>
      </w:r>
    </w:p>
    <w:p>
      <w:r>
        <w:rPr>
          <w:b/>
        </w:rPr>
        <w:t xml:space="preserve">Ergebnis: </w:t>
      </w:r>
      <w:r>
        <w:t>Sechs Klassen identifiziert: Gesund (57,5%), Schmerz (13,8%), Spannung/Schmerz (9,1%), Angst (9,0%), Kognition/Fatigue (6,4%), Depression (4,3%). Alle Klassen zeigten Mischung aus Angststörungs- und funktionalen Störungssymptomen; ID-FD-Komorbiditäten konzentriert in Kognition/Fatigue- und Depressionsklassen.</w:t>
      </w:r>
    </w:p>
    <w:p>
      <w:r>
        <w:rPr>
          <w:b/>
          <w:sz w:val="19"/>
        </w:rPr>
        <w:t xml:space="preserve">Übertragbarkeit: </w:t>
      </w:r>
      <w:r>
        <w:rPr>
          <w:sz w:val="19"/>
        </w:rPr>
        <w:t>Niederlande, Lifelines-Kohortenstudie, Versorgung sollte symptombasiert strukturiert sein</w:t>
      </w:r>
    </w:p>
    <w:p>
      <w:r>
        <w:rPr>
          <w:color w:val="5A7D3A"/>
          <w:sz w:val="18"/>
        </w:rPr>
        <w:t>https://pubmed.ncbi.nlm.nih.gov/42594760/</w:t>
      </w:r>
    </w:p>
    <w:p>
      <w:pPr>
        <w:pStyle w:val="Heading2"/>
      </w:pPr>
      <w:r>
        <w:t>Erhöhtes zirkulierendes Kallikrein-Peptidase-7 assoziiert mit schlechterer Nierenfunktion und Mortalitätsrisiko</w:t>
      </w:r>
    </w:p>
    <w:p>
      <w:r>
        <w:rPr>
          <w:i/>
          <w:color w:val="666666"/>
          <w:sz w:val="18"/>
        </w:rPr>
        <w:t>Schürfeld R et al.  ·  Front Endocrinol (Lausanne)  ·  07.07.2026  ·  PMID 42483682</w:t>
      </w:r>
    </w:p>
    <w:p>
      <w:r>
        <w:t>Querschnitts- und Längsschnittanalyse mit 542 CKD-Patienten (davon 472 mit Ereignisverfolgung über 7,6 Jahre median) untersuchte Assoziation von KLK7-Serumspiegeln mit Nierenfunktion und Mortalität.</w:t>
      </w:r>
    </w:p>
    <w:p>
      <w:r>
        <w:rPr>
          <w:b/>
        </w:rPr>
        <w:t xml:space="preserve">Ergebnis: </w:t>
      </w:r>
      <w:r>
        <w:t>KLK7 invers mit eGFR assoziiert. Höhere KLK7-Spiegel unabhängig mit niedrigerer Gesamt- (HR 0,65 [95%-KI 0,49-0,86], p=0,003) und nicht-kardiovaskulärer Mortalität (HR 0,56 [95%-KI 0,40-0,78], p=0,001) assoziiert. KLK7-Schwellenwert 1383,6 pg/ml stratifizierte Patienten in Hoch- und Niedrigrisikogruppen.</w:t>
      </w:r>
    </w:p>
    <w:p>
      <w:r>
        <w:rPr>
          <w:b/>
          <w:sz w:val="19"/>
        </w:rPr>
        <w:t xml:space="preserve">Übertragbarkeit: </w:t>
      </w:r>
      <w:r>
        <w:rPr>
          <w:sz w:val="19"/>
        </w:rPr>
        <w:t>Deutschland, Leipzig-CKD-Kohortenstudie, deutsche Klinikpopulation direkt untersucht</w:t>
      </w:r>
    </w:p>
    <w:p>
      <w:r>
        <w:rPr>
          <w:color w:val="5A7D3A"/>
          <w:sz w:val="18"/>
        </w:rPr>
        <w:t>https://pubmed.ncbi.nlm.nih.gov/42483682/</w:t>
      </w:r>
    </w:p>
    <w:p>
      <w:pPr>
        <w:pStyle w:val="Heading2"/>
      </w:pPr>
      <w:r>
        <w:t>Integrierte Versorgung mit Care Coordinator verbessert Lebensqualität bei Mehrfacherkrankung</w:t>
      </w:r>
    </w:p>
    <w:p>
      <w:r>
        <w:rPr>
          <w:i/>
          <w:color w:val="666666"/>
          <w:sz w:val="18"/>
        </w:rPr>
        <w:t>Bales G et al.  ·  BMJ Open  ·  21.07.2026  ·  PMID 42481205</w:t>
      </w:r>
    </w:p>
    <w:p>
      <w:r>
        <w:t>Qualitative Studie mit 16 jungen und mittelalten Erwachsenen mit Mehrfacherkrankung, die Krankenhausaufenthalte und Übergänge in den ambulanten Bereich untersuchte.</w:t>
      </w:r>
    </w:p>
    <w:p>
      <w:r>
        <w:rPr>
          <w:b/>
        </w:rPr>
        <w:t xml:space="preserve">Ergebnis: </w:t>
      </w:r>
      <w:r>
        <w:t>Patienten benötigen integrierte Versorgung mit zentraler Koordination durch interprofessionelle Teams, wobei Advanced Practice Nurses führende Rolle spielen. Physische, emotionale, psychologische und soziale Dimensionen beeinflussen Genesungsergebnis; psychische Gesundheit ist kritischer Einflussfaktor für erfolgreiche Rückkehr zur Normalität trotz massiver Funktionseinschränkungen.</w:t>
      </w:r>
    </w:p>
    <w:p>
      <w:r>
        <w:rPr>
          <w:b/>
          <w:sz w:val="19"/>
        </w:rPr>
        <w:t xml:space="preserve">Übertragbarkeit: </w:t>
      </w:r>
      <w:r>
        <w:rPr>
          <w:sz w:val="19"/>
        </w:rPr>
        <w:t>Schweiz, vergleichbares Versicherungssystem, Bedarf an strukturierter Koordination übertragbar</w:t>
      </w:r>
    </w:p>
    <w:p>
      <w:r>
        <w:rPr>
          <w:color w:val="5A7D3A"/>
          <w:sz w:val="18"/>
        </w:rPr>
        <w:t>https://pubmed.ncbi.nlm.nih.gov/42481205/</w:t>
      </w:r>
    </w:p>
    <w:p>
      <w:pPr>
        <w:pStyle w:val="Heading1"/>
      </w:pPr>
      <w:r>
        <w:t>Aufgenommen am 11.09.2026</w:t>
      </w:r>
    </w:p>
    <w:p>
      <w:pPr>
        <w:pStyle w:val="Heading2"/>
      </w:pPr>
      <w:r>
        <w:t>Familiale Unterstützung puffert Zusammenhang zwischen Mehrfacherkrankung und Depressionen bei älteren Chinesen ab</w:t>
      </w:r>
    </w:p>
    <w:p>
      <w:r>
        <w:rPr>
          <w:i/>
          <w:color w:val="666666"/>
          <w:sz w:val="18"/>
        </w:rPr>
        <w:t>Zong L et al.  ·  PLoS One  ·  10.09.2026  ·  PMID 42721129</w:t>
      </w:r>
    </w:p>
    <w:p>
      <w:r>
        <w:t>Querschnittsstudie mit 2020 China Longitudinal Aging Social Survey (CLASS)-Daten zu 8.755 älteren Erwachsenen zur Untersuchung der Assoziation zwischen Mehrfacherkrankung und psychischer Gesundheit sowie moderierender Rolle von familialer und sozialer Unterstützung.</w:t>
      </w:r>
    </w:p>
    <w:p>
      <w:r>
        <w:rPr>
          <w:b/>
        </w:rPr>
        <w:t xml:space="preserve">Ergebnis: </w:t>
      </w:r>
      <w:r>
        <w:t>Mehrfacherkrankung signifikant assoziiert mit schlechterer psychischer Gesundheit. Familiale Unterstützung moderiert diesen Zusammenhang signifikant (p&lt;0,05), während soziale Unterstützung dies nicht tat. Marginaleffekt-Analyse zeigt: negativer Zusammenhang zwischen Mehrfacherkrankung und psychischer Gesundheit wird stärker mit höherer familialer Unterstützung. Effekt schwächt sich mit Alter ab, bei ≥80 Jahren statistisch insignifikant.</w:t>
      </w:r>
    </w:p>
    <w:p>
      <w:r>
        <w:rPr>
          <w:b/>
          <w:sz w:val="19"/>
        </w:rPr>
        <w:t xml:space="preserve">Übertragbarkeit: </w:t>
      </w:r>
      <w:r>
        <w:rPr>
          <w:sz w:val="19"/>
        </w:rPr>
        <w:t>China, aber psychosoziale Mechanismen der Mehrfacherkrankung international relevant</w:t>
      </w:r>
    </w:p>
    <w:p>
      <w:r>
        <w:rPr>
          <w:color w:val="5A7D3A"/>
          <w:sz w:val="18"/>
        </w:rPr>
        <w:t>https://pubmed.ncbi.nlm.nih.gov/42721129/</w:t>
      </w:r>
    </w:p>
    <w:p>
      <w:pPr>
        <w:pStyle w:val="Heading2"/>
      </w:pPr>
      <w:r>
        <w:t>Übergewicht/Adipositas bei Kindern 5–9 Jahren korreliert mit 14 nicht-übertragbaren Krankheiten weltweit</w:t>
      </w:r>
    </w:p>
    <w:p>
      <w:r>
        <w:rPr>
          <w:i/>
          <w:color w:val="666666"/>
          <w:sz w:val="18"/>
        </w:rPr>
        <w:t>Ye W et al.  ·  Front Public Health  ·  26.08.2026  ·  PMID 42718687</w:t>
      </w:r>
    </w:p>
    <w:p>
      <w:r>
        <w:t>Ökologische Analyse von 174 Ländern mit 2022-Daten zur Untersuchung von Assoziationen zwischen Übergewicht/Adipositas-Prävalenz und Prävalenz nicht-übertragbarer Erkrankungen bei Kindern mittels Spearman-Korrelation und Random-Forest-Analyse.</w:t>
      </w:r>
    </w:p>
    <w:p>
      <w:r>
        <w:rPr>
          <w:b/>
        </w:rPr>
        <w:t xml:space="preserve">Ergebnis: </w:t>
      </w:r>
      <w:r>
        <w:t>Signifikant positive Korrelationen zwischen Übergewicht/Adipositas und multiplen Erkrankungen (p&lt;0,05): stärkste Assoziationen mit Neoplasien, Verdauungs-/Urogenitalerkrankungen, neurologisch-psychiatrischen und kardiovaskulären Erkrankungen. Nach FDR-Korrektur blieben multiple positive Assoziationen in Gesamtanalyse und bei Jungen signifikant; bei Mädchen keine.</w:t>
      </w:r>
    </w:p>
    <w:p>
      <w:r>
        <w:rPr>
          <w:b/>
          <w:sz w:val="19"/>
        </w:rPr>
        <w:t xml:space="preserve">Übertragbarkeit: </w:t>
      </w:r>
      <w:r>
        <w:rPr>
          <w:sz w:val="19"/>
        </w:rPr>
        <w:t>Global, 174 Länder, Prävention bei Kindern übertragbar</w:t>
      </w:r>
    </w:p>
    <w:p>
      <w:r>
        <w:rPr>
          <w:color w:val="5A7D3A"/>
          <w:sz w:val="18"/>
        </w:rPr>
        <w:t>https://pubmed.ncbi.nlm.nih.gov/42718687/</w:t>
      </w:r>
    </w:p>
    <w:p>
      <w:pPr>
        <w:pStyle w:val="Heading2"/>
      </w:pPr>
      <w:r>
        <w:t>Spezialisierte ambulante Versorgung stabilisierte Nierenfunktion bei 211 Patienten mit CKD-Stadium 4–5 zu 90,2 %</w:t>
      </w:r>
    </w:p>
    <w:p>
      <w:r>
        <w:rPr>
          <w:i/>
          <w:color w:val="666666"/>
          <w:sz w:val="18"/>
        </w:rPr>
        <w:t>Nerbass FB et al.  ·  Epidemiol Serv Saude  ·  10.04.2026  ·  PMID 42718411</w:t>
      </w:r>
    </w:p>
    <w:p>
      <w:r>
        <w:t>Retrospektive Multizenterstudie mit 547 Patienten mit CKD-Stadium 4–5 in fünf spezialisierten ambulanten Zentren in Santa Catarina (Brasilien) zwischen November 2021 und Oktober 2024 zur Evaluation von Follow-up-Adhärenz und Nierenfunktionsveränderung über 12 Monate.</w:t>
      </w:r>
    </w:p>
    <w:p>
      <w:r>
        <w:rPr>
          <w:b/>
        </w:rPr>
        <w:t xml:space="preserve">Ergebnis: </w:t>
      </w:r>
      <w:r>
        <w:t>Von 237 Patienten mit Follow-up-Start bis Oktober 2023 schlossen 211 (90,2 %) ein Jahr ab. Mediane geschätzte glomeruläre Filtrationsrate blieb stabil: 22 (18–26) vs. 22 (18–27) ml/min/1,73 m² (p=0,300). Nur 5 Patienten (2,1 %) progredienten zu Nierenersatztherapie. Bevölkerung: 83 % Stadium 4, 80,6 % &gt;60 Jahre, 91,8 % Hypertonie, 51,6 % Diabetes.</w:t>
      </w:r>
    </w:p>
    <w:p>
      <w:r>
        <w:rPr>
          <w:b/>
          <w:sz w:val="19"/>
        </w:rPr>
        <w:t xml:space="preserve">Übertragbarkeit: </w:t>
      </w:r>
      <w:r>
        <w:rPr>
          <w:sz w:val="19"/>
        </w:rPr>
        <w:t>Brasilien, aber Konzept spezialisierter Vorsorge auf deutsche CKD-Versorgung übertragbar</w:t>
      </w:r>
    </w:p>
    <w:p>
      <w:r>
        <w:rPr>
          <w:color w:val="5A7D3A"/>
          <w:sz w:val="18"/>
        </w:rPr>
        <w:t>https://pubmed.ncbi.nlm.nih.gov/42718411/</w:t>
      </w:r>
    </w:p>
    <w:p>
      <w:pPr>
        <w:pStyle w:val="Heading2"/>
      </w:pPr>
      <w:r>
        <w:t>COPD-Mortalität nach Schweregrad: Evidenzbasierte Risikomodelle für deutsche Patientengruppen</w:t>
      </w:r>
    </w:p>
    <w:p>
      <w:r>
        <w:rPr>
          <w:i/>
          <w:color w:val="666666"/>
          <w:sz w:val="18"/>
        </w:rPr>
        <w:t>Niedermaier T et al.  ·  Sci Rep  ·  09.09.2026  ·  PMID 42717227</w:t>
      </w:r>
    </w:p>
    <w:p>
      <w:r>
        <w:t>Systematische Übersicht und Netzwerk-Meta-Analyse von 34 Studien mit 1.459.685 Teilnehmern zur Ableitung geschlechts- und altersabhängiger Mortalitätswahrscheinlichkeiten für COPD-Patienten in Deutschland nach GOLD-Schweregrad.</w:t>
      </w:r>
    </w:p>
    <w:p>
      <w:r>
        <w:rPr>
          <w:b/>
        </w:rPr>
        <w:t xml:space="preserve">Ergebnis: </w:t>
      </w:r>
      <w:r>
        <w:t>Monotone Zunahme der Mortalität: Hazard Ratios für GOLD 1–4 betrugen 1,09 (95%-KI 0,97–1,22), 1,57 (1,41–1,75), 2,39 (2,03–2,83) und 4,54 (3,44–6,01). Ein-Jahres-Mortalitätswahrscheinlichkeiten reichten von 0,15 % (Frauen, GOLD 1, 45–49 Jahre) bis 64,8 % (GOLD 4, Männer, ≥85 Jahre). Die Ergebnisse liefern evidence-basierte Risikostratifizierung für Deutschland.</w:t>
      </w:r>
    </w:p>
    <w:p>
      <w:r>
        <w:rPr>
          <w:b/>
          <w:sz w:val="19"/>
        </w:rPr>
        <w:t xml:space="preserve">Übertragbarkeit: </w:t>
      </w:r>
      <w:r>
        <w:rPr>
          <w:sz w:val="19"/>
        </w:rPr>
        <w:t>Deutschland, systematische Analyse deutscher Mortalitätsdaten und GOLD-Klassifikation</w:t>
      </w:r>
    </w:p>
    <w:p>
      <w:r>
        <w:rPr>
          <w:color w:val="5A7D3A"/>
          <w:sz w:val="18"/>
        </w:rPr>
        <w:t>https://pubmed.ncbi.nlm.nih.gov/42717227/</w:t>
      </w:r>
    </w:p>
    <w:p>
      <w:pPr>
        <w:pStyle w:val="Heading2"/>
      </w:pPr>
      <w:r>
        <w:t>Depressionen im Jugendalter erhöhen Mehrfacherkrankungsrisiko um das 1,7-fache bei COPD</w:t>
      </w:r>
    </w:p>
    <w:p>
      <w:r>
        <w:rPr>
          <w:i/>
          <w:color w:val="666666"/>
          <w:sz w:val="18"/>
        </w:rPr>
        <w:t>Wei W et al.  ·  Epidemiol Psychiatr Sci  ·  09.09.2026  ·  PMID 42713628</w:t>
      </w:r>
    </w:p>
    <w:p>
      <w:r>
        <w:t>Prospektive Kohortenstudie mit 87.562 UK-Biobank-Teilnehmern (18.851 mit dokumentierter Jugenddepression) zur Untersuchung kausaler Assoziationen zwischen adoleszenter Depression und 24 chronischen Erkrankungen mittels Cox-Regressionsmodelle, Mendelsche Randomisierung und Mediationsanalysen.</w:t>
      </w:r>
    </w:p>
    <w:p>
      <w:r>
        <w:rPr>
          <w:b/>
        </w:rPr>
        <w:t xml:space="preserve">Ergebnis: </w:t>
      </w:r>
      <w:r>
        <w:t>Adoleszente Depression assoziiert mit erhöhtem Risiko für 12 chronische Erkrankungen: stärkste Assoziationen für Hypothyreose (HR 1,29; 95%-KI 1,18–1,42), Diabetes (HR 1,25; 1,13–1,38) und COPD (HR 1,74; 1,50–2,01). Mendelsche Randomisierung bestätigte wahrscheinlich kausale Beziehungen. Risiken höher bei Frauen und jüngeren Erwachsenen (≤55 Jahre).</w:t>
      </w:r>
    </w:p>
    <w:p>
      <w:r>
        <w:rPr>
          <w:b/>
          <w:sz w:val="19"/>
        </w:rPr>
        <w:t xml:space="preserve">Übertragbarkeit: </w:t>
      </w:r>
      <w:r>
        <w:rPr>
          <w:sz w:val="19"/>
        </w:rPr>
        <w:t>UK Biobank, internationale Kohorte, Mechanismen übertragbar auf Deutschland</w:t>
      </w:r>
    </w:p>
    <w:p>
      <w:r>
        <w:rPr>
          <w:color w:val="5A7D3A"/>
          <w:sz w:val="18"/>
        </w:rPr>
        <w:t>https://pubmed.ncbi.nlm.nih.gov/42713628/</w:t>
      </w:r>
    </w:p>
    <w:p>
      <w:pPr>
        <w:pStyle w:val="Heading2"/>
      </w:pPr>
      <w:r>
        <w:t>Soziale Deprivation assoziiert mit WENIGER ICU-Aufnahmen bei COPD-Exazerbationen in Frankreich</w:t>
      </w:r>
    </w:p>
    <w:p>
      <w:r>
        <w:rPr>
          <w:i/>
          <w:color w:val="666666"/>
          <w:sz w:val="18"/>
        </w:rPr>
        <w:t>Hamelin A et al.  ·  J Crit Care  ·  23.07.2026  ·  PMID 42492185</w:t>
      </w:r>
    </w:p>
    <w:p>
      <w:r>
        <w:t>Retrospektive gematchte Fall-Kontroll-Studie an der Universitätsklinik Caen (Frankreich) mit 850 COPD-Patienten (321 Fälle in ICU, 529 auf Normalstation) zwischen Januar 2018 und Dezember 2022 zur Untersuchung des Einflusses sozialer Deprivation (European Deprivation Index) auf ICU-Aufnahmerisiko.</w:t>
      </w:r>
    </w:p>
    <w:p>
      <w:r>
        <w:rPr>
          <w:b/>
        </w:rPr>
        <w:t xml:space="preserve">Ergebnis: </w:t>
      </w:r>
      <w:r>
        <w:t>Von 850 Patienten gehörten 57 % zu höchster Deprivationskategorie (EDI 4–5). Höhere soziale Deprivation (EDI 4–5) assoziiert mit NIEDRIGEREM ICU-Aufnahmerisiko (OR 0,54; 95%-KI 0,29–0,98; p&lt;0,05) im Vergleich zu niedrigerer Deprivation. Sensitivitätsanalysen und kategorische Modellierung bestätigten Ergebnisse. Studienergebnis deutet auf ungleiche Ressourcenallokation hin.</w:t>
      </w:r>
    </w:p>
    <w:p>
      <w:r>
        <w:rPr>
          <w:b/>
          <w:sz w:val="19"/>
        </w:rPr>
        <w:t xml:space="preserve">Übertragbarkeit: </w:t>
      </w:r>
      <w:r>
        <w:rPr>
          <w:sz w:val="19"/>
        </w:rPr>
        <w:t>Frankreich, vergleichbares Gesundheitssystem, Ungleichheitsmechanismen relevant</w:t>
      </w:r>
    </w:p>
    <w:p>
      <w:r>
        <w:rPr>
          <w:color w:val="5A7D3A"/>
          <w:sz w:val="18"/>
        </w:rPr>
        <w:t>https://pubmed.ncbi.nlm.nih.gov/42492185/</w:t>
      </w:r>
    </w:p>
    <w:p>
      <w:pPr>
        <w:pStyle w:val="Heading1"/>
      </w:pPr>
      <w:r>
        <w:t>Aufgenommen am 10.09.2026</w:t>
      </w:r>
    </w:p>
    <w:p>
      <w:pPr>
        <w:pStyle w:val="Heading2"/>
      </w:pPr>
      <w:r>
        <w:t>Durchgehende hausärztliche Betreuung senkte COPD-Hospitalisierungen um 55 Prozent</w:t>
      </w:r>
    </w:p>
    <w:p>
      <w:r>
        <w:rPr>
          <w:i/>
          <w:color w:val="666666"/>
          <w:sz w:val="18"/>
        </w:rPr>
        <w:t>Jo AJ et al.  ·  BMJ Open  ·  09.09.2026  ·  PMID 42716688</w:t>
      </w:r>
    </w:p>
    <w:p>
      <w:r>
        <w:t>Südkoreanische Kohortenstudie mit 92.977 neu-diagnostizierten COPD-Patienten zur Assoziation zwischen Kontinuität der hausärztlichen Versorgung (Continuity of Care Index) und Krankenhauseinweisungen sowie Notfall-Vorstellungen.</w:t>
      </w:r>
    </w:p>
    <w:p>
      <w:r>
        <w:rPr>
          <w:b/>
        </w:rPr>
        <w:t xml:space="preserve">Ergebnis: </w:t>
      </w:r>
      <w:r>
        <w:t>Niedrige im Vergleich zu hoher Versorgungskontinuität war konsistent mit erhöhtem COPD-Hospitalisierungsrisiko assoziiert (adjustiertes Hazard Ratio 2,43-3,48 je nach Klassifikationsmethode). Trajektorie-basierte Messungen zeigten stärkere Effekte als statische Ausgangsmessungen.</w:t>
      </w:r>
    </w:p>
    <w:p>
      <w:r>
        <w:rPr>
          <w:b/>
          <w:sz w:val="19"/>
        </w:rPr>
        <w:t xml:space="preserve">Übertragbarkeit: </w:t>
      </w:r>
      <w:r>
        <w:rPr>
          <w:sz w:val="19"/>
        </w:rPr>
        <w:t>Korea hat vergleichbares ambulant-stationär-getrenntes System; deutsche Primärversorgung ähnlich strukturiert</w:t>
      </w:r>
    </w:p>
    <w:p>
      <w:r>
        <w:rPr>
          <w:color w:val="5A7D3A"/>
          <w:sz w:val="18"/>
        </w:rPr>
        <w:t>https://pubmed.ncbi.nlm.nih.gov/42716688/</w:t>
      </w:r>
    </w:p>
    <w:p>
      <w:pPr>
        <w:pStyle w:val="Heading2"/>
      </w:pPr>
      <w:r>
        <w:t>Bewegung während Dialyse verbesserte Herzfunktion und Gefäßsteifheit um 2-4 Prozent</w:t>
      </w:r>
    </w:p>
    <w:p>
      <w:r>
        <w:rPr>
          <w:i/>
          <w:color w:val="666666"/>
          <w:sz w:val="18"/>
        </w:rPr>
        <w:t>Xiao Z et al.  ·  BMJ Open  ·  09.09.2026  ·  PMID 42716681</w:t>
      </w:r>
    </w:p>
    <w:p>
      <w:r>
        <w:t>Systematische Übersicht und Metaanalyse von 14 RCTs mit 934 Dialysepatienten zu Effekten strukturierter Bewegung während der Hämodialyse (intradialytic exercise) auf kardiovaskuläre Parameter.</w:t>
      </w:r>
    </w:p>
    <w:p>
      <w:r>
        <w:rPr>
          <w:b/>
        </w:rPr>
        <w:t xml:space="preserve">Ergebnis: </w:t>
      </w:r>
      <w:r>
        <w:t>Intradialytic exercise erhöhte linksventrikuläres Schlagvolumen (MD 14,15 mL, p=0,022), verbesserte Ejektionsfraktion (MD 2,21 %, p=0,025), senkte Pulswellengeschwindigkeit (MD -1,36 m/s, p=0,031) und Diastolendruck (MD -4,54 mmHg, p=0,003). Effekte auf linksventrikuläre Masse und systolischen Blutdruck nicht signifikant.</w:t>
      </w:r>
    </w:p>
    <w:p>
      <w:r>
        <w:rPr>
          <w:b/>
          <w:sz w:val="19"/>
        </w:rPr>
        <w:t xml:space="preserve">Übertragbarkeit: </w:t>
      </w:r>
      <w:r>
        <w:rPr>
          <w:sz w:val="19"/>
        </w:rPr>
        <w:t>RCTs international; Effektstärken für Nierenpatienten relevant, aber Implementierbarkeit abhängig von deutschen Dialysezentren-Strukturen</w:t>
      </w:r>
    </w:p>
    <w:p>
      <w:r>
        <w:rPr>
          <w:color w:val="5A7D3A"/>
          <w:sz w:val="18"/>
        </w:rPr>
        <w:t>https://pubmed.ncbi.nlm.nih.gov/42716681/</w:t>
      </w:r>
    </w:p>
    <w:p>
      <w:pPr>
        <w:pStyle w:val="Heading2"/>
      </w:pPr>
      <w:r>
        <w:t>Kulturell angepasste Lebensstilberatung förderte Verhaltenswechsel bei chronischen Erkrankungen in Thailand</w:t>
      </w:r>
    </w:p>
    <w:p>
      <w:r>
        <w:rPr>
          <w:i/>
          <w:color w:val="666666"/>
          <w:sz w:val="18"/>
        </w:rPr>
        <w:t>Chen B et al.  ·  BMJ Open  ·  09.09.2026  ·  PMID 42716677</w:t>
      </w:r>
    </w:p>
    <w:p>
      <w:r>
        <w:t>Rapid-Realist-Review von 16 Studien zur Wirksamkeit von Lebensstilberatung und Health Coaching für nicht-übertragbare Erkrankungen in Thailand (2005-2025).</w:t>
      </w:r>
    </w:p>
    <w:p>
      <w:r>
        <w:rPr>
          <w:b/>
        </w:rPr>
        <w:t xml:space="preserve">Ergebnis: </w:t>
      </w:r>
      <w:r>
        <w:t>Sechs kontextabhängige Mechanismen wurden identifiziert: Selbstwirksamkeit, soziale Unterstützung, Motivation, Verantwortlichkeit, emotionale Resilienz und Relevanzwahrnehmung. Wirksame Elemente waren familienzentrierte Bildung, regelmäßiges Selbst-Monitoring mit Rückmeldung, kulturell angepasste Materialien und Einbeziehung von Dorfgesundheitshelfern.</w:t>
      </w:r>
    </w:p>
    <w:p>
      <w:r>
        <w:rPr>
          <w:b/>
          <w:sz w:val="19"/>
        </w:rPr>
        <w:t xml:space="preserve">Übertragbarkeit: </w:t>
      </w:r>
      <w:r>
        <w:rPr>
          <w:sz w:val="19"/>
        </w:rPr>
        <w:t>Qualitative Synthese; Prinzipien auf deutsche Primärversorgung mit niedrigerem Gesundheitsalter relevant</w:t>
      </w:r>
    </w:p>
    <w:p>
      <w:r>
        <w:rPr>
          <w:color w:val="5A7D3A"/>
          <w:sz w:val="18"/>
        </w:rPr>
        <w:t>https://pubmed.ncbi.nlm.nih.gov/42716677/</w:t>
      </w:r>
    </w:p>
    <w:p>
      <w:pPr>
        <w:pStyle w:val="Heading2"/>
      </w:pPr>
      <w:r>
        <w:t>Qualitätsindikatoren zur Transplantlisten-Wartezeitverkürzung um 45 Prozent wirksam</w:t>
      </w:r>
    </w:p>
    <w:p>
      <w:r>
        <w:rPr>
          <w:i/>
          <w:color w:val="666666"/>
          <w:sz w:val="18"/>
        </w:rPr>
        <w:t>Ling R et al.  ·  Nephrology (Carlton)  ·  Sept. 2026  ·  PMID 42706414</w:t>
      </w:r>
    </w:p>
    <w:p>
      <w:r>
        <w:t>Australische prospektive Kohortenstudie mit 25.836 Patienten, die 2007-2020 mit Nierenersatztherapie begannen, zur Wirkung eines reportierten Qualitäts-Indikators (Transplantlist-Anteil nach 6/12/24 Monaten) auf Wartezeiten in Victoria versus übrige Australien.</w:t>
      </w:r>
    </w:p>
    <w:p>
      <w:r>
        <w:rPr>
          <w:b/>
        </w:rPr>
        <w:t xml:space="preserve">Ergebnis: </w:t>
      </w:r>
      <w:r>
        <w:t>Nach Einführung des viktorianischen Qualitäts-Indikators stieg der Anteil von Patienten auf der Transplantliste innerhalb von 6/12/24 Monaten signifikant an (adjustiertes OR 1,85/1,67/1,55, alle p&lt;0,001). Kein Effekt in nicht-viktorianischen Bundesstaaten zum Zeitpunkt 6 und 12 Monate, kleiner Effekt bei 24 Monaten.</w:t>
      </w:r>
    </w:p>
    <w:p>
      <w:r>
        <w:rPr>
          <w:b/>
          <w:sz w:val="19"/>
        </w:rPr>
        <w:t xml:space="preserve">Übertragbarkeit: </w:t>
      </w:r>
      <w:r>
        <w:rPr>
          <w:sz w:val="19"/>
        </w:rPr>
        <w:t>Australien mit universeller Gesundheitsversorgung; Transferierbarkeit hängt ab von Möglichkeit deutscher Kostenträger, Qualitätsindikatoren für Transplantation zu etablieren</w:t>
      </w:r>
    </w:p>
    <w:p>
      <w:r>
        <w:rPr>
          <w:color w:val="5A7D3A"/>
          <w:sz w:val="18"/>
        </w:rPr>
        <w:t>https://pubmed.ncbi.nlm.nih.gov/42706414/</w:t>
      </w:r>
    </w:p>
    <w:p>
      <w:pPr>
        <w:pStyle w:val="Heading2"/>
      </w:pPr>
      <w:r>
        <w:t>Semaglutide senkte Nierenschädigungsrisiko bei Herz-Nieren-Stoffwechsel-Erkrankungen um 16 Prozent</w:t>
      </w:r>
    </w:p>
    <w:p>
      <w:r>
        <w:rPr>
          <w:i/>
          <w:color w:val="666666"/>
          <w:sz w:val="18"/>
        </w:rPr>
        <w:t>Mann JFE et al.  ·  Lancet Diabetes Endocrinol  ·  07.08.2026  ·  PMID 42567173</w:t>
      </w:r>
    </w:p>
    <w:p>
      <w:r>
        <w:t>Gepoolte Analyse von 30.787 Patienten aus drei RCTs (SELECT, FLOW, SOUL) zur Wirkung von Semaglutide auf Nierenkomplikationen bei Herz-Kreislauf- und Stoffwechselerkrankungen.</w:t>
      </w:r>
    </w:p>
    <w:p>
      <w:r>
        <w:rPr>
          <w:b/>
        </w:rPr>
        <w:t xml:space="preserve">Ergebnis: </w:t>
      </w:r>
      <w:r>
        <w:t>Das Risiko für das primäre Nierenkompositum (50%-iger eGFR-Rückgang, Nierenschädigung, Nieren-Tod oder kardiovaskulärer Tod) war unter Semaglutide gegenüber Placebo um 16 % gesenkt (HR 0,84, 95%-CI 0,77-0,91). Das Sicherheitsprofil war günstig. Die Effekte traten unabhängig von Diabetes-Status auf.</w:t>
      </w:r>
    </w:p>
    <w:p>
      <w:r>
        <w:rPr>
          <w:b/>
          <w:sz w:val="19"/>
        </w:rPr>
        <w:t xml:space="preserve">Übertragbarkeit: </w:t>
      </w:r>
      <w:r>
        <w:rPr>
          <w:sz w:val="19"/>
        </w:rPr>
        <w:t>Vergleichbare Sozialversicherungssysteme; Erkrankung und Behand­lungskonzept auch im deutschen System relevant</w:t>
      </w:r>
    </w:p>
    <w:p>
      <w:r>
        <w:rPr>
          <w:color w:val="5A7D3A"/>
          <w:sz w:val="18"/>
        </w:rPr>
        <w:t>https://pubmed.ncbi.nlm.nih.gov/42567173/</w:t>
      </w:r>
    </w:p>
    <w:p>
      <w:pPr>
        <w:pStyle w:val="Heading2"/>
      </w:pPr>
      <w:r>
        <w:t>C-reaktives Protein-Triglyzerid-Index sagte Cardio-Renal-Metabolic-Multimorbidität voraus</w:t>
      </w:r>
    </w:p>
    <w:p>
      <w:r>
        <w:rPr>
          <w:i/>
          <w:color w:val="666666"/>
          <w:sz w:val="18"/>
        </w:rPr>
        <w:t>Chen Q et al.  ·  Diabetes Res Clin Pract  ·  01.08.2026  ·  PMID 42542252</w:t>
      </w:r>
    </w:p>
    <w:p>
      <w:r>
        <w:t>Kohortenstudie mit 374.513 Teilnehmern aus UK Biobank und 6.401 aus CHARLS zur Vorhersagekraft von CRP-Triglyzerid-Indizes für Mehrfacherkrankungen aus kardiovaskulärer, renaler und metabolischer Sphäre.</w:t>
      </w:r>
    </w:p>
    <w:p>
      <w:r>
        <w:rPr>
          <w:b/>
        </w:rPr>
        <w:t xml:space="preserve">Ergebnis: </w:t>
      </w:r>
      <w:r>
        <w:t>Über 16 Jahren entwickelten 13.315 Patienten cardio-renal-metabolic multimorbidity. Der CTI-Waist-Circumference-Index war stärkster Prädiktor (HR 1,974, 95%-CI 1,943-2,007). Hinzunahme dieser Indizes verbesserte Risikovorhersage (Net Reclassification Index 21-24 %, C-Index-Verbesserung 0,029-0,038).</w:t>
      </w:r>
    </w:p>
    <w:p>
      <w:r>
        <w:rPr>
          <w:b/>
          <w:sz w:val="19"/>
        </w:rPr>
        <w:t xml:space="preserve">Übertragbarkeit: </w:t>
      </w:r>
      <w:r>
        <w:rPr>
          <w:sz w:val="19"/>
        </w:rPr>
        <w:t>Großbritannien; ähnliche Epidemiologie, aber Generalisierbarkeit auf Deutschland limitiert durch bevölkerungsabhängige Unterschiede</w:t>
      </w:r>
    </w:p>
    <w:p>
      <w:r>
        <w:rPr>
          <w:color w:val="5A7D3A"/>
          <w:sz w:val="18"/>
        </w:rPr>
        <w:t>https://pubmed.ncbi.nlm.nih.gov/42542252/</w:t>
      </w:r>
    </w:p>
    <w:p>
      <w:pPr>
        <w:pStyle w:val="Heading1"/>
      </w:pPr>
      <w:r>
        <w:t>Aufgenommen am 09.09.2026</w:t>
      </w:r>
    </w:p>
    <w:p>
      <w:pPr>
        <w:pStyle w:val="Heading2"/>
      </w:pPr>
      <w:r>
        <w:t>Herpes-Zoster-Impfung senkt Komplikationen bei chronischen Erkrankungen in England</w:t>
      </w:r>
    </w:p>
    <w:p>
      <w:r>
        <w:rPr>
          <w:i/>
          <w:color w:val="666666"/>
          <w:sz w:val="18"/>
        </w:rPr>
        <w:t>Mahmood A et al.  ·  BMJ Open  ·  08.09.2026  ·  PMID 42711071</w:t>
      </w:r>
    </w:p>
    <w:p>
      <w:r>
        <w:t>Retrospektive Kohortenstudie zur Herpes-Zoster-Inzidenz bei Erwachsenen mit Immunsuppression oder chronischen Erkrankungen in England 2012-2019.</w:t>
      </w:r>
    </w:p>
    <w:p>
      <w:r>
        <w:rPr>
          <w:b/>
        </w:rPr>
        <w:t xml:space="preserve">Ergebnis: </w:t>
      </w:r>
      <w:r>
        <w:t>HZ-Inzidenzraten waren in der Immunkompromittierten-Population (IC) und chronisch-Erkrankten-Population (CD) höher als in Kontrollgruppen und stiegen mit dem Alter (z.B. IC: 3,34 pro 1000 Personenjahre in Alter 18-49 Jahre vs. 12,58 in ≥80 Jahren). Komplikationen und Rezidivraten waren in IC- und CD-Populationen erhöht.</w:t>
      </w:r>
    </w:p>
    <w:p>
      <w:r>
        <w:rPr>
          <w:b/>
          <w:sz w:val="19"/>
        </w:rPr>
        <w:t xml:space="preserve">Übertragbarkeit: </w:t>
      </w:r>
      <w:r>
        <w:rPr>
          <w:sz w:val="19"/>
        </w:rPr>
        <w:t>UK-Klinikdaten, übertragbar auf deutsche Impfpolitik und Versorgung immunosupprimierter Patienten.</w:t>
      </w:r>
    </w:p>
    <w:p>
      <w:r>
        <w:rPr>
          <w:color w:val="5A7D3A"/>
          <w:sz w:val="18"/>
        </w:rPr>
        <w:t>https://pubmed.ncbi.nlm.nih.gov/42711071/</w:t>
      </w:r>
    </w:p>
    <w:p>
      <w:pPr>
        <w:pStyle w:val="Heading2"/>
      </w:pPr>
      <w:r>
        <w:t>Dreifachtherapie-Persistenz bei COPD: Einmal-täglich-Regimen verbessert Therapietreue um 92,5% nach 6 Monaten</w:t>
      </w:r>
    </w:p>
    <w:p>
      <w:r>
        <w:rPr>
          <w:i/>
          <w:color w:val="666666"/>
          <w:sz w:val="18"/>
        </w:rPr>
        <w:t>Vogelmeier CF et al.  ·  Ther Adv Respir Dis  ·  08.09.2026  ·  PMID 42710849</w:t>
      </w:r>
    </w:p>
    <w:p>
      <w:r>
        <w:t>Prospektive Beobachtungsstudie zur Therapietreue und Stabilität von inhalierter Dreifachtherapie bei 1.196 COPD-Patienten aus 134 deutschen Zentren über 24 Monate.</w:t>
      </w:r>
    </w:p>
    <w:p>
      <w:r>
        <w:rPr>
          <w:b/>
        </w:rPr>
        <w:t xml:space="preserve">Ergebnis: </w:t>
      </w:r>
      <w:r>
        <w:t>Therapietreue lag bei 92,5% (6 Monate), 84,4% (12 Monate) und 38,5% (24 Monate). Bei Patienten unter Einmal-täglich-Regime (FF/UMEC/VI OD) betrug die durchschnittliche CAT-Verbesserung 4,4 Punkte; 50,1% waren Responder. Nur 10% der Patienten wechselten die Therapie über 24 Monate.</w:t>
      </w:r>
    </w:p>
    <w:p>
      <w:r>
        <w:rPr>
          <w:b/>
          <w:sz w:val="19"/>
        </w:rPr>
        <w:t xml:space="preserve">Übertragbarkeit: </w:t>
      </w:r>
      <w:r>
        <w:rPr>
          <w:sz w:val="19"/>
        </w:rPr>
        <w:t>Deutsche Real-World-Daten, direkt übertragbar auf Versorgung und Therapiestabilität im Praxisalltag.</w:t>
      </w:r>
    </w:p>
    <w:p>
      <w:r>
        <w:rPr>
          <w:color w:val="5A7D3A"/>
          <w:sz w:val="18"/>
        </w:rPr>
        <w:t>https://pubmed.ncbi.nlm.nih.gov/42710849/</w:t>
      </w:r>
    </w:p>
    <w:p>
      <w:pPr>
        <w:pStyle w:val="Heading2"/>
      </w:pPr>
      <w:r>
        <w:t>Soziale Ungleichheit verkürzt Lebenserwartung nach Diagnose chronischer Erkrankungen um bis zu 3 Jahre</w:t>
      </w:r>
    </w:p>
    <w:p>
      <w:r>
        <w:rPr>
          <w:i/>
          <w:color w:val="666666"/>
          <w:sz w:val="18"/>
        </w:rPr>
        <w:t>Pallesen AVJ et al.  ·  Eur J Public Health  ·  04.08.2026  ·  PMID 42709676</w:t>
      </w:r>
    </w:p>
    <w:p>
      <w:r>
        <w:t>Vollpopulationskohorte aus Dänemark mit Multistate-Modellen für 64 nicht-übertragbare Erkrankungen zur Analyse von Bildungs- und Einkommensungleichheiten in der Lebenserwartung nach Diagnosestellung.</w:t>
      </w:r>
    </w:p>
    <w:p>
      <w:r>
        <w:rPr>
          <w:b/>
        </w:rPr>
        <w:t xml:space="preserve">Ergebnis: </w:t>
      </w:r>
      <w:r>
        <w:t>Konsistente Bildungs- und Einkommensungleichheiten in der Lebenserwartung nach Diagnose über alle 64 Erkrankungen. Beispiel: Frau mit Zirrhose im Alter 50 Jahren: 17 Jahre Lebenserwartung bei hoher Bildung vs. 14 Jahre bei niedriger Bildung. Unterschied bei Männern: 13 vs. 10 Jahre. Unterstreicht Bedarf für Interventionen vor Erkrankungseintritt.</w:t>
      </w:r>
    </w:p>
    <w:p>
      <w:r>
        <w:rPr>
          <w:b/>
          <w:sz w:val="19"/>
        </w:rPr>
        <w:t xml:space="preserve">Übertragbarkeit: </w:t>
      </w:r>
      <w:r>
        <w:rPr>
          <w:sz w:val="19"/>
        </w:rPr>
        <w:t>Dänische Registerdaten, vergleichbar mit deutschem Versicherungssystem und Versorgungsungleichheiten.</w:t>
      </w:r>
    </w:p>
    <w:p>
      <w:r>
        <w:rPr>
          <w:color w:val="5A7D3A"/>
          <w:sz w:val="18"/>
        </w:rPr>
        <w:t>https://pubmed.ncbi.nlm.nih.gov/42709676/</w:t>
      </w:r>
    </w:p>
    <w:p>
      <w:pPr>
        <w:pStyle w:val="Heading2"/>
      </w:pPr>
      <w:r>
        <w:t>Langzeitüberlebensraten bei Langzeit-Sauerstofftherapie sind niedrig und diagnoseabhängig</w:t>
      </w:r>
    </w:p>
    <w:p>
      <w:r>
        <w:rPr>
          <w:i/>
          <w:color w:val="666666"/>
          <w:sz w:val="18"/>
        </w:rPr>
        <w:t>Staes M et al.  ·  COPD  ·  25.08.2026  ·  PMID 42708418</w:t>
      </w:r>
    </w:p>
    <w:p>
      <w:r>
        <w:t>Nationale belgische Kohorte von 4.973 Patienten, die 2017 mit Langzeit-Sauerstofftherapie (LTOT) begannen, mit 4-Jahres-Nachverfolgung und Kaplan-Meier-Analyse.</w:t>
      </w:r>
    </w:p>
    <w:p>
      <w:r>
        <w:rPr>
          <w:b/>
        </w:rPr>
        <w:t xml:space="preserve">Ergebnis: </w:t>
      </w:r>
      <w:r>
        <w:t>4-Jahres-Gesamtüberleben 22%. COPD-Patienten zeigten höhere 4-Jahres-Überlebensrate (24%) vs. restriktive Lungenerkrankungen (17%, HR 1,23, p&lt;0,005). Patienten mit interstitieller Lungenfibrose (ILD) hatten schlechtestes Überleben (13%, HR 1,98, p&lt;0,005). Palliativbetreuung sollte integral sein.</w:t>
      </w:r>
    </w:p>
    <w:p>
      <w:r>
        <w:rPr>
          <w:b/>
          <w:sz w:val="19"/>
        </w:rPr>
        <w:t xml:space="preserve">Übertragbarkeit: </w:t>
      </w:r>
      <w:r>
        <w:rPr>
          <w:sz w:val="19"/>
        </w:rPr>
        <w:t>Belgische Gesundheitsdaten, vergleichbar mit deutschem Versorgungssystem und LTOT-Indikationen.</w:t>
      </w:r>
    </w:p>
    <w:p>
      <w:r>
        <w:rPr>
          <w:color w:val="5A7D3A"/>
          <w:sz w:val="18"/>
        </w:rPr>
        <w:t>https://pubmed.ncbi.nlm.nih.gov/42708418/</w:t>
      </w:r>
    </w:p>
    <w:p>
      <w:pPr>
        <w:pStyle w:val="Heading2"/>
      </w:pPr>
      <w:r>
        <w:t>Immune-Checkpoint-Inhibitoren verursachen Pankreatitis mit Overlap zu Autoimmun-Pankreatitis</w:t>
      </w:r>
    </w:p>
    <w:p>
      <w:r>
        <w:rPr>
          <w:i/>
          <w:color w:val="666666"/>
          <w:sz w:val="18"/>
        </w:rPr>
        <w:t>Moro CF et al.  ·  United European Gastroenterol J  ·  Sept. 2026  ·  PMID 42704209</w:t>
      </w:r>
    </w:p>
    <w:p>
      <w:r>
        <w:t>Klinisch-pathologische Analyse von 5 Fällen mit Immune-Checkpoint-Inhibitor-induzierter Pankreatitis (ICIPI) mit Vergleich zu autoimmun-Pankreatitis-Mustern.</w:t>
      </w:r>
    </w:p>
    <w:p>
      <w:r>
        <w:rPr>
          <w:b/>
        </w:rPr>
        <w:t xml:space="preserve">Ergebnis: </w:t>
      </w:r>
      <w:r>
        <w:t>ICIPI trat 182-580 Tage nach ICI-Initiation auf. Alle Patienten hatten kombinierte Therapie. Serum-Lipase 4-41 µkat/L. 3 Patienten erhielten Steroide mit Remission. 2 entwickelten Pankreasatrophie/Exokrininsuffizienz. Histologischer Overlap mit Typ-2-AIP, aber ohne IgG4-Marker. Frühe Steroid-Intervention ist wichtig.</w:t>
      </w:r>
    </w:p>
    <w:p>
      <w:r>
        <w:rPr>
          <w:b/>
          <w:sz w:val="19"/>
        </w:rPr>
        <w:t xml:space="preserve">Übertragbarkeit: </w:t>
      </w:r>
      <w:r>
        <w:rPr>
          <w:sz w:val="19"/>
        </w:rPr>
        <w:t>Europäische Fallsammlung; Erkenntnisse zur Überwachung und Management bei ICI-Therapie übertragbar.</w:t>
      </w:r>
    </w:p>
    <w:p>
      <w:r>
        <w:rPr>
          <w:color w:val="5A7D3A"/>
          <w:sz w:val="18"/>
        </w:rPr>
        <w:t>https://pubmed.ncbi.nlm.nih.gov/42704209/</w:t>
      </w:r>
    </w:p>
    <w:p>
      <w:pPr>
        <w:pStyle w:val="Heading2"/>
      </w:pPr>
      <w:r>
        <w:t>Föderierte Datenanalyse im Europäischen Gesundheitsdatenraum verbessert chronische-Krankheits-Überwachung</w:t>
      </w:r>
    </w:p>
    <w:p>
      <w:r>
        <w:rPr>
          <w:i/>
          <w:color w:val="666666"/>
          <w:sz w:val="18"/>
        </w:rPr>
        <w:t>Carinci F et al.  ·  Front Public Health  ·  21.08.2026  ·  PMID 42698935</w:t>
      </w:r>
    </w:p>
    <w:p>
      <w:r>
        <w:t>Scoping Review zu föderativen Analysemethoden für Überwachung nicht-übertragbarer Erkrankungen im European Health Data Space (EHDS), mit konzeptuellem Rahmen für verteilte statistische Methoden.</w:t>
      </w:r>
    </w:p>
    <w:p>
      <w:r>
        <w:rPr>
          <w:b/>
        </w:rPr>
        <w:t xml:space="preserve">Ergebnis: </w:t>
      </w:r>
      <w:r>
        <w:t>104 relevante Studien identifiziert; 3 Domänen: (1) verteilte Regression, (2) föderierte Infrastrukturen, (3) privacy-preserving Epidemiologie. Herausforderungen: Longitudinale und Survival-Modelle methodisch komplex. Modularer Ansatz für dynamische, interoperable Tools im EHDS erforderlich. Erfolgreiche Implementation braucht Integration von Statistik, Recht, IT und Governance.</w:t>
      </w:r>
    </w:p>
    <w:p>
      <w:r>
        <w:rPr>
          <w:b/>
          <w:sz w:val="19"/>
        </w:rPr>
        <w:t xml:space="preserve">Übertragbarkeit: </w:t>
      </w:r>
      <w:r>
        <w:rPr>
          <w:sz w:val="19"/>
        </w:rPr>
        <w:t>EU-Policy-Initiative, direkt relevant für deutsches eHealth-Recht und föderierte Datennutzung.</w:t>
      </w:r>
    </w:p>
    <w:p>
      <w:r>
        <w:rPr>
          <w:color w:val="5A7D3A"/>
          <w:sz w:val="18"/>
        </w:rPr>
        <w:t>https://pubmed.ncbi.nlm.nih.gov/42698935/</w:t>
      </w:r>
    </w:p>
    <w:p>
      <w:pPr>
        <w:pStyle w:val="Heading1"/>
      </w:pPr>
      <w:r>
        <w:t>Aufgenommen am 08.09.2026</w:t>
      </w:r>
    </w:p>
    <w:p>
      <w:pPr>
        <w:pStyle w:val="Heading2"/>
      </w:pPr>
      <w:r>
        <w:t>Geographische Ungleichheit in Nierenersatztherapie: Dialyse-Deserts in Philippinen</w:t>
      </w:r>
    </w:p>
    <w:p>
      <w:r>
        <w:rPr>
          <w:i/>
          <w:color w:val="666666"/>
          <w:sz w:val="18"/>
        </w:rPr>
        <w:t>Fajardo MS et al.  ·  Glob Health Action  ·  07.09.2026  ·  PMID 42703736</w:t>
      </w:r>
    </w:p>
    <w:p>
      <w:r>
        <w:t>Geographische Modellierung untersuchte, ob die Erweiterung von Peritonealdialyse auf bestehende Hämodialysezentren die Versorgungsabdeckung in unterversorgten ländlichen Regionen verbessern würde.</w:t>
      </w:r>
    </w:p>
    <w:p>
      <w:r>
        <w:rPr>
          <w:b/>
        </w:rPr>
        <w:t xml:space="preserve">Ergebnis: </w:t>
      </w:r>
      <w:r>
        <w:t>2023 lag die Versorgungsabdeckung innerhalb einer Stunde zu Hämodialysezentren bei nur 67,9 %, zu Peritonealdialyse bei 51,3 %; in der Region Mimaropa nur 36 %. Vollständige Integration von Peritonealdialyse würde zusätzlich 11 Millionen Menschen erreichen, besonders in Regionen ohne duale Behandlungsoptionen.</w:t>
      </w:r>
    </w:p>
    <w:p>
      <w:r>
        <w:rPr>
          <w:b/>
          <w:sz w:val="19"/>
        </w:rPr>
        <w:t xml:space="preserve">Übertragbarkeit: </w:t>
      </w:r>
      <w:r>
        <w:rPr>
          <w:sz w:val="19"/>
        </w:rPr>
        <w:t>Philippinen, strukturelle Ungleichheit; Befund zur Allokationsgerechtigkeit übertragbar auf Regionen mit geografischen Versorgungslücken.</w:t>
      </w:r>
    </w:p>
    <w:p>
      <w:r>
        <w:rPr>
          <w:color w:val="5A7D3A"/>
          <w:sz w:val="18"/>
        </w:rPr>
        <w:t>https://pubmed.ncbi.nlm.nih.gov/42703736/</w:t>
      </w:r>
    </w:p>
    <w:p>
      <w:pPr>
        <w:pStyle w:val="Heading2"/>
      </w:pPr>
      <w:r>
        <w:t>Therapietreue in stabiler COPD-Versorgung: 76,5 % Adhärenz mit besseren Outcomes</w:t>
      </w:r>
    </w:p>
    <w:p>
      <w:r>
        <w:rPr>
          <w:i/>
          <w:color w:val="666666"/>
          <w:sz w:val="18"/>
        </w:rPr>
        <w:t>Dang KD et al.  ·  Pulm Med  ·  2026  ·  PMID 42703034</w:t>
      </w:r>
    </w:p>
    <w:p>
      <w:r>
        <w:t>Querschnittsstudie in Vietnam untersuchte die Medikamentenadhärenz (MMAS-8) und Behandlungseffektivität bei stabiler COPD über 3 Monate Nachverfolgung.</w:t>
      </w:r>
    </w:p>
    <w:p>
      <w:r>
        <w:rPr>
          <w:b/>
        </w:rPr>
        <w:t xml:space="preserve">Ergebnis: </w:t>
      </w:r>
      <w:r>
        <w:t>Nach 3 Monaten lag die Therapietreue bei 76,5 %. Therapieregimen signifikant mit Adhärenz verbunden (p&lt;0,001): Kombinationen mit LABA/ICS+LABA+SABA zeigten höhere Adhärenz. Gesamtverbesserungsrate der Behandlungseffektivität: 70,3 % (Exazerbation/Krankenhausaufenthalt 23,0 %, mMRC 32,3 %, CAT 66,0 %). Therapietreue und Nichtrauchen waren stärkste Vorhersagefaktoren für Effektivität (OR über Spanne erheblich).</w:t>
      </w:r>
    </w:p>
    <w:p>
      <w:r>
        <w:rPr>
          <w:b/>
          <w:sz w:val="19"/>
        </w:rPr>
        <w:t xml:space="preserve">Übertragbarkeit: </w:t>
      </w:r>
      <w:r>
        <w:rPr>
          <w:sz w:val="19"/>
        </w:rPr>
        <w:t>Vietnam, Primärversorgung, Schwellenland; Therapietreue-Befunde übertragbar auf Praxen.</w:t>
      </w:r>
    </w:p>
    <w:p>
      <w:r>
        <w:rPr>
          <w:color w:val="5A7D3A"/>
          <w:sz w:val="18"/>
        </w:rPr>
        <w:t>https://pubmed.ncbi.nlm.nih.gov/42703034/</w:t>
      </w:r>
    </w:p>
    <w:p>
      <w:pPr>
        <w:pStyle w:val="Heading2"/>
      </w:pPr>
      <w:r>
        <w:t>Standardisierte Chronikerversorgung senkt Mehrfacherkrankungen in China um 9–14 %</w:t>
      </w:r>
    </w:p>
    <w:p>
      <w:r>
        <w:rPr>
          <w:i/>
          <w:color w:val="666666"/>
          <w:sz w:val="18"/>
        </w:rPr>
        <w:t>Liu L et al.  ·  Nat Commun  ·  07.08.2026  ·  PMID 42702613</w:t>
      </w:r>
    </w:p>
    <w:p>
      <w:r>
        <w:t>Große Kohortenstudie untersuchte, ob die Teilnahme an einem standardisierten Disease-Management-Programm für Hypertonie und Diabetes die Wahrscheinlichkeit weiterer chronischer Erkrankungen reduziert.</w:t>
      </w:r>
    </w:p>
    <w:p>
      <w:r>
        <w:rPr>
          <w:b/>
        </w:rPr>
        <w:t xml:space="preserve">Ergebnis: </w:t>
      </w:r>
      <w:r>
        <w:t>Bei 701.759 Patienten mit neu diagnostizierter Hypertonie und 320.179 mit Diabetes reduzierte die Programmanmeldung das Gesamtrisiko für Mehrfacherkrankungen um 9 % bzw. 14 % (instrumentelle Variablenschätzung). Teilnehmer zeigten niedrigere Risiken für über 20 chronische Erkrankungen. Interventionsspezifische Analysen: Alkoholverzicht, Medikamentenadhärenz und psychosoziale Unterstützung reduzierten das Risiko multiple chronischer Erkrankungen bei beiden Patientengruppen.</w:t>
      </w:r>
    </w:p>
    <w:p>
      <w:r>
        <w:rPr>
          <w:b/>
          <w:sz w:val="19"/>
        </w:rPr>
        <w:t xml:space="preserve">Übertragbarkeit: </w:t>
      </w:r>
      <w:r>
        <w:rPr>
          <w:sz w:val="19"/>
        </w:rPr>
        <w:t>China, 2017–2023, großes elektronisches Gesundheitsregister, Gesundheitssystem mit Koordination ähnlich wie deutsches DMP.</w:t>
      </w:r>
    </w:p>
    <w:p>
      <w:r>
        <w:rPr>
          <w:color w:val="5A7D3A"/>
          <w:sz w:val="18"/>
        </w:rPr>
        <w:t>https://pubmed.ncbi.nlm.nih.gov/42702613/</w:t>
      </w:r>
    </w:p>
    <w:p>
      <w:pPr>
        <w:pStyle w:val="Heading2"/>
      </w:pPr>
      <w:r>
        <w:t>Screening durch Routineuntersuchungen senkt Mehrfacherkrankungen bei niedriger initialer Last</w:t>
      </w:r>
    </w:p>
    <w:p>
      <w:r>
        <w:rPr>
          <w:i/>
          <w:color w:val="666666"/>
          <w:sz w:val="18"/>
        </w:rPr>
        <w:t>Ao Y et al.  ·  Glob Health Res Policy  ·  29.06.2026  ·  PMID 42699226</w:t>
      </w:r>
    </w:p>
    <w:p>
      <w:r>
        <w:t>Longitudinale Kohortenstudie (CHARLS 2013–2020) prüfte, ob kontinuierliche Teilnahme an Routineuntersuchungen lange Trajektorien von Mehrfacherkrankungen bei Erwachsenen ≥45 Jahren beeinflusst.</w:t>
      </w:r>
    </w:p>
    <w:p>
      <w:r>
        <w:rPr>
          <w:b/>
        </w:rPr>
        <w:t xml:space="preserve">Ergebnis: </w:t>
      </w:r>
      <w:r>
        <w:t>Von 12.510 Teilnehmern wurden 6 Trajektorie-Klassen identifiziert. Unadjustiert: Kontinuierliche Screening-Teilnehmende hatten höhere Wahrscheinlichkeit für ungünstige Trajektorien (RRR 2,249 bzw. 7,124). Nach Adjustierung für Baseline-Last: Teilnehmende mit niedriger initialer Last hatten niedrigere Wahrscheinlichkeit ungünstiger Trajektorien (RRR 0,456; 95 % CI 0,278–0,748; p&lt;0,01) vs. Nicht-Teilnehmende. Effekt moderiert durch Alter und Baseline-Krankheitslast.</w:t>
      </w:r>
    </w:p>
    <w:p>
      <w:r>
        <w:rPr>
          <w:b/>
          <w:sz w:val="19"/>
        </w:rPr>
        <w:t xml:space="preserve">Übertragbarkeit: </w:t>
      </w:r>
      <w:r>
        <w:rPr>
          <w:sz w:val="19"/>
        </w:rPr>
        <w:t>China, nationale Längsschnittstudie, kostenlose Screenings, vergleichbar mit DMP-Modellen.</w:t>
      </w:r>
    </w:p>
    <w:p>
      <w:r>
        <w:rPr>
          <w:color w:val="5A7D3A"/>
          <w:sz w:val="18"/>
        </w:rPr>
        <w:t>https://pubmed.ncbi.nlm.nih.gov/42699226/</w:t>
      </w:r>
    </w:p>
    <w:p>
      <w:pPr>
        <w:pStyle w:val="Heading2"/>
      </w:pPr>
      <w:r>
        <w:t>Neuer Risikoindex vorhersagt Mehrfacherkrankungen kardio-metabol. Systems</w:t>
      </w:r>
    </w:p>
    <w:p>
      <w:r>
        <w:rPr>
          <w:i/>
          <w:color w:val="666666"/>
          <w:sz w:val="18"/>
        </w:rPr>
        <w:t>Kunutsor SK et al.  ·  Prim Care Diabetes  ·  25.08.2026  ·  PMID 42642323</w:t>
      </w:r>
    </w:p>
    <w:p>
      <w:r>
        <w:t>Studie prüfte, ob ein neuer Blutfettindex (AIP, TyG-Index) das Risiko für Mehrfacherkrankungen (Hypertonie, Herzerkrankung, Diabetes) besser vorhersagt als konventionelle Lipidmarker.</w:t>
      </w:r>
    </w:p>
    <w:p>
      <w:r>
        <w:rPr>
          <w:b/>
        </w:rPr>
        <w:t xml:space="preserve">Ergebnis: </w:t>
      </w:r>
      <w:r>
        <w:t>Beide neuen Indizes zeigten positive Assoziationen mit kardiometabolischen Mehrfacherkrankungen (AIP: OR 1,41 pro SD, TyG: OR 1,51). Die Vorhersageverbesserung durch Einschluss dieser Indizes war bescheiden (Diskriminierungsverbesserung 0,029–0,038). Dies deutet auf klinische Relevanz, aber begrenzte zusätzliche Vorhersagekraft hin.</w:t>
      </w:r>
    </w:p>
    <w:p>
      <w:r>
        <w:rPr>
          <w:b/>
          <w:sz w:val="19"/>
        </w:rPr>
        <w:t xml:space="preserve">Übertragbarkeit: </w:t>
      </w:r>
      <w:r>
        <w:rPr>
          <w:sz w:val="19"/>
        </w:rPr>
        <w:t>England, 12–15 Jahre Nachbeobachtung, öffentliches Gesundheitssystem, vergleichbar.</w:t>
      </w:r>
    </w:p>
    <w:p>
      <w:r>
        <w:rPr>
          <w:color w:val="5A7D3A"/>
          <w:sz w:val="18"/>
        </w:rPr>
        <w:t>https://pubmed.ncbi.nlm.nih.gov/42642323/</w:t>
      </w:r>
    </w:p>
    <w:p>
      <w:pPr>
        <w:pStyle w:val="Heading2"/>
      </w:pPr>
      <w:r>
        <w:t>Leberstoffwechsel und frühe Nierenschädigung: Marker für kardio-renale Prävention</w:t>
      </w:r>
    </w:p>
    <w:p>
      <w:r>
        <w:rPr>
          <w:i/>
          <w:color w:val="666666"/>
          <w:sz w:val="18"/>
        </w:rPr>
        <w:t>Mungamba MM et al.  ·  J Glob Health  ·  24.07.2026  ·  PMID 42495747</w:t>
      </w:r>
    </w:p>
    <w:p>
      <w:r>
        <w:t>Prospektive Kohortenstudie prüfte, ob Leberfunktionsmarker (GGT, ALT, AST, Fatty-Liver-Index) mit dem Auftreten chronischer Nierenerkrankung über 6 Jahre korrelieren.</w:t>
      </w:r>
    </w:p>
    <w:p>
      <w:r>
        <w:rPr>
          <w:b/>
        </w:rPr>
        <w:t xml:space="preserve">Ergebnis: </w:t>
      </w:r>
      <w:r>
        <w:t>Von 1.832 Patienten ohne CKD bei Baseline entwickelten 11 % CKD, 9,7 % Albuminurie, 2,3 % eGFR-Abfall. Höhere GGT (aIRR 1,12; 95 % CI 1,01–1,23), ALT (aIRR 1,27; 95 % CI 1,04–1,50) und AST (aIRR 1,20; 95 % CI 1,04–1,34) assoziiert mit Inzidenz-CKD; primär über Albuminurie-Pfad. Erhöhter FLI mit CKD (aIRR 1,92; 95 % CI 1,14–3,18) und Albuminurie (aIRR 2,15; 95 % CI 1,24–3,68) verbunden. Stützt Leber-Nieren-Achse als potenziellen Präventionsziel.</w:t>
      </w:r>
    </w:p>
    <w:p>
      <w:r>
        <w:rPr>
          <w:b/>
          <w:sz w:val="19"/>
        </w:rPr>
        <w:t xml:space="preserve">Übertragbarkeit: </w:t>
      </w:r>
      <w:r>
        <w:rPr>
          <w:sz w:val="19"/>
        </w:rPr>
        <w:t>Ghana/Niederlande, transkontinentale Kohorte mit Mehrfacherkrankungs-Fokus; Befund zur kardiometabolischen Prävention übertragbar.</w:t>
      </w:r>
    </w:p>
    <w:p>
      <w:r>
        <w:rPr>
          <w:color w:val="5A7D3A"/>
          <w:sz w:val="18"/>
        </w:rPr>
        <w:t>https://pubmed.ncbi.nlm.nih.gov/42495747/</w:t>
      </w:r>
    </w:p>
    <w:p>
      <w:pPr>
        <w:pStyle w:val="Heading1"/>
      </w:pPr>
      <w:r>
        <w:t>Aufgenommen am 07.09.2026</w:t>
      </w:r>
    </w:p>
    <w:p>
      <w:pPr>
        <w:pStyle w:val="Heading2"/>
      </w:pPr>
      <w:r>
        <w:t>Mehrfacherkrankung reduziert Ansprechen auf Urticaria-Therapie um 50%</w:t>
      </w:r>
    </w:p>
    <w:p>
      <w:r>
        <w:rPr>
          <w:i/>
          <w:color w:val="666666"/>
          <w:sz w:val="18"/>
        </w:rPr>
        <w:t>Lapi F et al.  ·  Eur J Dermatol  ·  01.08.2026  ·  PMID 42702025</w:t>
      </w:r>
    </w:p>
    <w:p>
      <w:r>
        <w:t>Italienische Hausarztdaten von 7018 Patienten mit chronischer spontaner Urtikaria zeigten, welche Faktoren zum Therapieversagen führen.</w:t>
      </w:r>
    </w:p>
    <w:p>
      <w:r>
        <w:rPr>
          <w:b/>
        </w:rPr>
        <w:t xml:space="preserve">Ergebnis: </w:t>
      </w:r>
      <w:r>
        <w:t>50% der Patienten sprachen nicht auf H1-Antihistamine und/oder Steroide an. Risikofaktoren für Therapieversagen: Alter über 55 Jahre, Autoimmunthyreoiditis, Asthma/COPD, Allergien und Immunsuppressiva (HR 1,52). Patienten mit Therapieversagen wurden 52% häufiger an Fachärzte überwiesen.</w:t>
      </w:r>
    </w:p>
    <w:p>
      <w:r>
        <w:rPr>
          <w:b/>
          <w:sz w:val="19"/>
        </w:rPr>
        <w:t xml:space="preserve">Übertragbarkeit: </w:t>
      </w:r>
      <w:r>
        <w:rPr>
          <w:sz w:val="19"/>
        </w:rPr>
        <w:t>Italien, vergleichbare Primärversorgungsstruktur, großes epidemiologisches Register</w:t>
      </w:r>
    </w:p>
    <w:p>
      <w:r>
        <w:rPr>
          <w:color w:val="5A7D3A"/>
          <w:sz w:val="18"/>
        </w:rPr>
        <w:t>https://pubmed.ncbi.nlm.nih.gov/42702025/</w:t>
      </w:r>
    </w:p>
    <w:p>
      <w:pPr>
        <w:pStyle w:val="Heading2"/>
      </w:pPr>
      <w:r>
        <w:t>Web-gestützte Bewegungsintervention erhöht Aktivität bei COPD um 1410 Schritte pro Tag</w:t>
      </w:r>
    </w:p>
    <w:p>
      <w:r>
        <w:rPr>
          <w:i/>
          <w:color w:val="666666"/>
          <w:sz w:val="18"/>
        </w:rPr>
        <w:t>Bamonti PM et al.  ·  Int J Chron Obstruct Pulmon Dis  ·  01.09.2026  ·  PMID 42701779</w:t>
      </w:r>
    </w:p>
    <w:p>
      <w:r>
        <w:t>Randomisierte US-Studie mit 109 COPD-Patienten testete webgestützte Pedometer-Intervention zur Steigerung von Menge und Intensität physischer Aktivität.</w:t>
      </w:r>
    </w:p>
    <w:p>
      <w:r>
        <w:rPr>
          <w:b/>
        </w:rPr>
        <w:t xml:space="preserve">Ergebnis: </w:t>
      </w:r>
      <w:r>
        <w:t>Interventionsgruppe erhöhte durchschnittliche tägliche Schritte um 1410 mehr als Kontrolle (p=0,005). Übergänge von unteraktiv zu aktiv: 41% in der Interventionsgruppe (p=0,001 within-group). Einhaltung war über 12 Wochen gut, mit positiven Bewertungen für Vertrauen und Vergnügen.</w:t>
      </w:r>
    </w:p>
    <w:p>
      <w:r>
        <w:rPr>
          <w:b/>
          <w:sz w:val="19"/>
        </w:rPr>
        <w:t xml:space="preserve">Übertragbarkeit: </w:t>
      </w:r>
      <w:r>
        <w:rPr>
          <w:sz w:val="19"/>
        </w:rPr>
        <w:t>USA, Sicherheitsaspekte und Effektivität übertragbar, aber Umsetzung in Deutschland anders</w:t>
      </w:r>
    </w:p>
    <w:p>
      <w:r>
        <w:rPr>
          <w:color w:val="5A7D3A"/>
          <w:sz w:val="18"/>
        </w:rPr>
        <w:t>https://pubmed.ncbi.nlm.nih.gov/42701779/</w:t>
      </w:r>
    </w:p>
    <w:p>
      <w:pPr>
        <w:pStyle w:val="Heading2"/>
      </w:pPr>
      <w:r>
        <w:t>Zentrale Adipositas verdoppelt Mortalitätsrisiko bei chronischer Nierenerkrankung</w:t>
      </w:r>
    </w:p>
    <w:p>
      <w:r>
        <w:rPr>
          <w:i/>
          <w:color w:val="666666"/>
          <w:sz w:val="18"/>
        </w:rPr>
        <w:t>Zhou H et al.  ·  Medicine (Baltimore)  ·  04.09.2026  ·  PMID 42700084</w:t>
      </w:r>
    </w:p>
    <w:p>
      <w:r>
        <w:t>US-NHANES-Kohortenstudie mit 5582 CKD-Patienten (1999-2018) untersuchte, ob das weight-adjusted waist index (WWI) mit Gesamt- und kardiovaskulärer Mortalität assoziiert ist.</w:t>
      </w:r>
    </w:p>
    <w:p>
      <w:r>
        <w:rPr>
          <w:b/>
        </w:rPr>
        <w:t xml:space="preserve">Ergebnis: </w:t>
      </w:r>
      <w:r>
        <w:t>Erhöhtes WWI assoziiert mit höherem Gesamtmortalitätsrisiko (aHR 1,17, 95% CI 1,09-1,26, p&lt;0,001) und kardiovaskulärem Mortalitätsrisiko (aHR 1,24, 95% CI 1,09-1,41, p=0,001). Lineare positive Beziehung zu beiden Outcomes. Neutrophilen-Lymphozyten-Verhältnis vermittelte 6,66% des Effekts auf Gesamtmortalität.</w:t>
      </w:r>
    </w:p>
    <w:p>
      <w:r>
        <w:rPr>
          <w:b/>
          <w:sz w:val="19"/>
        </w:rPr>
        <w:t xml:space="preserve">Übertragbarkeit: </w:t>
      </w:r>
      <w:r>
        <w:rPr>
          <w:sz w:val="19"/>
        </w:rPr>
        <w:t>USA-Daten, aber zentrale Adipositas als Risikofaktor in allen Systemen relevant</w:t>
      </w:r>
    </w:p>
    <w:p>
      <w:r>
        <w:rPr>
          <w:color w:val="5A7D3A"/>
          <w:sz w:val="18"/>
        </w:rPr>
        <w:t>https://pubmed.ncbi.nlm.nih.gov/42700084/</w:t>
      </w:r>
    </w:p>
    <w:p>
      <w:pPr>
        <w:pStyle w:val="Heading2"/>
      </w:pPr>
      <w:r>
        <w:t>Minimalausstattungs-Zirkeltraining erreicht 72% trainings-wirksamer Intensität bei Atemwegserkrankungen</w:t>
      </w:r>
    </w:p>
    <w:p>
      <w:r>
        <w:rPr>
          <w:i/>
          <w:color w:val="666666"/>
          <w:sz w:val="18"/>
        </w:rPr>
        <w:t>Mellerick CR et al.  ·  Chron Respir Dis  ·  04.09.2026  ·  PMID 42696318</w:t>
      </w:r>
    </w:p>
    <w:p>
      <w:r>
        <w:t>Australische Studie mit 18 Patienten mit chronischen Atemwegserkrankungen evaluierte, ob Zirkeltraining ohne großes Equipment erforderliche Trainingsintensität (≥60% VO2peak) erreicht.</w:t>
      </w:r>
    </w:p>
    <w:p>
      <w:r>
        <w:rPr>
          <w:b/>
        </w:rPr>
        <w:t xml:space="preserve">Ergebnis: </w:t>
      </w:r>
      <w:r>
        <w:t>Durchschnittlich 72% (21%) der Sitzung erreichte ≥60% VO2peak; 40 [32-47] Minuten über diesem Schwellwert. 83% (15/18) erreichten Zielintensität für ≥30 Minuten. Teilnehmer berichteten hohe Bewertungen für Vertrauen, Komfort und Vergnügen.</w:t>
      </w:r>
    </w:p>
    <w:p>
      <w:r>
        <w:rPr>
          <w:b/>
          <w:sz w:val="19"/>
        </w:rPr>
        <w:t xml:space="preserve">Übertragbarkeit: </w:t>
      </w:r>
      <w:r>
        <w:rPr>
          <w:sz w:val="19"/>
        </w:rPr>
        <w:t>Australien, vergleichbare Rehabilitationsstruktur, aber Übertragbarkeit auf DMP-System zu prüfen</w:t>
      </w:r>
    </w:p>
    <w:p>
      <w:r>
        <w:rPr>
          <w:color w:val="5A7D3A"/>
          <w:sz w:val="18"/>
        </w:rPr>
        <w:t>https://pubmed.ncbi.nlm.nih.gov/42696318/</w:t>
      </w:r>
    </w:p>
    <w:p>
      <w:pPr>
        <w:pStyle w:val="Heading2"/>
      </w:pPr>
      <w:r>
        <w:t>Soziale Isolation erhöht Sedentarität bei schwerem COPD um 1,5 Stunden täglich</w:t>
      </w:r>
    </w:p>
    <w:p>
      <w:r>
        <w:rPr>
          <w:i/>
          <w:color w:val="666666"/>
          <w:sz w:val="18"/>
        </w:rPr>
        <w:t>Harding S et al.  ·  COPD  ·  02.08.2026  ·  PMID 42695939</w:t>
      </w:r>
    </w:p>
    <w:p>
      <w:r>
        <w:t>UK-Biobank-Studie mit 1558 COPD-Patienten untersuchte, wie Deprivation und Isolation mit Bewegungsmangel assoziiert sind.</w:t>
      </w:r>
    </w:p>
    <w:p>
      <w:r>
        <w:rPr>
          <w:b/>
        </w:rPr>
        <w:t xml:space="preserve">Ergebnis: </w:t>
      </w:r>
      <w:r>
        <w:t>Sedentarität stieg mit Schweregrad (GOLD 4 vs. GOLD 1: +19% pro Tag). Soziale Isolation führte zu zusätzlich 1,5 h Sedentarität täglich in schwererem COPD (GOLD 3-4, p=0,004). Deprivation wirkte stärker bei milder Erkrankung.</w:t>
      </w:r>
    </w:p>
    <w:p>
      <w:r>
        <w:rPr>
          <w:b/>
          <w:sz w:val="19"/>
        </w:rPr>
        <w:t xml:space="preserve">Übertragbarkeit: </w:t>
      </w:r>
      <w:r>
        <w:rPr>
          <w:sz w:val="19"/>
        </w:rPr>
        <w:t>Großbritannien, vergleichbares Versicherungssystem und epidemiologische Datenqualität</w:t>
      </w:r>
    </w:p>
    <w:p>
      <w:r>
        <w:rPr>
          <w:color w:val="5A7D3A"/>
          <w:sz w:val="18"/>
        </w:rPr>
        <w:t>https://pubmed.ncbi.nlm.nih.gov/42695939/</w:t>
      </w:r>
    </w:p>
    <w:p>
      <w:pPr>
        <w:pStyle w:val="Heading2"/>
      </w:pPr>
      <w:r>
        <w:t>Chronische Nierenschädigung bei 42% der Kinder nach Ifosfamid-Chemotherapie</w:t>
      </w:r>
    </w:p>
    <w:p>
      <w:r>
        <w:rPr>
          <w:i/>
          <w:color w:val="666666"/>
          <w:sz w:val="18"/>
        </w:rPr>
        <w:t>Pitlo L et al.  ·  Cancer Med  ·  Sept. 2026  ·  PMID 42670233</w:t>
      </w:r>
    </w:p>
    <w:p>
      <w:r>
        <w:t>Niederländische Kohorte von 292 Kindern untersuchte Häufigkeit und Determinanten chronischer Nierenerkrankung in den ersten 5 Jahren nach Ifosfamid-Chemotherapie.</w:t>
      </w:r>
    </w:p>
    <w:p>
      <w:r>
        <w:rPr>
          <w:b/>
        </w:rPr>
        <w:t xml:space="preserve">Ergebnis: </w:t>
      </w:r>
      <w:r>
        <w:t>Prävalenz chronischer Nierenschädigung: 42,1% (123/292 Patienten); 29 Patienten mit Risiko für Nierenversagen (eGFR &lt;60). Risikofaktoren: Ifosfamid-Dosis 30-59,9 g/m² (HR 1,95) oder &gt;60 g/m² (HR 4,09), Alter bei Diagnose (HR 1,12 pro Jahr), ≥2 akute Nierenversagen während Therapie (HR 3,81).</w:t>
      </w:r>
    </w:p>
    <w:p>
      <w:r>
        <w:rPr>
          <w:b/>
          <w:sz w:val="19"/>
        </w:rPr>
        <w:t xml:space="preserve">Übertragbarkeit: </w:t>
      </w:r>
      <w:r>
        <w:rPr>
          <w:sz w:val="19"/>
        </w:rPr>
        <w:t>Niederlande, vergleichbares Gesundheitssystem und Dokumentationsstandards</w:t>
      </w:r>
    </w:p>
    <w:p>
      <w:r>
        <w:rPr>
          <w:color w:val="5A7D3A"/>
          <w:sz w:val="18"/>
        </w:rPr>
        <w:t>https://pubmed.ncbi.nlm.nih.gov/42670233/</w:t>
      </w:r>
    </w:p>
    <w:p>
      <w:pPr>
        <w:pStyle w:val="Heading1"/>
      </w:pPr>
      <w:r>
        <w:t>Aufgenommen am 06.09.2026</w:t>
      </w:r>
    </w:p>
    <w:p>
      <w:pPr>
        <w:pStyle w:val="Heading2"/>
      </w:pPr>
      <w:r>
        <w:t>Probiotikum Lactobacillus plantarum stabilisiert Nierenfunktion bei CKD Stadium 3-4</w:t>
      </w:r>
    </w:p>
    <w:p>
      <w:r>
        <w:rPr>
          <w:i/>
          <w:color w:val="666666"/>
          <w:sz w:val="18"/>
        </w:rPr>
        <w:t>Saleh SE et al.  ·  Sci Rep  ·  04.09.2026  ·  PMID 42697907</w:t>
      </w:r>
    </w:p>
    <w:p>
      <w:r>
        <w:t>Doppelblinde, randomisierte, placebokontrollierte Studie an 72 Patienten mit CKD Stadium 3-4 (keine Hämodialyse) über 6 Monate: Lactobacillus plantarum 10¹⁰ CFU täglich versus Placebo, primärer Endpunkt Änderung der eGFR.</w:t>
      </w:r>
    </w:p>
    <w:p>
      <w:r>
        <w:rPr>
          <w:b/>
        </w:rPr>
        <w:t xml:space="preserve">Ergebnis: </w:t>
      </w:r>
      <w:r>
        <w:t>Probiotika-Gruppe zeigte signifikanten eGFR-Anstieg, Placebo-Gruppe Rückgang; 0 Probiotika-Patienten versus 8,6% Placebo zeigten CKD-Progression. Effekt war unabhängig von Diabetesstatus und CKD-Stadium. Kein signifikanter Unterschied in Indoxyl-Sulfat-Spiegeln zwischen den Gruppen.</w:t>
      </w:r>
    </w:p>
    <w:p>
      <w:r>
        <w:rPr>
          <w:b/>
          <w:sz w:val="19"/>
        </w:rPr>
        <w:t xml:space="preserve">Übertragbarkeit: </w:t>
      </w:r>
      <w:r>
        <w:rPr>
          <w:sz w:val="19"/>
        </w:rPr>
        <w:t>Ägyptisches Zentrum, Mechanismus unabhängig von Region, weitere Validierung nötig</w:t>
      </w:r>
    </w:p>
    <w:p>
      <w:r>
        <w:rPr>
          <w:color w:val="5A7D3A"/>
          <w:sz w:val="18"/>
        </w:rPr>
        <w:t>https://pubmed.ncbi.nlm.nih.gov/42697907/</w:t>
      </w:r>
    </w:p>
    <w:p>
      <w:pPr>
        <w:pStyle w:val="Heading2"/>
      </w:pPr>
      <w:r>
        <w:t>Antikoagulation bei Vorhofflimmern mit CKD Stadium 4-5: Apixaban senkt Schlaganfälle</w:t>
      </w:r>
    </w:p>
    <w:p>
      <w:r>
        <w:rPr>
          <w:i/>
          <w:color w:val="666666"/>
          <w:sz w:val="18"/>
        </w:rPr>
        <w:t>Chen Q et al.  ·  JAMA Netw Open  ·  01.09.2026  ·  PMID 42696280</w:t>
      </w:r>
    </w:p>
    <w:p>
      <w:r>
        <w:t>Retrospektive Kohortenstudie mit Zieltriallemulation an 42.052 Medicare- und Optum-Versicherten mit Vorhofflimmern und CKD Stadium 4-5 ohne Dialyse (Jan 2013–Feb 2025), Vergleich von Apixaban, Warfarin und Keine Antikoagulation.</w:t>
      </w:r>
    </w:p>
    <w:p>
      <w:r>
        <w:rPr>
          <w:b/>
        </w:rPr>
        <w:t xml:space="preserve">Ergebnis: </w:t>
      </w:r>
      <w:r>
        <w:t>Apixaban reduzierte Schlaganfallrate im Vergleich zu Kein-Antikoagulation (HR 0,46; 95%-KI 0,32–0,66), erhöhte aber Blutungsrate (HR 1,32; 95%-KI 1,11–1,58). Warfarin hatte höhere Blutungs- und Kompositrisiken. Apixaban versus Warfarin: HR 0,55 für schwere Blutungen (KI 0,46–0,65), HR 0,50 für Schlaganfall (KI 0,33–0,78).</w:t>
      </w:r>
    </w:p>
    <w:p>
      <w:r>
        <w:rPr>
          <w:b/>
          <w:sz w:val="19"/>
        </w:rPr>
        <w:t xml:space="preserve">Übertragbarkeit: </w:t>
      </w:r>
      <w:r>
        <w:rPr>
          <w:sz w:val="19"/>
        </w:rPr>
        <w:t>USA-Versichertendaten, Wirkmechanismus unabhängig von Gesundheitssystem übertragbar</w:t>
      </w:r>
    </w:p>
    <w:p>
      <w:r>
        <w:rPr>
          <w:color w:val="5A7D3A"/>
          <w:sz w:val="18"/>
        </w:rPr>
        <w:t>https://pubmed.ncbi.nlm.nih.gov/42696280/</w:t>
      </w:r>
    </w:p>
    <w:p>
      <w:pPr>
        <w:pStyle w:val="Heading2"/>
      </w:pPr>
      <w:r>
        <w:t>Nierenfunktion und Urämietoxine korrelieren mit kognitiven Defiziten bei CKD</w:t>
      </w:r>
    </w:p>
    <w:p>
      <w:r>
        <w:rPr>
          <w:i/>
          <w:color w:val="666666"/>
          <w:sz w:val="18"/>
        </w:rPr>
        <w:t>Cheng TW et al.  ·  Int J Med Sci  ·  30.07.2026  ·  PMID 42694884</w:t>
      </w:r>
    </w:p>
    <w:p>
      <w:r>
        <w:t>Pilot-Beobachtungsstudie an 12 Patienten mit CKD Stadium 3-5 und früher kognitiver Einschränkung: Messung von Serumindoxyl-Sulfat, Serum-p-Kresyl-Sulfat, Brain-MRI und kognitiver Funktion per CANTAB.</w:t>
      </w:r>
    </w:p>
    <w:p>
      <w:r>
        <w:rPr>
          <w:b/>
        </w:rPr>
        <w:t xml:space="preserve">Ergebnis: </w:t>
      </w:r>
      <w:r>
        <w:t>Höhere eGFR korrelierte mit besserer räumlicher Arbeitsgedächtnisleistung (r = 0,695, p = 0,012). Indoxyl-Sulfat und p-Kresyl-Sulfat zeigten inverse Korrelation mit eGFR (r = -0,301 bis -0,461), aber keine klare Assoziation mit kognitiven Testergebnissen. MRI-Läsionenlast war gering, strukturelle Abnormitäten aber vorhanden.</w:t>
      </w:r>
    </w:p>
    <w:p>
      <w:r>
        <w:rPr>
          <w:b/>
          <w:sz w:val="19"/>
        </w:rPr>
        <w:t xml:space="preserve">Übertragbarkeit: </w:t>
      </w:r>
      <w:r>
        <w:rPr>
          <w:sz w:val="19"/>
        </w:rPr>
        <w:t>Taiwan, kleine Pilotstichprobe, Konzept der Mehrfacherkrankung mit kognitiven Folgen zentral</w:t>
      </w:r>
    </w:p>
    <w:p>
      <w:r>
        <w:rPr>
          <w:color w:val="5A7D3A"/>
          <w:sz w:val="18"/>
        </w:rPr>
        <w:t>https://pubmed.ncbi.nlm.nih.gov/42694884/</w:t>
      </w:r>
    </w:p>
    <w:p>
      <w:pPr>
        <w:pStyle w:val="Heading2"/>
      </w:pPr>
      <w:r>
        <w:t>Behandlungslast verschlechtert Gesundheit bei Mehrfacherkrankung: Stressanpassung hilft</w:t>
      </w:r>
    </w:p>
    <w:p>
      <w:r>
        <w:rPr>
          <w:i/>
          <w:color w:val="666666"/>
          <w:sz w:val="18"/>
        </w:rPr>
        <w:t>Shi Y et al.  ·  Front Public Health  ·  20.08.2026  ·  PMID 42694161</w:t>
      </w:r>
    </w:p>
    <w:p>
      <w:r>
        <w:t>Querschnittsuntersuchung mit Mediationsanalyse an 507 älteren Patienten mit komplexer Mehrfacherkrankung in Zhejiang, China; Beziehung zwischen Behandlungslast und ganzheitlichem Gesundheitsstatus.</w:t>
      </w:r>
    </w:p>
    <w:p>
      <w:r>
        <w:rPr>
          <w:b/>
        </w:rPr>
        <w:t xml:space="preserve">Ergebnis: </w:t>
      </w:r>
      <w:r>
        <w:t>Behandlungslast hatte direkten negativen Effekt auf Gesundheitsstatus (B = -0,263; 95%-KI -0,357 bis -0,168), Gesamteffekt -0,449 (KI -0,538 bis -0,360). Depressive Symptome und Stressanpassungskapazität mediierten diesen Effekt partiell (jeweils ca. 10% indirekte Effekte).</w:t>
      </w:r>
    </w:p>
    <w:p>
      <w:r>
        <w:rPr>
          <w:b/>
          <w:sz w:val="19"/>
        </w:rPr>
        <w:t xml:space="preserve">Übertragbarkeit: </w:t>
      </w:r>
      <w:r>
        <w:rPr>
          <w:sz w:val="19"/>
        </w:rPr>
        <w:t>China, aber Konzept der Behandlungslast international anerkannt, Intervention skalierbar</w:t>
      </w:r>
    </w:p>
    <w:p>
      <w:r>
        <w:rPr>
          <w:color w:val="5A7D3A"/>
          <w:sz w:val="18"/>
        </w:rPr>
        <w:t>https://pubmed.ncbi.nlm.nih.gov/42694161/</w:t>
      </w:r>
    </w:p>
    <w:p>
      <w:pPr>
        <w:pStyle w:val="Heading2"/>
      </w:pPr>
      <w:r>
        <w:t>Nephrologen unterschätzen Symptombelastung bei CKD – Patientensicht zählt</w:t>
      </w:r>
    </w:p>
    <w:p>
      <w:r>
        <w:rPr>
          <w:i/>
          <w:color w:val="666666"/>
          <w:sz w:val="18"/>
        </w:rPr>
        <w:t>Jessen B et al.  ·  Inn Med (Heidelb)  ·  22.07.2026  ·  PMID 42484874</w:t>
      </w:r>
    </w:p>
    <w:p>
      <w:r>
        <w:t>Deutschlandweite Online-Befragung: 108 Nephrologen bewerteten durchschnittliche Symptombelastung bei CKD (Chronic Kidney Disease Symptom Burden Index, CKD-SBI), Vergleich mit Selbstangaben von 222 CKD-Patienten ohne Dialysepflicht.</w:t>
      </w:r>
    </w:p>
    <w:p>
      <w:r>
        <w:rPr>
          <w:b/>
        </w:rPr>
        <w:t xml:space="preserve">Ergebnis: </w:t>
      </w:r>
      <w:r>
        <w:t>Nephrologen nannten Fatigue (69,4%), Ödeme (38,9%), Hypertonie (35,2%) als häufigste; Patienten nannten Nykturie (74,3%), Fatigue (61,3%), Schlafstörungen (47,3%). Nephrologen überschätzten Gesamtbelastung und fünf Einzelsymptome signifikant, unterschätzten Belastung von 12 Symptomen.</w:t>
      </w:r>
    </w:p>
    <w:p>
      <w:r>
        <w:rPr>
          <w:b/>
          <w:sz w:val="19"/>
        </w:rPr>
        <w:t xml:space="preserve">Übertragbarkeit: </w:t>
      </w:r>
      <w:r>
        <w:rPr>
          <w:sz w:val="19"/>
        </w:rPr>
        <w:t>Deutschland, deutschsprachig, direkte Übertragbarkeit auf Praxis und Kliniken</w:t>
      </w:r>
    </w:p>
    <w:p>
      <w:r>
        <w:rPr>
          <w:color w:val="5A7D3A"/>
          <w:sz w:val="18"/>
        </w:rPr>
        <w:t>https://pubmed.ncbi.nlm.nih.gov/42484874/</w:t>
      </w:r>
    </w:p>
    <w:p>
      <w:pPr>
        <w:pStyle w:val="Heading2"/>
      </w:pPr>
      <w:r>
        <w:t>Wrist-Wearable Sensors erkennen COPD-Risiko früh durch digitale Gangmuster</w:t>
      </w:r>
    </w:p>
    <w:p>
      <w:r>
        <w:rPr>
          <w:i/>
          <w:color w:val="666666"/>
          <w:sz w:val="18"/>
        </w:rPr>
        <w:t>Fernandez N et al.  ·  Int J Chron Obstruct Pulmon Dis  ·  17.07.2026  ·  PMID 42482839</w:t>
      </w:r>
    </w:p>
    <w:p>
      <w:r>
        <w:t>Prospektive Kohortenstudie an 28.251 UK-Biobank-Teilnehmern (60-78 Jahre) mit Beschleunigungsmessern zur Prüfung, ob reale Mobilitätsmuster Hinweis auf künftiges COPD-Auftreten geben.</w:t>
      </w:r>
    </w:p>
    <w:p>
      <w:r>
        <w:rPr>
          <w:b/>
        </w:rPr>
        <w:t xml:space="preserve">Ergebnis: </w:t>
      </w:r>
      <w:r>
        <w:t>Bei 639 Teilnehmern (2,26%) trat COPD während des Beobachtungszeitraums von durchschnittlich 8,5 Jahren auf. Vier digitale Ganzbiomarker (niedrigere Laufdauer, langsamere maximale Gehgeschwindigkeit, kürzere Gehpausen, geringerer Anteil von Gängen länger als 8 Sekunden) waren unabhängig mit künftiger COPD assoziiert; ein Modell mit diesen vier Biomarkern plus Selbstangaben erreichte einen Konkordanzindex von 0,80 und ist damit vergleichbar mit klinischen Tests.</w:t>
      </w:r>
    </w:p>
    <w:p>
      <w:r>
        <w:rPr>
          <w:b/>
          <w:sz w:val="19"/>
        </w:rPr>
        <w:t xml:space="preserve">Übertragbarkeit: </w:t>
      </w:r>
      <w:r>
        <w:rPr>
          <w:sz w:val="19"/>
        </w:rPr>
        <w:t>UK-Biobank-Daten, digitale Biometrie auf Smartwatches übertragbar</w:t>
      </w:r>
    </w:p>
    <w:p>
      <w:r>
        <w:rPr>
          <w:color w:val="5A7D3A"/>
          <w:sz w:val="18"/>
        </w:rPr>
        <w:t>https://pubmed.ncbi.nlm.nih.gov/42482839/</w:t>
      </w:r>
    </w:p>
    <w:p>
      <w:pPr>
        <w:pStyle w:val="Heading1"/>
      </w:pPr>
      <w:r>
        <w:t>Aufgenommen am 05.09.2026</w:t>
      </w:r>
    </w:p>
    <w:p>
      <w:pPr>
        <w:pStyle w:val="Heading2"/>
      </w:pPr>
      <w:r>
        <w:t>Regionale Benachteiligung (nicht Einzelindividuum) prägte Leberfibrose bei HBV-Infektion</w:t>
      </w:r>
    </w:p>
    <w:p>
      <w:r>
        <w:rPr>
          <w:i/>
          <w:color w:val="666666"/>
          <w:sz w:val="18"/>
        </w:rPr>
        <w:t>Çiçek Y et al.  ·  Infect Dis Poverty  ·  03.09.2026  ·  PMID 42693478</w:t>
      </w:r>
    </w:p>
    <w:p>
      <w:r>
        <w:t>Nationale türkische Multicenterstudie (24 Zentren, n=956) zu Assoziation von Sozioökonomie (Individual- und Gebietsebene) mit Leberfibrosegrad bei CHB.</w:t>
      </w:r>
    </w:p>
    <w:p>
      <w:r>
        <w:rPr>
          <w:b/>
        </w:rPr>
        <w:t xml:space="preserve">Ergebnis: </w:t>
      </w:r>
      <w:r>
        <w:t>Leberfibrosegrad assoziiert mit älterem Alter (aOR 1,12 pro 10 Jahre), längerer Anfahrtszeit zu CHB-Fachzentrum (aOR 1,53 pro Kategorie, p&lt;0,001), aber vor allem mit niedriger Wohngebiets-Sozioökonomie (aOR 1,97 pro Stufe, p&lt;0,001); Vergleich höchste vs. niedrigste Stufe: aOR 26,00 (95%-KI 8,21–82,37).</w:t>
      </w:r>
    </w:p>
    <w:p>
      <w:r>
        <w:rPr>
          <w:b/>
          <w:sz w:val="19"/>
        </w:rPr>
        <w:t xml:space="preserve">Übertragbarkeit: </w:t>
      </w:r>
      <w:r>
        <w:rPr>
          <w:sz w:val="19"/>
        </w:rPr>
        <w:t>Türkei (vergleichbares Gesundheitswesen); regionale Ungleichheit oft unterschätzt, Koordinationszugang zentral für Prognose.</w:t>
      </w:r>
    </w:p>
    <w:p>
      <w:r>
        <w:rPr>
          <w:color w:val="5A7D3A"/>
          <w:sz w:val="18"/>
        </w:rPr>
        <w:t>https://pubmed.ncbi.nlm.nih.gov/42693478/</w:t>
      </w:r>
    </w:p>
    <w:p>
      <w:pPr>
        <w:pStyle w:val="Heading2"/>
      </w:pPr>
      <w:r>
        <w:t>Extracorporeal CO₂-Elimination verkürzte Beatmungsdauer bei schwerem COPD-Exazerbation</w:t>
      </w:r>
    </w:p>
    <w:p>
      <w:r>
        <w:rPr>
          <w:i/>
          <w:color w:val="666666"/>
          <w:sz w:val="18"/>
        </w:rPr>
        <w:t>Karagiannidis C et al.  ·  Crit Care  ·  03.09.2026  ·  PMID 42693471</w:t>
      </w:r>
    </w:p>
    <w:p>
      <w:r>
        <w:t>Randomisierte Studie zu ECCO₂R-gestützter Früh-Extubation vs. Standard-Beatmung bei invasiv beatmeten COPD-Patienten mit hypercapnischer Ateminsuffizienz.</w:t>
      </w:r>
    </w:p>
    <w:p>
      <w:r>
        <w:rPr>
          <w:b/>
        </w:rPr>
        <w:t xml:space="preserve">Ergebnis: </w:t>
      </w:r>
      <w:r>
        <w:t>ECCO₂R-Gruppe: Beatmungsdauer 7,1±2,0 Tage vs. Kontrolle 24,3±21,4 Tage (p=0,043); 0/8 vs. 3/9 (33 %) mit Tod/schwerer Behinderung; ventilatorassoziierte Pneumonie 0 vs. 37,5 %. Studie vorzeitig beendet (n=18, geplant 192), aber konsistente Trends für ECCO₂R.</w:t>
      </w:r>
    </w:p>
    <w:p>
      <w:r>
        <w:rPr>
          <w:b/>
          <w:sz w:val="19"/>
        </w:rPr>
        <w:t xml:space="preserve">Übertragbarkeit: </w:t>
      </w:r>
      <w:r>
        <w:rPr>
          <w:sz w:val="19"/>
        </w:rPr>
        <w:t>Deutschland: Spezialisierte Zentren, technische Verfügbarkeit und Kostenübernahme prüfen.</w:t>
      </w:r>
    </w:p>
    <w:p>
      <w:r>
        <w:rPr>
          <w:color w:val="5A7D3A"/>
          <w:sz w:val="18"/>
        </w:rPr>
        <w:t>https://pubmed.ncbi.nlm.nih.gov/42693471/</w:t>
      </w:r>
    </w:p>
    <w:p>
      <w:pPr>
        <w:pStyle w:val="Heading2"/>
      </w:pPr>
      <w:r>
        <w:t>Metabolisches Syndrom-Scoring sagte Mehrfacherkrankung voraus: 1,35-fache Risikoerhöhung</w:t>
      </w:r>
    </w:p>
    <w:p>
      <w:r>
        <w:rPr>
          <w:i/>
          <w:color w:val="666666"/>
          <w:sz w:val="18"/>
        </w:rPr>
        <w:t>Zhang W et al.  ·  Sci Rep  ·  24.07.2026  ·  PMID 42693153</w:t>
      </w:r>
    </w:p>
    <w:p>
      <w:r>
        <w:t>Prospektive Analyse von 17.894 Teilnehmern (China, USA, UK) zur Vorhersage kardiometabolischer Mehrfacherkrankung durch kontinuierliches Metabolisches-Syndrom-Score.</w:t>
      </w:r>
    </w:p>
    <w:p>
      <w:r>
        <w:rPr>
          <w:b/>
        </w:rPr>
        <w:t xml:space="preserve">Ergebnis: </w:t>
      </w:r>
      <w:r>
        <w:t>Über Medianfolgeup 4–7 Jahre: 1.061 Fälle kardiometabolischer Mehrfacherkrankung. Höchstes vs. niedriges Tertil des Score assoziiert mit HR 1,77–4,27 je nach Kohorte. Gepoolte HR pro 1-SD-Anstieg: 1,35 (95%-KI 1,17–1,56). Dosis-Wirkungs-Beziehung dosisabhängig oder linear.</w:t>
      </w:r>
    </w:p>
    <w:p>
      <w:r>
        <w:rPr>
          <w:b/>
          <w:sz w:val="19"/>
        </w:rPr>
        <w:t xml:space="preserve">Übertragbarkeit: </w:t>
      </w:r>
      <w:r>
        <w:rPr>
          <w:sz w:val="19"/>
        </w:rPr>
        <w:t>China, USA, UK; Risikostratifizierungsmodell universal anwendbar, aber externe Validierung ausstehend.</w:t>
      </w:r>
    </w:p>
    <w:p>
      <w:r>
        <w:rPr>
          <w:color w:val="5A7D3A"/>
          <w:sz w:val="18"/>
        </w:rPr>
        <w:t>https://pubmed.ncbi.nlm.nih.gov/42693153/</w:t>
      </w:r>
    </w:p>
    <w:p>
      <w:pPr>
        <w:pStyle w:val="Heading2"/>
      </w:pPr>
      <w:r>
        <w:t>ESA- und Eisenmanagement erforderte 1.093 Monats-Arbeitsstunden in französischen Dialysezentren</w:t>
      </w:r>
    </w:p>
    <w:p>
      <w:r>
        <w:rPr>
          <w:i/>
          <w:color w:val="666666"/>
          <w:sz w:val="18"/>
        </w:rPr>
        <w:t>El-Haik Y et al.  ·  Nephrol Ther  ·  01.08.2026  ·  PMID 42684151</w:t>
      </w:r>
    </w:p>
    <w:p>
      <w:r>
        <w:t>Organisatorische Belastungsanalyse von Erythropoese-Stimulatoren und intravenösem Eisen in 12 französischen Dialyseeinrichtungen.</w:t>
      </w:r>
    </w:p>
    <w:p>
      <w:r>
        <w:rPr>
          <w:b/>
        </w:rPr>
        <w:t xml:space="preserve">Ergebnis: </w:t>
      </w:r>
      <w:r>
        <w:t>ESA-Management 313,9 h/Monat pro Zentrum (davon 285,3 h Vorbereitung/Verabreichung/Monitoring); IV-Eisen-Management 779,3 h/Monat (664 h Verabreichung/Monitoring). 74,2 % der Kühllagerfläche für ESAs.</w:t>
      </w:r>
    </w:p>
    <w:p>
      <w:r>
        <w:rPr>
          <w:b/>
          <w:sz w:val="19"/>
        </w:rPr>
        <w:t xml:space="preserve">Übertragbarkeit: </w:t>
      </w:r>
      <w:r>
        <w:rPr>
          <w:sz w:val="19"/>
        </w:rPr>
        <w:t>Frankreich; direkte Übertragbarkeit auf deutsches Dialysesystem (DMP-ähnliche Strukturen, vergleichbare Dokumentation).</w:t>
      </w:r>
    </w:p>
    <w:p>
      <w:r>
        <w:rPr>
          <w:color w:val="5A7D3A"/>
          <w:sz w:val="18"/>
        </w:rPr>
        <w:t>https://pubmed.ncbi.nlm.nih.gov/42684151/</w:t>
      </w:r>
    </w:p>
    <w:p>
      <w:pPr>
        <w:pStyle w:val="Heading2"/>
      </w:pPr>
      <w:r>
        <w:t>Isoliert reduzierte Diffusionskapazität korrelierte mit Emphysem und Rauchen</w:t>
      </w:r>
    </w:p>
    <w:p>
      <w:r>
        <w:rPr>
          <w:i/>
          <w:color w:val="666666"/>
          <w:sz w:val="18"/>
        </w:rPr>
        <w:t>Hamrefors V et al.  ·  BMC Pulm Med  ·  31.08.2026  ·  PMID 42675482</w:t>
      </w:r>
    </w:p>
    <w:p>
      <w:r>
        <w:t>Große schwedische Querschnittsstudie (SCAPIS) zu Determinanten isoliert verminderter DLCO bei 24.261 Patienten mit normalen Spirometrieparametern.</w:t>
      </w:r>
    </w:p>
    <w:p>
      <w:r>
        <w:rPr>
          <w:b/>
        </w:rPr>
        <w:t xml:space="preserve">Ergebnis: </w:t>
      </w:r>
      <w:r>
        <w:t>DLCO unterhalb LLN (n=1.472; 6,1 %): unabhängig assoziiert mit Emphysem (OR 2,6), Lungenerkrankung außer Asthma/COPD (OR 1,8), Rauchen pro 10-Pack-Jahre (OR 1,6), interstitielle Lungenabnormitäten (OR 1,4), Belastungsbrust­schmerz (OR 1,6).</w:t>
      </w:r>
    </w:p>
    <w:p>
      <w:r>
        <w:rPr>
          <w:b/>
          <w:sz w:val="19"/>
        </w:rPr>
        <w:t xml:space="preserve">Übertragbarkeit: </w:t>
      </w:r>
      <w:r>
        <w:rPr>
          <w:sz w:val="19"/>
        </w:rPr>
        <w:t>Schweden; bevölkerungsbasiert, Screening-konzept übertragbar auf deutsches Präventiossystem.</w:t>
      </w:r>
    </w:p>
    <w:p>
      <w:r>
        <w:rPr>
          <w:color w:val="5A7D3A"/>
          <w:sz w:val="18"/>
        </w:rPr>
        <w:t>https://pubmed.ncbi.nlm.nih.gov/42675482/</w:t>
      </w:r>
    </w:p>
    <w:p>
      <w:pPr>
        <w:pStyle w:val="Heading2"/>
      </w:pPr>
      <w:r>
        <w:t>HBV-Genotyp-E-Infektionen: Resistenzmutationen unter Migration und schlechter Adhärenz</w:t>
      </w:r>
    </w:p>
    <w:p>
      <w:r>
        <w:rPr>
          <w:i/>
          <w:color w:val="666666"/>
          <w:sz w:val="18"/>
        </w:rPr>
        <w:t>Tiecco G et al.  ·  Infect Dis (Lond)  ·  03.08.2026  ·  PMID 42547309</w:t>
      </w:r>
    </w:p>
    <w:p>
      <w:r>
        <w:t>Retrospektive Fallserie (2015–2023) von 8 Patienten mit dokumentiertem HBV-Genotyp E und Resistenztest-Ergebnissen.</w:t>
      </w:r>
    </w:p>
    <w:p>
      <w:r>
        <w:rPr>
          <w:b/>
        </w:rPr>
        <w:t xml:space="preserve">Ergebnis: </w:t>
      </w:r>
      <w:r>
        <w:t>8 Patienten (62,5 % männlich, 87,5 % afrikanischer Herkunft); 75 % mit persistierender Virämie trotz Therapie; Lamivudin-Resistenz 12,5 %, Tenofovir-Resistenzmutationen 25 %, Immun-Escape-Mutationen 37,5 %; virologische Suppression nach Therapie­anpassung nur in 37,5 %.</w:t>
      </w:r>
    </w:p>
    <w:p>
      <w:r>
        <w:rPr>
          <w:b/>
          <w:sz w:val="19"/>
        </w:rPr>
        <w:t xml:space="preserve">Übertragbarkeit: </w:t>
      </w:r>
      <w:r>
        <w:rPr>
          <w:sz w:val="19"/>
        </w:rPr>
        <w:t>Italien (reales Patientenkollektiv); strukturelle Herausforderungen (Adhärenz, Migranten) in Deutschland ähnlich.</w:t>
      </w:r>
    </w:p>
    <w:p>
      <w:r>
        <w:rPr>
          <w:color w:val="5A7D3A"/>
          <w:sz w:val="18"/>
        </w:rPr>
        <w:t>https://pubmed.ncbi.nlm.nih.gov/42547309/</w:t>
      </w:r>
    </w:p>
    <w:p>
      <w:pPr>
        <w:pStyle w:val="Heading2"/>
      </w:pPr>
      <w:r>
        <w:t>HBV-assoziierte Stigmatisierung beeinträchtigte alle Lebensqualitäts-Domänen</w:t>
      </w:r>
    </w:p>
    <w:p>
      <w:r>
        <w:rPr>
          <w:i/>
          <w:color w:val="666666"/>
          <w:sz w:val="18"/>
        </w:rPr>
        <w:t>Smith V et al.  ·  J Viral Hepat  ·  Aug. 2026  ·  PMID 42499137</w:t>
      </w:r>
    </w:p>
    <w:p>
      <w:r>
        <w:t>Qualitative Studie (Concept-Elicitation-Interviews) mit 28 HBV-Patienten aus USA, China und Polen zur Erfahrung von Stigma.</w:t>
      </w:r>
    </w:p>
    <w:p>
      <w:r>
        <w:rPr>
          <w:b/>
        </w:rPr>
        <w:t xml:space="preserve">Ergebnis: </w:t>
      </w:r>
      <w:r>
        <w:t>Internalisiertes Stigma 100 %, soziales Stigma 79 %, institutionelles Stigma 57 %. Sieben Domänen identifiziert: soziale Funktion (100 %), emotionales Wohlbefinden (96 %), HBV-Transmission (96 %), körperliche Symptome, Arbeit, Beziehungen, Zugang zu Versorgung. Stigma stark mit Lebensqualitäts-Einschränkungen verwoben.</w:t>
      </w:r>
    </w:p>
    <w:p>
      <w:r>
        <w:rPr>
          <w:b/>
          <w:sz w:val="19"/>
        </w:rPr>
        <w:t xml:space="preserve">Übertragbarkeit: </w:t>
      </w:r>
      <w:r>
        <w:rPr>
          <w:sz w:val="19"/>
        </w:rPr>
        <w:t>Multinational (aber gering-Einkommens- und Mitteleinkommensländer überrepräsentiert); psychosoziale Versorgung in Deutschland unterbewertet.</w:t>
      </w:r>
    </w:p>
    <w:p>
      <w:r>
        <w:rPr>
          <w:color w:val="5A7D3A"/>
          <w:sz w:val="18"/>
        </w:rPr>
        <w:t>https://pubmed.ncbi.nlm.nih.gov/42499137/</w:t>
      </w:r>
    </w:p>
    <w:p>
      <w:pPr>
        <w:pStyle w:val="Heading1"/>
      </w:pPr>
      <w:r>
        <w:t>Aufgenommen am 04.09.2026</w:t>
      </w:r>
    </w:p>
    <w:p>
      <w:pPr>
        <w:pStyle w:val="Heading2"/>
      </w:pPr>
      <w:r>
        <w:t>Systemischer Immunentzündungs-Index sagte COPD-Wiederaufnahmen zu 90 Tagen voraus</w:t>
      </w:r>
    </w:p>
    <w:p>
      <w:r>
        <w:rPr>
          <w:i/>
          <w:color w:val="666666"/>
          <w:sz w:val="18"/>
        </w:rPr>
        <w:t>Chen Q et al.  ·  Int J Chron Obstruct Pulmon Dis  ·  28.08.2026  ·  PMID 42683431</w:t>
      </w:r>
    </w:p>
    <w:p>
      <w:r>
        <w:t>Chinesische Kohortenstudie mit 207 Patienten mit akuter COPD-Exazerbation zur prädiktiven Wertigkeit des systemischen Immunentzündungs-Index (SII) für ungeplante Wiederaufnahmen innerhalb von 90 Tagen.</w:t>
      </w:r>
    </w:p>
    <w:p>
      <w:r>
        <w:rPr>
          <w:b/>
        </w:rPr>
        <w:t xml:space="preserve">Ergebnis: </w:t>
      </w:r>
      <w:r>
        <w:t>37,7 % (78/207) erlebten Wiederaufnahmen; jede 500er-Steigerung des SII war mit erhöhtem Wiederaufnahmerisiko assoziiert (aOR 1,329, 95%-KI 1,153-1,530; p &lt; 0,001). Integriertes Modell mit SII erreichte AUC 0,809 (95%-KI 0,742-0,869) versus 0,752 für reines klinisches Modell. Nach Bootstrap-Validierung: optimismuskorrigiert 0,785; verbesserte Modellpassung (Likelihood-Ratio p &lt; 0,001).</w:t>
      </w:r>
    </w:p>
    <w:p>
      <w:r>
        <w:rPr>
          <w:b/>
          <w:sz w:val="19"/>
        </w:rPr>
        <w:t xml:space="preserve">Übertragbarkeit: </w:t>
      </w:r>
      <w:r>
        <w:rPr>
          <w:sz w:val="19"/>
        </w:rPr>
        <w:t>Chinesische Klinikdaten, Konzept übertragbar, externe Validierung erforderlich</w:t>
      </w:r>
    </w:p>
    <w:p>
      <w:r>
        <w:rPr>
          <w:color w:val="5A7D3A"/>
          <w:sz w:val="18"/>
        </w:rPr>
        <w:t>https://pubmed.ncbi.nlm.nih.gov/42683431/</w:t>
      </w:r>
    </w:p>
    <w:p>
      <w:pPr>
        <w:pStyle w:val="Heading2"/>
      </w:pPr>
      <w:r>
        <w:t>Schlechter Schlaf erhöhte Komplikationsrisiko bei chronischer Nierenkrankheit um 19-54 %</w:t>
      </w:r>
    </w:p>
    <w:p>
      <w:r>
        <w:rPr>
          <w:i/>
          <w:color w:val="666666"/>
          <w:sz w:val="18"/>
        </w:rPr>
        <w:t>Lei K et al.  ·  Front Public Health  ·  18.08.2026  ·  PMID 42682672</w:t>
      </w:r>
    </w:p>
    <w:p>
      <w:r>
        <w:t>Kohortenstudie mit 15.809 CKD-Patienten aus UK Biobank (2006-2010, Nachverfolgung bis 2022) zur Assoziation von multidimensionalen Schlafmustern mit Anämie, kardiovaskulären Ereignissen, kognitiven Beeinträchtigungen und Nebenschilddrüsenüberfunktion.</w:t>
      </w:r>
    </w:p>
    <w:p>
      <w:r>
        <w:rPr>
          <w:b/>
        </w:rPr>
        <w:t xml:space="preserve">Ergebnis: </w:t>
      </w:r>
      <w:r>
        <w:t>Schwere Insomnie mit kurzer oder langer Schlafdauer und schwer gestörter Schlaf waren mit 19-54 % höheren Risiken für Anämie, kardiovaskuläre Erkrankungen und Nebenschilddrüsenüberfunktion assoziiert (alle p &lt; 0,05). Höhere Schlafqualität war unabhängig mit reduzierten Risiken dieser Komplikationen verbunden. Schlafprofile zeigten Heterogenität in Assoziation mit Ergebnissen je nach Geschlecht und Nierenfunktion.</w:t>
      </w:r>
    </w:p>
    <w:p>
      <w:r>
        <w:rPr>
          <w:b/>
          <w:sz w:val="19"/>
        </w:rPr>
        <w:t xml:space="preserve">Übertragbarkeit: </w:t>
      </w:r>
      <w:r>
        <w:rPr>
          <w:sz w:val="19"/>
        </w:rPr>
        <w:t>UK-Biobank, vergleichbare europäische Systeme und Datenqualität</w:t>
      </w:r>
    </w:p>
    <w:p>
      <w:r>
        <w:rPr>
          <w:color w:val="5A7D3A"/>
          <w:sz w:val="18"/>
        </w:rPr>
        <w:t>https://pubmed.ncbi.nlm.nih.gov/42682672/</w:t>
      </w:r>
    </w:p>
    <w:p>
      <w:pPr>
        <w:pStyle w:val="Heading2"/>
      </w:pPr>
      <w:r>
        <w:t>Quantitative Hepatitis-B-Oberflächenantigen-Tests: nur 37,4 % spanischer Labore implementiert</w:t>
      </w:r>
    </w:p>
    <w:p>
      <w:r>
        <w:rPr>
          <w:i/>
          <w:color w:val="666666"/>
          <w:sz w:val="18"/>
        </w:rPr>
        <w:t>Chaves-Blanco L et al.  ·  Enferm Infecc Microbiol Clin (Engl Ed)  ·  Aug. 2026  ·  PMID 42542350</w:t>
      </w:r>
    </w:p>
    <w:p>
      <w:r>
        <w:t>Nationale spanische Querschnittsstudie von 91 klinisch-mikrobiologischen Laboren zur Implementierung und Praktiken von quantitativem HBsAg-Testing (qHBsAg) für das Chronic-Hepatitis-B-Management.</w:t>
      </w:r>
    </w:p>
    <w:p>
      <w:r>
        <w:rPr>
          <w:b/>
        </w:rPr>
        <w:t xml:space="preserve">Ergebnis: </w:t>
      </w:r>
      <w:r>
        <w:t>37,4 % (34/91) führten qHBsAg durch; 86 % der Nicht-Durchführer verwiesen Proben nicht wegen wahrgenommener geringer klinischer Nachfrage (57,1 %). Implementierung korrelierte mit Krankenhausgröße (p = 0,041): 0 % bei &lt;200 Betten, 23,3 % bei 200-500, 44,9 % bei 500-1000, 62,5 % bei ≥1000. Unter durchführenden Labs: 57,6 % quantifizierten nach positivem qualitativem Test, 27,3 % auf Anforderung, 15,2 % als initiales Screening. Heterogene Meldepraxis.</w:t>
      </w:r>
    </w:p>
    <w:p>
      <w:r>
        <w:rPr>
          <w:b/>
          <w:sz w:val="19"/>
        </w:rPr>
        <w:t xml:space="preserve">Übertragbarkeit: </w:t>
      </w:r>
      <w:r>
        <w:rPr>
          <w:sz w:val="19"/>
        </w:rPr>
        <w:t>Spanien, direkt auf Deutschland übertragbar für Implementierungs-Gaps</w:t>
      </w:r>
    </w:p>
    <w:p>
      <w:r>
        <w:rPr>
          <w:color w:val="5A7D3A"/>
          <w:sz w:val="18"/>
        </w:rPr>
        <w:t>https://pubmed.ncbi.nlm.nih.gov/42542350/</w:t>
      </w:r>
    </w:p>
    <w:p>
      <w:pPr>
        <w:pStyle w:val="Heading2"/>
      </w:pPr>
      <w:r>
        <w:t>Finerenone reduzierte Albuminurie bei Typ-2-Diabetes und CKD um 34,5 % in Routineversorgung</w:t>
      </w:r>
    </w:p>
    <w:p>
      <w:r>
        <w:rPr>
          <w:i/>
          <w:color w:val="666666"/>
          <w:sz w:val="18"/>
        </w:rPr>
        <w:t>Moreno-Pérez O et al.  ·  Diabetes Obes Metab  ·  30.07.2026  ·  PMID 42533276</w:t>
      </w:r>
    </w:p>
    <w:p>
      <w:r>
        <w:t>Spanische Multicenterstudie zur Effektivität und Sicherheit von Finerenon bei Patienten mit Typ-2-Diabetes und chronischer Nierenerkrankung in der Routineversorgung.</w:t>
      </w:r>
    </w:p>
    <w:p>
      <w:r>
        <w:rPr>
          <w:b/>
        </w:rPr>
        <w:t xml:space="preserve">Ergebnis: </w:t>
      </w:r>
      <w:r>
        <w:t>Bei 844 Patienten (Medianalter 72 Jahre, Median eGFR 49 mL/min/1,73 m²) reduzierte Finerenon die Albuminurie-zu-Kreatinin-Ratio (UACR) um Medianalter 34,5 % nach 6 Monaten (p &lt; 0,001), unabhängig von Hintergrundnephroprotektiva. 52,7 % erreichten die primäre Zielmarke von ≥30 % UACR-Reduktion; 89,5 % Persistenz der Therapie; Hyperkaliämie 4,8 %, Herz-Kreislauf-Ereignisse 1,1 %. Finerenon verbesserte albuminurische Marker auch bei intensiver Vormedikation.</w:t>
      </w:r>
    </w:p>
    <w:p>
      <w:r>
        <w:rPr>
          <w:b/>
          <w:sz w:val="19"/>
        </w:rPr>
        <w:t xml:space="preserve">Übertragbarkeit: </w:t>
      </w:r>
      <w:r>
        <w:rPr>
          <w:sz w:val="19"/>
        </w:rPr>
        <w:t>Spanische Routinedaten, vergleichbares Sozialversicherungssystem</w:t>
      </w:r>
    </w:p>
    <w:p>
      <w:r>
        <w:rPr>
          <w:color w:val="5A7D3A"/>
          <w:sz w:val="18"/>
        </w:rPr>
        <w:t>https://pubmed.ncbi.nlm.nih.gov/42533276/</w:t>
      </w:r>
    </w:p>
    <w:p>
      <w:pPr>
        <w:pStyle w:val="Heading2"/>
      </w:pPr>
      <w:r>
        <w:t>Integrierter Versorgungspfad bei Long COVID: alle Interventionen erzielten Fatigue-Reduktion</w:t>
      </w:r>
    </w:p>
    <w:p>
      <w:r>
        <w:rPr>
          <w:i/>
          <w:color w:val="666666"/>
          <w:sz w:val="18"/>
        </w:rPr>
        <w:t>STIMULATE-ICP Consortium  ·  Nat Med  ·  28.07.2026  ·  PMID 42521821</w:t>
      </w:r>
    </w:p>
    <w:p>
      <w:r>
        <w:t>Phase-3-Cluster-RCT mit 1.152 Teilnehmern aus 122 englischen Primary-Care-Netzwerken zum Effekt von Multi-Organ-MRI und/oder digitaler Rehabilitation im Rahmen strukturierter ICP-Interventionen auf Fatigue-Assessment-Scale nach 12 und 24 Wochen.</w:t>
      </w:r>
    </w:p>
    <w:p>
      <w:r>
        <w:rPr>
          <w:b/>
        </w:rPr>
        <w:t xml:space="preserve">Ergebnis: </w:t>
      </w:r>
      <w:r>
        <w:t>Fatigue-Assessment-Scale verbesserte sich in allen Armen um 4,5 Punkte von 35,8 auf 31,3 (nach 12 Wochen); zusätzliche Multi-Organ-MRI zeigte 0,18-Punkte-Vorteil (95%-KI -0,72 bis 1,09; p = 0,69), digitale Rehabilitation -0,53 Punkte (95%-KI -1,42 bis 0,36; p = 0,25). Multidisziplinäre holistische Versorgung allein war mit Verbesserungen verbunden. Keine schwerwiegenden unerwünschten Ereignisse.</w:t>
      </w:r>
    </w:p>
    <w:p>
      <w:r>
        <w:rPr>
          <w:b/>
          <w:sz w:val="19"/>
        </w:rPr>
        <w:t xml:space="preserve">Übertragbarkeit: </w:t>
      </w:r>
      <w:r>
        <w:rPr>
          <w:sz w:val="19"/>
        </w:rPr>
        <w:t>Englische NHS-Daten, vergleichbares Versicherungssystem und Zugangswege</w:t>
      </w:r>
    </w:p>
    <w:p>
      <w:r>
        <w:rPr>
          <w:color w:val="5A7D3A"/>
          <w:sz w:val="18"/>
        </w:rPr>
        <w:t>https://pubmed.ncbi.nlm.nih.gov/42521821/</w:t>
      </w:r>
    </w:p>
    <w:p>
      <w:pPr>
        <w:pStyle w:val="Heading1"/>
      </w:pPr>
      <w:r>
        <w:t>Aufgenommen am 03.09.2026</w:t>
      </w:r>
    </w:p>
    <w:p>
      <w:pPr>
        <w:pStyle w:val="Heading2"/>
      </w:pPr>
      <w:r>
        <w:t>Dysbiose und Obstipation bei Dialysepatienten: Mikrobiotargetierende Interventionen versprechen, aber evidenzlimitiert</w:t>
      </w:r>
    </w:p>
    <w:p>
      <w:r>
        <w:rPr>
          <w:i/>
          <w:color w:val="666666"/>
          <w:sz w:val="18"/>
        </w:rPr>
        <w:t>Shen Z et al.  ·  Front Cell Infect Microbiol  ·  18.08.2026  ·  PMID 42683184</w:t>
      </w:r>
    </w:p>
    <w:p>
      <w:r>
        <w:t>Narrativer Übersichtsartikel, der Veränderungen der Darmflora bei Patienten mit Nierenersatztherapie (ESRD) und Obstipation, ihre pathogenen Mechanismen und Therapieoptionen (Probiotika, Präbiotika, Ernährung) systematisch zusammenfasst.</w:t>
      </w:r>
    </w:p>
    <w:p>
      <w:r>
        <w:rPr>
          <w:b/>
        </w:rPr>
        <w:t xml:space="preserve">Ergebnis: </w:t>
      </w:r>
      <w:r>
        <w:t>Kernbefund: Dysbiose mit reduzierter kurzkettigen-Fettsäure-produzierenden Bakterien und erhöhten urease-positiven Spezies; bidirektionaler Mikrobiotagutkidney-Teufelskreis mit erhöhter intestinaler Permeabilität und Nierenschaden. Evidenz für Interventionen vorhanden, aber Sicherheitsaspekte und klinische Praktikabilität unklar.</w:t>
      </w:r>
    </w:p>
    <w:p>
      <w:r>
        <w:rPr>
          <w:b/>
          <w:sz w:val="19"/>
        </w:rPr>
        <w:t xml:space="preserve">Übertragbarkeit: </w:t>
      </w:r>
      <w:r>
        <w:rPr>
          <w:sz w:val="19"/>
        </w:rPr>
        <w:t>Pathophysiologie-Fokus, Interventionsevidenz zu fragmentarisch für direkte deutsche Implementierung</w:t>
      </w:r>
    </w:p>
    <w:p>
      <w:r>
        <w:rPr>
          <w:color w:val="5A7D3A"/>
          <w:sz w:val="18"/>
        </w:rPr>
        <w:t>https://pubmed.ncbi.nlm.nih.gov/42683184/</w:t>
      </w:r>
    </w:p>
    <w:p>
      <w:pPr>
        <w:pStyle w:val="Heading2"/>
      </w:pPr>
      <w:r>
        <w:t>Dapagliflozin und CKD-Progression: Effekt auf eGFR-Rückgang inkonsistent, aber Reduktion klinischer Nierenendpunkte</w:t>
      </w:r>
    </w:p>
    <w:p>
      <w:r>
        <w:rPr>
          <w:i/>
          <w:color w:val="666666"/>
          <w:sz w:val="18"/>
        </w:rPr>
        <w:t>Shadravan S et al.  ·  Iran J Kidney Dis  ·  31.07.2026  ·  PMID 42679368</w:t>
      </w:r>
    </w:p>
    <w:p>
      <w:r>
        <w:t>Systematische Übersicht von 15 Studien zur Wirkung von Dapagliflozin auf chronische Nierenerkrankung; 11 waren Sekundäranalysen der DAPA-CKD-Studie mit 4.304 Teilnehmern; nur vier unabhängige Studien nach Ausschluss von Doppeltgennung verfügbar.</w:t>
      </w:r>
    </w:p>
    <w:p>
      <w:r>
        <w:rPr>
          <w:b/>
        </w:rPr>
        <w:t xml:space="preserve">Ergebnis: </w:t>
      </w:r>
      <w:r>
        <w:t>eGFR-Effekte hochgradig heterogen (-6,6 bis +0,93 mL/min/1,73m²; I²=93,7 %); DAPA-CKD zeigte Reduktion ungünstiger klinischer renaler Ergebnisse. Heterogenität und begrenzte unabhängige Evidenz verhindern Metaanalyse; dapagliflozin erscheint nierenschützend und sicher für CKD.</w:t>
      </w:r>
    </w:p>
    <w:p>
      <w:r>
        <w:rPr>
          <w:b/>
          <w:sz w:val="19"/>
        </w:rPr>
        <w:t xml:space="preserve">Übertragbarkeit: </w:t>
      </w:r>
      <w:r>
        <w:rPr>
          <w:sz w:val="19"/>
        </w:rPr>
        <w:t>Internationale Evidenz, kardiorenales Konzept übertragbar; Datenstabilität limitiert</w:t>
      </w:r>
    </w:p>
    <w:p>
      <w:r>
        <w:rPr>
          <w:color w:val="5A7D3A"/>
          <w:sz w:val="18"/>
        </w:rPr>
        <w:t>https://pubmed.ncbi.nlm.nih.gov/42679368/</w:t>
      </w:r>
    </w:p>
    <w:p>
      <w:pPr>
        <w:pStyle w:val="Heading2"/>
      </w:pPr>
      <w:r>
        <w:t>COPD-Therapietreue: Nur 30–50 % erreichen optimale Adhärenz; COM-B-Modell identifiziert veränderbare Faktoren</w:t>
      </w:r>
    </w:p>
    <w:p>
      <w:r>
        <w:rPr>
          <w:i/>
          <w:color w:val="666666"/>
          <w:sz w:val="18"/>
        </w:rPr>
        <w:t>Zhang Y et al.  ·  Int J Chron Obstruct Pulmon Dis  ·  27.08.2026  ·  PMID 42677250</w:t>
      </w:r>
    </w:p>
    <w:p>
      <w:r>
        <w:t>Narrative Übersichtsarbeit, die Literatur zu Adhärenz-Messverfahren, Prävalenz (MPR ≥80 % bei nur 30–50 % der Patienten), Einflussfaktoren und Interventionsstrategien anhand des Capability-Opportunity-Motivation-Behaviour-Modells systematisiert.</w:t>
      </w:r>
    </w:p>
    <w:p>
      <w:r>
        <w:rPr>
          <w:b/>
        </w:rPr>
        <w:t xml:space="preserve">Ergebnis: </w:t>
      </w:r>
      <w:r>
        <w:t>Inhalationstechnikfehler 30–50 %, therapieverweigerung bei Depression/Angststörung ca. 20–25 % niedriger; Single-Inhaler-Triple-Therapie versus Multiple-Inhaler zeigte 18-Monats-Persistenz 16,5 % vs. 2,3 %. Höhere Adhärenz assoziiert mit 51 % Reduktion exazerbationsbedingter Hospitalisierung und Attenuation des FEV1-Rückgangs um ca. 21 mL/Jahr.</w:t>
      </w:r>
    </w:p>
    <w:p>
      <w:r>
        <w:rPr>
          <w:b/>
          <w:sz w:val="19"/>
        </w:rPr>
        <w:t xml:space="preserve">Übertragbarkeit: </w:t>
      </w:r>
      <w:r>
        <w:rPr>
          <w:sz w:val="19"/>
        </w:rPr>
        <w:t>Internationale Literatur, Adhärenz-Muster ähnlich wie Deutschland; länderspezifische Zahlen begrenzt</w:t>
      </w:r>
    </w:p>
    <w:p>
      <w:r>
        <w:rPr>
          <w:color w:val="5A7D3A"/>
          <w:sz w:val="18"/>
        </w:rPr>
        <w:t>https://pubmed.ncbi.nlm.nih.gov/42677250/</w:t>
      </w:r>
    </w:p>
    <w:p>
      <w:pPr>
        <w:pStyle w:val="Heading2"/>
      </w:pPr>
      <w:r>
        <w:t>COPD-Verhalten: Vier Phänotypen kombinieren Inhalationstechnik und Adhärenz; Wissenslücken zielbar</w:t>
      </w:r>
    </w:p>
    <w:p>
      <w:r>
        <w:rPr>
          <w:i/>
          <w:color w:val="666666"/>
          <w:sz w:val="18"/>
        </w:rPr>
        <w:t>Xiang J et al.  ·  Int J Chron Obstruct Pulmon Dis  ·  27.08.2026  ·  PMID 42677230</w:t>
      </w:r>
    </w:p>
    <w:p>
      <w:r>
        <w:t>Querschnittsstudie mit 700 COPD-Patienten in Peking 2025, die kombinierte Inhalationstechnik und Therapietreue zur Klassifizierung in vier Verhaltenphänotypen nutzten; Assoziationen mit Patientenmerkmalen berechnet.</w:t>
      </w:r>
    </w:p>
    <w:p>
      <w:r>
        <w:rPr>
          <w:b/>
        </w:rPr>
        <w:t xml:space="preserve">Ergebnis: </w:t>
      </w:r>
      <w:r>
        <w:t>Nur 25,3 % zeigten perfekte Inhalationstechnik, 59,0 % gute Adhärenz. Vier Phänotypen: Standard+Adhärent (20,7 %), Nicht-adhärent+Standard (4,6 %), Adhärent+Nicht-standard (38,3 %), Nicht-standard+Nicht-adhärent (36,4 %). Krankheitswissen stärkster Prädiktor: korrekte vs. fehlerhafte Technik OR 0,30–0,35 (p&lt;0,001). Krankheitsdauer assoziiert mit unterschiedlichen Adhärenzmustern.</w:t>
      </w:r>
    </w:p>
    <w:p>
      <w:r>
        <w:rPr>
          <w:b/>
          <w:sz w:val="19"/>
        </w:rPr>
        <w:t xml:space="preserve">Übertragbarkeit: </w:t>
      </w:r>
      <w:r>
        <w:rPr>
          <w:sz w:val="19"/>
        </w:rPr>
        <w:t>China, hoher Techniktransferpotential, Wissenslückenmodell auch für Deutschland prädiktiv</w:t>
      </w:r>
    </w:p>
    <w:p>
      <w:r>
        <w:rPr>
          <w:color w:val="5A7D3A"/>
          <w:sz w:val="18"/>
        </w:rPr>
        <w:t>https://pubmed.ncbi.nlm.nih.gov/42677230/</w:t>
      </w:r>
    </w:p>
    <w:p>
      <w:pPr>
        <w:pStyle w:val="Heading2"/>
      </w:pPr>
      <w:r>
        <w:t>Pädiatrische Notfallverstärkung bei komplexen Erkrankungen: Zentrale Konzentration in Seoul, Reisedistanz erhöht Mortalität</w:t>
      </w:r>
    </w:p>
    <w:p>
      <w:r>
        <w:rPr>
          <w:i/>
          <w:color w:val="666666"/>
          <w:sz w:val="18"/>
        </w:rPr>
        <w:t>Choi YY et al.  ·  J Korean Med Sci  ·  31.08.2026  ·  PMID 42676071</w:t>
      </w:r>
    </w:p>
    <w:p>
      <w:r>
        <w:t>Nationale Analyse südkoreanischer Notfallbesuche 2016–2022 (7,76 Millionen Fälle), davon 149.306 (1,9 %) mit komplexen chronischen Erkrankungen (CCCs); Reisedistanz und regionale Unterschiede in Versorgungsergebnissen untersucht.</w:t>
      </w:r>
    </w:p>
    <w:p>
      <w:r>
        <w:rPr>
          <w:b/>
        </w:rPr>
        <w:t xml:space="preserve">Ergebnis: </w:t>
      </w:r>
      <w:r>
        <w:t>CCC-Patienten: höhere Akuität (16,5 % vs. 3,1 %), längere Anfahrt (11,2 vs. 6,2 km), ICU-Admission 4,4 % vs. 0,3 %, ED-Todesfälle 0,2 % vs. 0,04 %. 47,9 % aller CCC-Fälle in Seoul; längere Reise unabhängig mit Mortalität assoziiert: OR 1,3 (15–59,9 km), 1,6 (60–99,9 km), 1,3 (≥100 km). Zentrale Konzentration (40,7 % in 5 Krankenhäusern) zeigt Gesamtfehler in Ressourcenallokation.</w:t>
      </w:r>
    </w:p>
    <w:p>
      <w:r>
        <w:rPr>
          <w:b/>
          <w:sz w:val="19"/>
        </w:rPr>
        <w:t xml:space="preserve">Übertragbarkeit: </w:t>
      </w:r>
      <w:r>
        <w:rPr>
          <w:sz w:val="19"/>
        </w:rPr>
        <w:t>Südkorea, Zentrailisierungsproblem relevant für deutsche Flächenländer; Mortalitäts-Distanz-Beziehung übertragbar</w:t>
      </w:r>
    </w:p>
    <w:p>
      <w:r>
        <w:rPr>
          <w:color w:val="5A7D3A"/>
          <w:sz w:val="18"/>
        </w:rPr>
        <w:t>https://pubmed.ncbi.nlm.nih.gov/42676071/</w:t>
      </w:r>
    </w:p>
    <w:p>
      <w:pPr>
        <w:pStyle w:val="Heading2"/>
      </w:pPr>
      <w:r>
        <w:t>Lebensbedrohliche Erkrankungen bei Kindern in Irland: Prävalenz 34,8–50,0 pro 10.000; Datendefizite erfordern sichere ID</w:t>
      </w:r>
    </w:p>
    <w:p>
      <w:r>
        <w:rPr>
          <w:i/>
          <w:color w:val="666666"/>
          <w:sz w:val="18"/>
        </w:rPr>
        <w:t>Smith S et al.  ·  BMC Pediatr  ·  28.07.2026  ·  PMID 42509542</w:t>
      </w:r>
    </w:p>
    <w:p>
      <w:r>
        <w:t>Querschnittsanalyse irischer Spitaldaten 2019 und 2024, um Prävalenz lebensbedrohlicher Zustände bei 0–19-Jährigen unter fehlender eindeutiger Patientenkennung zu schätzen; drei Schätzszenarien mit Sensitivitätsanalysen.</w:t>
      </w:r>
    </w:p>
    <w:p>
      <w:r>
        <w:rPr>
          <w:b/>
        </w:rPr>
        <w:t xml:space="preserve">Ergebnis: </w:t>
      </w:r>
      <w:r>
        <w:t>Baseline-Prävalenz 34,8–50,0 pro 10.000 (2019) und 32,3–44,5 pro 10.000 (2024); mit Adjustierung für Untererfassung: 46,4–66,6 (2019) und 43,0–59,3 pro 10.000 (2024). Höher bei Männern, größte Gruppe &lt;1 Jahr. Schätzungen konsistent mit ähnlich-wohlhabenden Ländern; Methodentransparenz ermöglicht Vergleiche trotz Datenlimitationen.</w:t>
      </w:r>
    </w:p>
    <w:p>
      <w:r>
        <w:rPr>
          <w:b/>
          <w:sz w:val="19"/>
        </w:rPr>
        <w:t xml:space="preserve">Übertragbarkeit: </w:t>
      </w:r>
      <w:r>
        <w:rPr>
          <w:sz w:val="19"/>
        </w:rPr>
        <w:t>Irland, administratives Datensystem ohne eindeutige ID vergleichbar mit Teilen deutscher Krankenhauslandschaft</w:t>
      </w:r>
    </w:p>
    <w:p>
      <w:r>
        <w:rPr>
          <w:color w:val="5A7D3A"/>
          <w:sz w:val="18"/>
        </w:rPr>
        <w:t>https://pubmed.ncbi.nlm.nih.gov/42509542/</w:t>
      </w:r>
    </w:p>
    <w:p>
      <w:pPr>
        <w:pStyle w:val="Heading2"/>
      </w:pPr>
      <w:r>
        <w:t>Sarcoidosis-Trajektorien: Chronische Erkrankung tritt bei 28,5 % auf, mit erhöhtem Infekt- und Depressionsrisiko</w:t>
      </w:r>
    </w:p>
    <w:p>
      <w:r>
        <w:rPr>
          <w:i/>
          <w:color w:val="666666"/>
          <w:sz w:val="18"/>
        </w:rPr>
        <w:t>Rossides M et al.  ·  Respir Res  ·  24.07.2026  ·  PMID 42498935</w:t>
      </w:r>
    </w:p>
    <w:p>
      <w:r>
        <w:t>Prospektive Kohortenstudie mit 9.665 Patienten, die neue Sarcoidose-Diagnosen zwischen 2006 und 2018 im schwedischen Register identifizierte und über fünf Jahre verfolgte; zwei längerfristige Verlaufsmuster wurden mittels statistischer Modellierung der Arztbesuche ermittelt.</w:t>
      </w:r>
    </w:p>
    <w:p>
      <w:r>
        <w:rPr>
          <w:b/>
        </w:rPr>
        <w:t xml:space="preserve">Ergebnis: </w:t>
      </w:r>
      <w:r>
        <w:t>71,5 % zeigten selbstlimitierten Verlauf mit Remission in zwei Jahren, 28,5 % chronischen Verlauf mit persistenten Besuchen; chronisches Sarcoidosis war assoziiert mit: eGFR Krankheit (Hoehn und Yahr ≥ 2 vs. 1), erhöhtem Infektrisiko, Herzinsuffizienz, Diabetes, Depression, Angststörung und früherem Tod. Immunosuppressive Therapie bei Diagnose erhöhte Chronizitätsrisiko um Faktor 2,18 (95%-KI 2,04–2,33).</w:t>
      </w:r>
    </w:p>
    <w:p>
      <w:r>
        <w:rPr>
          <w:b/>
          <w:sz w:val="19"/>
        </w:rPr>
        <w:t xml:space="preserve">Übertragbarkeit: </w:t>
      </w:r>
      <w:r>
        <w:rPr>
          <w:sz w:val="19"/>
        </w:rPr>
        <w:t>Schweden, nationale Patientenregister, vergleichbare Gesundheitssysteme</w:t>
      </w:r>
    </w:p>
    <w:p>
      <w:r>
        <w:rPr>
          <w:color w:val="5A7D3A"/>
          <w:sz w:val="18"/>
        </w:rPr>
        <w:t>https://pubmed.ncbi.nlm.nih.gov/42498935/</w:t>
      </w:r>
    </w:p>
    <w:p>
      <w:pPr>
        <w:pStyle w:val="Heading1"/>
      </w:pPr>
      <w:r>
        <w:t>Aufgenommen am 02.09.2026</w:t>
      </w:r>
    </w:p>
    <w:p>
      <w:pPr>
        <w:pStyle w:val="Heading2"/>
      </w:pPr>
      <w:r>
        <w:t>Albuminoxidation verzögert sich nach Nierentransplantation trotz Funktionsrestitution</w:t>
      </w:r>
    </w:p>
    <w:p>
      <w:r>
        <w:rPr>
          <w:i/>
          <w:color w:val="666666"/>
          <w:sz w:val="18"/>
        </w:rPr>
        <w:t>Berntsen LM et al.  ·  BMC Nephrol  ·  28.08.2026  ·  PMID 42665799</w:t>
      </w:r>
    </w:p>
    <w:p>
      <w:r>
        <w:t>Observationsstudie, die die Albumin-Redoxstatus (ARS) vor und nach Nierentransplantation (KTX) gemessen hat, um zu zeigen, ob die Verbesserung der Nierenfunktion die Oxidation verringert.</w:t>
      </w:r>
    </w:p>
    <w:p>
      <w:r>
        <w:rPr>
          <w:b/>
        </w:rPr>
        <w:t xml:space="preserve">Ergebnis: </w:t>
      </w:r>
      <w:r>
        <w:t>Vor KTX waren HMA-Werte reduziert (Median 63,5%), HNA-1 und HNA-2 erhöht. Eine Woche nach KTX verschlechterte sich HMA weiter (57,9%), HNA-2 stieg auf 9,2%. Trotz rascher Funktionserholung war die ARS-Normalisierung langsam und variabel; 180 Tage post-KTX zeigten 31 % der Patienten noch erhöhte Oxidationssignale, was nahelegt, dass Faktoren jenseits der Nierenfunktion die ARS beeinflussen.</w:t>
      </w:r>
    </w:p>
    <w:p>
      <w:r>
        <w:rPr>
          <w:b/>
          <w:sz w:val="19"/>
        </w:rPr>
        <w:t xml:space="preserve">Übertragbarkeit: </w:t>
      </w:r>
      <w:r>
        <w:rPr>
          <w:sz w:val="19"/>
        </w:rPr>
        <w:t>Deutschland/Österreich, vergleichbare Transplantationsverfahren und -strukturen</w:t>
      </w:r>
    </w:p>
    <w:p>
      <w:r>
        <w:rPr>
          <w:color w:val="5A7D3A"/>
          <w:sz w:val="18"/>
        </w:rPr>
        <w:t>https://pubmed.ncbi.nlm.nih.gov/42665799/</w:t>
      </w:r>
    </w:p>
    <w:p>
      <w:pPr>
        <w:pStyle w:val="Heading2"/>
      </w:pPr>
      <w:r>
        <w:t>Muskelzell-Veränderungen bei Long COVID/ME-CFS unterscheiden sich grundlegend von Bettlägerigkeit</w:t>
      </w:r>
    </w:p>
    <w:p>
      <w:r>
        <w:rPr>
          <w:i/>
          <w:color w:val="666666"/>
          <w:sz w:val="18"/>
        </w:rPr>
        <w:t>Charlton BT et al.  ·  Nat Commun  ·  28.07.2026  ·  PMID 42649155</w:t>
      </w:r>
    </w:p>
    <w:p>
      <w:r>
        <w:t>Vergleichende Myofaser-Analyse nach 60-Tage-Bettruhe bei Gesunden versus Long COVID/ME-CFS-Patienten, um zu zeigen, dass Inaktivität allein nicht die Muskeldefekte erklärt.</w:t>
      </w:r>
    </w:p>
    <w:p>
      <w:r>
        <w:rPr>
          <w:b/>
        </w:rPr>
        <w:t xml:space="preserve">Ergebnis: </w:t>
      </w:r>
      <w:r>
        <w:t>Gesunde zeigen nach Bettruhe Muskelatrophie ohne Fasetyp-Verschiebung; beide Patientengruppen haben mehr glykolytische Fasern und ME/CFS-Patienten zeigen zusätzliche Typ-I-spezifische Atrophie. Nur nach Bettruhe war oxidative Phosphorylierungskapazität mit VO₂max korreliert. Die Muskelmerkmale unterscheiden sich fundamental zwischen Patienten und Bettruhe-Kontrollen, was zeigt, dass Inaktivität nicht die metabolischen Abnormitäten erklärt.</w:t>
      </w:r>
    </w:p>
    <w:p>
      <w:r>
        <w:rPr>
          <w:b/>
          <w:sz w:val="19"/>
        </w:rPr>
        <w:t xml:space="preserve">Übertragbarkeit: </w:t>
      </w:r>
      <w:r>
        <w:rPr>
          <w:sz w:val="19"/>
        </w:rPr>
        <w:t>Niederlande, vergleichbare Versorgungsbedingungen für chronische Erkrankungen</w:t>
      </w:r>
    </w:p>
    <w:p>
      <w:r>
        <w:rPr>
          <w:color w:val="5A7D3A"/>
          <w:sz w:val="18"/>
        </w:rPr>
        <w:t>https://pubmed.ncbi.nlm.nih.gov/42649155/</w:t>
      </w:r>
    </w:p>
    <w:p>
      <w:pPr>
        <w:pStyle w:val="Heading2"/>
      </w:pPr>
      <w:r>
        <w:t>Qualitätsindikatoren für Mehrfacherkrankung in der Hausarztpraxis – Protokoll einer partizipativen Entwicklung</w:t>
      </w:r>
    </w:p>
    <w:p>
      <w:r>
        <w:rPr>
          <w:i/>
          <w:color w:val="666666"/>
          <w:sz w:val="18"/>
        </w:rPr>
        <w:t>Tavares S et al.  ·  JMIR Res Protoc  ·  07.08.2026  ·  PMID 42567680</w:t>
      </w:r>
    </w:p>
    <w:p>
      <w:r>
        <w:t>Protokoll einer modifizierten RAND/UCLA-Studie zur Co-Entwicklung von nicht-diagnose-spezifischen Qualitätsindikatoren für Patienten mit Mehrfacherkrankungen (MLTC) mit Patienten, Angehörigen und Fachpersonen in England.</w:t>
      </w:r>
    </w:p>
    <w:p>
      <w:r>
        <w:rPr>
          <w:b/>
        </w:rPr>
        <w:t xml:space="preserve">Ergebnis: </w:t>
      </w:r>
      <w:r>
        <w:t>10 Patienten/Angehörige und 12 Fachpersonen konsentierten bis Juli 2026; 54 Kandidaten-Indikatoren aus Scoping Review und qualitativen Interviews mit 21 Patienten generiert. RAMStudie mit drei Runden geplant (Completion Anfang 2027). Indikatoren in Struktur-Prozess-Ergebnis-Qualitätsrahmen gemappt. Patient und Public Involvement mit vier Community-Partnern laufend. Ziel: umsetzungsorientiertes, primär-versorgungsgerechtes Indikator-Set für Mehrfacherkrankungen.</w:t>
      </w:r>
    </w:p>
    <w:p>
      <w:r>
        <w:rPr>
          <w:b/>
          <w:sz w:val="19"/>
        </w:rPr>
        <w:t xml:space="preserve">Übertragbarkeit: </w:t>
      </w:r>
      <w:r>
        <w:rPr>
          <w:sz w:val="19"/>
        </w:rPr>
        <w:t>Großbritannien/NHS, vergleichbarer Versorgungsauftrag und Gate-Keeper-Modell</w:t>
      </w:r>
    </w:p>
    <w:p>
      <w:r>
        <w:rPr>
          <w:color w:val="5A7D3A"/>
          <w:sz w:val="18"/>
        </w:rPr>
        <w:t>https://pubmed.ncbi.nlm.nih.gov/42567680/</w:t>
      </w:r>
    </w:p>
    <w:p>
      <w:pPr>
        <w:pStyle w:val="Heading2"/>
      </w:pPr>
      <w:r>
        <w:t>Migranten-Jugendliche zeigen hohe Mehrfacherkrankung; unbegleitete haben 4-fach erhöhtes Trauma-Risiko</w:t>
      </w:r>
    </w:p>
    <w:p>
      <w:r>
        <w:rPr>
          <w:i/>
          <w:color w:val="666666"/>
          <w:sz w:val="18"/>
        </w:rPr>
        <w:t>Ngom L et al.  ·  J Adolesc Health  ·  04.08.2026  ·  PMID 42554533</w:t>
      </w:r>
    </w:p>
    <w:p>
      <w:r>
        <w:t>Observationskohort von 384 Migranten-Jugendlichen (10–17 J., Ankunft &lt;5 Jahre) in Marseille 2019–2024, die multimorbidität (CIRS) und psychisches Trauma-Risiko (Protect) misst.</w:t>
      </w:r>
    </w:p>
    <w:p>
      <w:r>
        <w:rPr>
          <w:b/>
        </w:rPr>
        <w:t xml:space="preserve">Ergebnis: </w:t>
      </w:r>
      <w:r>
        <w:t>Mittleres CIRS 3,98; 35,4 % hatten ≥3 Organ-System-Beeinträchtigungen. Häufigste: HNO/Zähne (48,7%), Muskel-Skelett (46,4%), psychische Störungen (25,3%). Multimorbidität assoziiert mit chronischer Vorgeschichte vor Migration (adj. OR 1,40; p&lt;0,0005) und während Migration (adj. OR 1,94; p=0,005). Trauma-Risiko erhöht bei unbegleiteten Jugendlichen (adj. OR 4,27; p&lt;0,05) und höherer physischer Morbidität (OR 1,18; p&lt;0,05). ED-Besuche sanken während und nach Versorgung im Unit. Vulnerable Population erfordert umfassenden Versorgungspfad.</w:t>
      </w:r>
    </w:p>
    <w:p>
      <w:r>
        <w:rPr>
          <w:b/>
          <w:sz w:val="19"/>
        </w:rPr>
        <w:t xml:space="preserve">Übertragbarkeit: </w:t>
      </w:r>
      <w:r>
        <w:rPr>
          <w:sz w:val="19"/>
        </w:rPr>
        <w:t>Frankreich, vergleichbare EU-Versorgungsstruktur; Übertragbarkeit hängt an kultursensibler Ausgestaltung</w:t>
      </w:r>
    </w:p>
    <w:p>
      <w:r>
        <w:rPr>
          <w:color w:val="5A7D3A"/>
          <w:sz w:val="18"/>
        </w:rPr>
        <w:t>https://pubmed.ncbi.nlm.nih.gov/42554533/</w:t>
      </w:r>
    </w:p>
    <w:p>
      <w:pPr>
        <w:pStyle w:val="Heading2"/>
      </w:pPr>
      <w:r>
        <w:t>Aktualisierte CIDP-Leitlinie (2021) zeigt höhere Spezifität, aber niedrigere Sensitivität</w:t>
      </w:r>
    </w:p>
    <w:p>
      <w:r>
        <w:rPr>
          <w:i/>
          <w:color w:val="666666"/>
          <w:sz w:val="18"/>
        </w:rPr>
        <w:t>van Doorn IN et al.  ·  Eur J Neurol  ·  Aug. 2026  ·  PMID 42549490</w:t>
      </w:r>
    </w:p>
    <w:p>
      <w:r>
        <w:t>Vergleich der diagnostischen Genauigkeit der 2010 EFNS/PNS und der 2021 EAN/PNS Richtlinien für CIDP anhand von 339 Patienten und 339 Kontrollen mit vermuteter chronischer Neuropathie.</w:t>
      </w:r>
    </w:p>
    <w:p>
      <w:r>
        <w:rPr>
          <w:b/>
        </w:rPr>
        <w:t xml:space="preserve">Ergebnis: </w:t>
      </w:r>
      <w:r>
        <w:t>Die 2010-Richtlinie erzielte 92 % Sensitivität und 67 % Spezifität (möglich CIDP) bzw. 91 % und 78 % (wahrscheinlich/definit). Die 2021-Richtlinie zeigte 94 % Sensitivität und 66 % Spezifität (möglich) bzw. 83 % und 86 % (CIDP). Unterschiede entstanden durch geänderte Sensory-Kriterien und Leitfähigkeits-Schwellwerte. Unilaterale NCS hätte 77 mögliche CIDP-Diagnosen übersehen.</w:t>
      </w:r>
    </w:p>
    <w:p>
      <w:r>
        <w:rPr>
          <w:b/>
          <w:sz w:val="19"/>
        </w:rPr>
        <w:t xml:space="preserve">Übertragbarkeit: </w:t>
      </w:r>
      <w:r>
        <w:rPr>
          <w:sz w:val="19"/>
        </w:rPr>
        <w:t>Niederlande, europäische Versorgungsstandards und Leitlinienimplement ierung</w:t>
      </w:r>
    </w:p>
    <w:p>
      <w:r>
        <w:rPr>
          <w:color w:val="5A7D3A"/>
          <w:sz w:val="18"/>
        </w:rPr>
        <w:t>https://pubmed.ncbi.nlm.nih.gov/42549490/</w:t>
      </w:r>
    </w:p>
    <w:p>
      <w:pPr>
        <w:pStyle w:val="Heading2"/>
      </w:pPr>
      <w:r>
        <w:t>HDV-Infektionen schwächen Lebensqualität und Fatigue mit Krankheitsprogress massiv</w:t>
      </w:r>
    </w:p>
    <w:p>
      <w:r>
        <w:rPr>
          <w:i/>
          <w:color w:val="666666"/>
          <w:sz w:val="18"/>
        </w:rPr>
        <w:t>Lampertico P et al.  ·  J Viral Hepat  ·  Sept. 2026  ·  PMID 42538645</w:t>
      </w:r>
    </w:p>
    <w:p>
      <w:r>
        <w:t>Internationale Real-World-Querschnittstudie (Deutschland, Italien, Spanien, USA) zu Lebensqualität (EQ-5D-3L, HepQoL v2) und Fatigue (FSS) in verschiedenen HDV-Erkrankungsstadien bei 211 Patienten.</w:t>
      </w:r>
    </w:p>
    <w:p>
      <w:r>
        <w:rPr>
          <w:b/>
        </w:rPr>
        <w:t xml:space="preserve">Ergebnis: </w:t>
      </w:r>
      <w:r>
        <w:t>EQ-5D-VAS-Scores sanken mit höherer Krankheitsschwere signifikant (p&lt;0,0001): von kompensiert zu dekompensiert zu HCC zeigte kontinuierliche Verschlechterung. Alle HepQoL-Domänen verschlechterten sich mit Progression (p≤0,0001). Mittlere FSS-Scores stiegen mit Krankheitsschwere (p&lt;0,0001). HDV belastet Patienten massiv, besonders in fortgeschrittenen Stadien; Therapien zur Krankheitsverzögerung sind dringend erforderlich.</w:t>
      </w:r>
    </w:p>
    <w:p>
      <w:r>
        <w:rPr>
          <w:b/>
          <w:sz w:val="19"/>
        </w:rPr>
        <w:t xml:space="preserve">Übertragbarkeit: </w:t>
      </w:r>
      <w:r>
        <w:rPr>
          <w:sz w:val="19"/>
        </w:rPr>
        <w:t>Deutschland/Italien/Spanien, vergleichbare Sozialversicherungssysteme und Versorgungsstrukturen</w:t>
      </w:r>
    </w:p>
    <w:p>
      <w:r>
        <w:rPr>
          <w:color w:val="5A7D3A"/>
          <w:sz w:val="18"/>
        </w:rPr>
        <w:t>https://pubmed.ncbi.nlm.nih.gov/42538645/</w:t>
      </w:r>
    </w:p>
    <w:p>
      <w:pPr>
        <w:pStyle w:val="Heading1"/>
      </w:pPr>
      <w:r>
        <w:t>Aufgenommen am 01.09.2026</w:t>
      </w:r>
    </w:p>
    <w:p>
      <w:pPr>
        <w:pStyle w:val="Heading2"/>
      </w:pPr>
      <w:r>
        <w:t>ICS/LAMA/LABA senkte kardiovaskuläre Ereignisse bei COPD um 52 % gegenüber LAMA/LABA</w:t>
      </w:r>
    </w:p>
    <w:p>
      <w:r>
        <w:rPr>
          <w:i/>
          <w:color w:val="666666"/>
          <w:sz w:val="18"/>
        </w:rPr>
        <w:t>Wang YQ et al.  ·  Int J Chron Obstruct Pulmon Dis  ·  26.08.2026  ·  PMID 42670477</w:t>
      </w:r>
    </w:p>
    <w:p>
      <w:r>
        <w:t>Retrospektive Kohortenstudie mit deutschen Krankenkassendaten untersuchte, ob Triple-Therapie (ICS/LAMA/LABA) gegenüber Doppel-Therapie (LAMA/LABA) bei COPD-Patienten major adverse cardiovascular events (MACEs) reduziert.</w:t>
      </w:r>
    </w:p>
    <w:p>
      <w:r>
        <w:rPr>
          <w:b/>
        </w:rPr>
        <w:t xml:space="preserve">Ergebnis: </w:t>
      </w:r>
      <w:r>
        <w:t>Über 20,5 Monate: 102 MACEs insgesamt (19,2 %); LAMA/LABA 22 % vs. ICS/LAMA/LABA 17 % (adjustierte HR 0,481; 95%-KI 0,302–0,766; p=0,002). Bei hohem kardiovaskulärem Risiko war die Risikoreduktion noch stärker (HR 0,435; p&lt;0,001). Das Ergebnis unterstreicht den kardioprotektiven Zusatzeffekt von ICS in der Erhaltungstherapie.</w:t>
      </w:r>
    </w:p>
    <w:p>
      <w:r>
        <w:rPr>
          <w:b/>
          <w:sz w:val="19"/>
        </w:rPr>
        <w:t xml:space="preserve">Übertragbarkeit: </w:t>
      </w:r>
      <w:r>
        <w:rPr>
          <w:sz w:val="19"/>
        </w:rPr>
        <w:t>Deutsche Routinedaten, Versicherungssystem und COPD-Patient:innen vergleichbar mit Gesundheitssystem</w:t>
      </w:r>
    </w:p>
    <w:p>
      <w:r>
        <w:rPr>
          <w:color w:val="5A7D3A"/>
          <w:sz w:val="18"/>
        </w:rPr>
        <w:t>https://pubmed.ncbi.nlm.nih.gov/42670477/</w:t>
      </w:r>
    </w:p>
    <w:p>
      <w:pPr>
        <w:pStyle w:val="Heading2"/>
      </w:pPr>
      <w:r>
        <w:t>GLP-1-Rezeptoragonisten senken kardiovaskuläre Ereignisse bei Dialysepatienten mit Herzinsuffizienz um 28 %</w:t>
      </w:r>
    </w:p>
    <w:p>
      <w:r>
        <w:rPr>
          <w:i/>
          <w:color w:val="666666"/>
          <w:sz w:val="18"/>
        </w:rPr>
        <w:t>Liu PY et al.  ·  Nat Commun  ·  30.07.2026  ·  PMID 42669711</w:t>
      </w:r>
    </w:p>
    <w:p>
      <w:r>
        <w:t>Emulierte Zielstudie mit US-amerikanischem elektronischem Gesundheitsaktenverbund (TriNetX) verglich GLP-1-Rezeptoragonisten (GLP-1RA) versus DPP-4-Inhibitoren (DPP-4i) bei dialysepflichtigen Diabetespatienten mit Herzinsuffizienz hinsichtlich ischämischer kardiovaskulärer Ereignisse und Herzinsuffizienzexazerbationen.</w:t>
      </w:r>
    </w:p>
    <w:p>
      <w:r>
        <w:rPr>
          <w:b/>
        </w:rPr>
        <w:t xml:space="preserve">Ergebnis: </w:t>
      </w:r>
      <w:r>
        <w:t>GLP-1RA vs. DPP-4i: Primärer kombinierter Outcome (ischämische Events + HF-Exazerbationen) 31,7 % vs. 41,4 % (HR 0,72; 95%-KI 0,64–0,82; p&lt;0,0001). Konsistente Reduktionen bei ischämischen Events (HR 0,74), HF-Exazerbationen (HR 0,76), Gesamtmortalität (HR 0,68). Ergebnis in Sensitivitätsanalysen und Subgruppen stabil.</w:t>
      </w:r>
    </w:p>
    <w:p>
      <w:r>
        <w:rPr>
          <w:b/>
          <w:sz w:val="19"/>
        </w:rPr>
        <w:t xml:space="preserve">Übertragbarkeit: </w:t>
      </w:r>
      <w:r>
        <w:rPr>
          <w:sz w:val="19"/>
        </w:rPr>
        <w:t>USA-Daten aus elektronischen Akten; Übertragbarkeit auf Deutschland begrenzt durch andere Versorgungsstrukturen</w:t>
      </w:r>
    </w:p>
    <w:p>
      <w:r>
        <w:rPr>
          <w:color w:val="5A7D3A"/>
          <w:sz w:val="18"/>
        </w:rPr>
        <w:t>https://pubmed.ncbi.nlm.nih.gov/42669711/</w:t>
      </w:r>
    </w:p>
    <w:p>
      <w:pPr>
        <w:pStyle w:val="Heading2"/>
      </w:pPr>
      <w:r>
        <w:t>FGF-23 als Prognosemarker für CKD-Progression und kardiovaskuläre Ereignisse validiert</w:t>
      </w:r>
    </w:p>
    <w:p>
      <w:r>
        <w:rPr>
          <w:i/>
          <w:color w:val="666666"/>
          <w:sz w:val="18"/>
        </w:rPr>
        <w:t>Hsu JW et al.  ·  PeerJ  ·  24.08.2026  ·  PMID 42668972</w:t>
      </w:r>
    </w:p>
    <w:p>
      <w:r>
        <w:t>Systematische Übersichtsarbeit und Metaanalyse von 12 prospektiven Kohortenstudien (21.042 Patienten mit CKD Stadium 1–5) untersuchte die Vorhersagekraft von Fibroblast-Growth-Factor-23 (FGF-23) für Nierenfunktionsverschlechterung, Nierenversagen, kardiovaskuläre Ereignisse und Sterblichkeit.</w:t>
      </w:r>
    </w:p>
    <w:p>
      <w:r>
        <w:rPr>
          <w:b/>
        </w:rPr>
        <w:t xml:space="preserve">Ergebnis: </w:t>
      </w:r>
      <w:r>
        <w:t>Erhöhte FGF-23-Spiegel assoziiert mit eGFR-Rückgang (Mittelwertdifferenz −17,83 mL/min/1,73m²). Bei leichter bis mittelschwerer CKD: Jede 10 RU/mL FGF-23-Steigerung erhöhte Nierenversagensrisiko um 1,7 % (HR 1,01; 95%-KI 1,01–1,02). Bei fortgeschrittener CKD (höchstes vs. niedrigstes Quartil): 2,32-fach erhöhtes Nierenversagensrisiko (95%-KI 1,80–2,98). Kardiovaskuläre Events (HR 1,72), Herzinsuffizienz (HR 2,14), Gesamtmortalität (HR 1,61) signifikant erhöht.</w:t>
      </w:r>
    </w:p>
    <w:p>
      <w:r>
        <w:rPr>
          <w:b/>
          <w:sz w:val="19"/>
        </w:rPr>
        <w:t xml:space="preserve">Übertragbarkeit: </w:t>
      </w:r>
      <w:r>
        <w:rPr>
          <w:sz w:val="19"/>
        </w:rPr>
        <w:t>Metaanalyse mit internationalen Studien; Biomarker-Stratifizierung ist international anwendbar</w:t>
      </w:r>
    </w:p>
    <w:p>
      <w:r>
        <w:rPr>
          <w:color w:val="5A7D3A"/>
          <w:sz w:val="18"/>
        </w:rPr>
        <w:t>https://pubmed.ncbi.nlm.nih.gov/42668972/</w:t>
      </w:r>
    </w:p>
    <w:p>
      <w:pPr>
        <w:pStyle w:val="Heading2"/>
      </w:pPr>
      <w:r>
        <w:t>Bessere Schlafqualität assoziiert mit 36 % weniger Müdigkeit bei Hämodialysepatienten</w:t>
      </w:r>
    </w:p>
    <w:p>
      <w:r>
        <w:rPr>
          <w:i/>
          <w:color w:val="666666"/>
          <w:sz w:val="18"/>
        </w:rPr>
        <w:t>Chen G et al.  ·  Sleep Breath  ·  29.08.2026  ·  PMID 42667469</w:t>
      </w:r>
    </w:p>
    <w:p>
      <w:r>
        <w:t>Querschnittstudie bei 249 Hämodialysepatienten in China untersuchte die Assoziation multidimensionaler Schlafgesundheit (RU_SATED 2.0) mit Müdigkeit (Fatigue Scale-14) unter Adjustierung für Alter, Lebensstil und laborchemische Marker.</w:t>
      </w:r>
    </w:p>
    <w:p>
      <w:r>
        <w:rPr>
          <w:b/>
        </w:rPr>
        <w:t xml:space="preserve">Ergebnis: </w:t>
      </w:r>
      <w:r>
        <w:t>Multidimensionale Schlafgesundheit signifikant assoziiert mit Gesamtmüdigkeit (B = −0,36; 95%-KI −0,50 bis −0,21; p&lt;0,001), körperliche Müdigkeit (B = −0,22; p&lt;0,001), mentale Müdigkeit (B = −0,13; p&lt;0,001). Altersmoderation signifikant (B = 0,02; p=0,017). Bessere Schlafgesundheit war mit niedrigeren Müdigkeitswerten assoziiert; älter Patienten zeigten schwächere Assoziationen.</w:t>
      </w:r>
    </w:p>
    <w:p>
      <w:r>
        <w:rPr>
          <w:b/>
          <w:sz w:val="19"/>
        </w:rPr>
        <w:t xml:space="preserve">Übertragbarkeit: </w:t>
      </w:r>
      <w:r>
        <w:rPr>
          <w:sz w:val="19"/>
        </w:rPr>
        <w:t>China-Daten; Schlaf-Müdigkeit-Assoziation dialysepflicht-spezifisch, international relevant für Patient:innen-zentierte Ergebnisse</w:t>
      </w:r>
    </w:p>
    <w:p>
      <w:r>
        <w:rPr>
          <w:color w:val="5A7D3A"/>
          <w:sz w:val="18"/>
        </w:rPr>
        <w:t>https://pubmed.ncbi.nlm.nih.gov/42667469/</w:t>
      </w:r>
    </w:p>
    <w:p>
      <w:pPr>
        <w:pStyle w:val="Heading2"/>
      </w:pPr>
      <w:r>
        <w:t>Pharmakogenetisches Tacrolimus-Dosierungsmanagement bei Nierenhochrisikopatienten im Spanienverfügbar (TRANSPGx-Studie)</w:t>
      </w:r>
    </w:p>
    <w:p>
      <w:r>
        <w:rPr>
          <w:i/>
          <w:color w:val="666666"/>
          <w:sz w:val="18"/>
        </w:rPr>
        <w:t>Seco-Meseguer E et al.  ·  BMJ Open  ·  03.08.2026  ·  PMID 42547238</w:t>
      </w:r>
    </w:p>
    <w:p>
      <w:r>
        <w:t>Multizentrisches, adaptives Phase-IV-Protokoll in Spanien prüft, ob präemptive Genotypisierung für Tacrolimus-Dosierung versus Standardversorgung bei Patienten mit chronischer Nierenerkrankung vor Nierentransplantation die Erreichung von Tacrolimus-Zielplasmakonzentrationen verbessert.</w:t>
      </w:r>
    </w:p>
    <w:p>
      <w:r>
        <w:rPr>
          <w:b/>
        </w:rPr>
        <w:t xml:space="preserve">Ergebnis: </w:t>
      </w:r>
      <w:r>
        <w:t>Laufendes RCT mit Zielgröße 114 Patienten; Primärer Endpunkt: Erreichen von Tacrolimus-Zielkonzentrationen nach Transplantation. Rekrutierung geplant über 12 Monate mit 6-monatiger Nachverfolgung. Studie ist ethisch genehmigt (La Paz 2024.740) und registriert (EU CT 2024-516596-32-00).</w:t>
      </w:r>
    </w:p>
    <w:p>
      <w:r>
        <w:rPr>
          <w:b/>
          <w:sz w:val="19"/>
        </w:rPr>
        <w:t xml:space="preserve">Übertragbarkeit: </w:t>
      </w:r>
      <w:r>
        <w:rPr>
          <w:sz w:val="19"/>
        </w:rPr>
        <w:t>Spanisches Gesundheitssystem, vergleichbar mit Deutschland in Koordination und sozialer Krankenversicherung</w:t>
      </w:r>
    </w:p>
    <w:p>
      <w:r>
        <w:rPr>
          <w:color w:val="5A7D3A"/>
          <w:sz w:val="18"/>
        </w:rPr>
        <w:t>https://pubmed.ncbi.nlm.nih.gov/42547238/</w:t>
      </w:r>
    </w:p>
    <w:p>
      <w:pPr>
        <w:pStyle w:val="Heading2"/>
      </w:pPr>
      <w:r>
        <w:t>ME/CFS zeigt geschlechtsspezifische Unterschiede in Immun- und Darmsymptomen, Menopause moduliert Immunantwort</w:t>
      </w:r>
    </w:p>
    <w:p>
      <w:r>
        <w:rPr>
          <w:i/>
          <w:color w:val="666666"/>
          <w:sz w:val="18"/>
        </w:rPr>
        <w:t>Habermann-Horstmeier L et al.  ·  J Transl Med  ·  27.07.2026  ·  PMID 42522006</w:t>
      </w:r>
    </w:p>
    <w:p>
      <w:r>
        <w:t>Querschnittsstudie mit 748 Erwachsenen (608 Frauen, 137 Männer) mit medizinischer ME/CFS-Diagnose untersuchte mittels Faktorenanalyse und Strukturgleichungsmodellierung die Latentstruktur von Immun- und Darmsymptomen nach Geschlecht und Menopausenstatus.</w:t>
      </w:r>
    </w:p>
    <w:p>
      <w:r>
        <w:rPr>
          <w:b/>
        </w:rPr>
        <w:t xml:space="preserve">Ergebnis: </w:t>
      </w:r>
      <w:r>
        <w:t>Frauen: Immun- und Darmsymptome bilden zwei distinkte aber korrelierte Cluster (tetrachorische ρ = 0,47–0,60), EFA unterstützt Zwei-Faktor-Lösung. Männer: Alle vier Symptome laden auf einen integrierten Gut/Immun-Faktor (ρ = 0,43–0,68; one-factor-Modell CFI = 0,981, RMSEA = 0,074). Frauen: Prämenopausale berichten häufiger Grippesymptome als postmenopausale (Unterschied signifikant); Darmsymptome und Lebensmittelintoleranzen bleiben stabil. Empfinden von Infektionsanfälligkeit dominantester Prädiktor.</w:t>
      </w:r>
    </w:p>
    <w:p>
      <w:r>
        <w:rPr>
          <w:b/>
          <w:sz w:val="19"/>
        </w:rPr>
        <w:t xml:space="preserve">Übertragbarkeit: </w:t>
      </w:r>
      <w:r>
        <w:rPr>
          <w:sz w:val="19"/>
        </w:rPr>
        <w:t>Deutsche und internationale Patient:innen; Geschlechtsabhängige Phänotypisierung relevant für ME/CFS-Management</w:t>
      </w:r>
    </w:p>
    <w:p>
      <w:r>
        <w:rPr>
          <w:color w:val="5A7D3A"/>
          <w:sz w:val="18"/>
        </w:rPr>
        <w:t>https://pubmed.ncbi.nlm.nih.gov/42522006/</w:t>
      </w:r>
    </w:p>
    <w:p>
      <w:pPr>
        <w:pStyle w:val="Heading1"/>
      </w:pPr>
      <w:r>
        <w:t>Aufgenommen am 31.08.2026</w:t>
      </w:r>
    </w:p>
    <w:p>
      <w:pPr>
        <w:pStyle w:val="Heading2"/>
      </w:pPr>
      <w:r>
        <w:t>Inhalationstechnik bei COPD: 96% der Patienten könnten DPIs nutzen</w:t>
      </w:r>
    </w:p>
    <w:p>
      <w:r>
        <w:rPr>
          <w:i/>
          <w:color w:val="666666"/>
          <w:sz w:val="18"/>
        </w:rPr>
        <w:t>Bravo Quiroga L et al.  ·  Int J Chron Obstruct Pulmon Dis  ·  25.08.2026  ·  PMID 42668822</w:t>
      </w:r>
    </w:p>
    <w:p>
      <w:r>
        <w:t>Querschnittstudie an 273 stabilen COPD-Patienten mit pMDI+Spacer in 70 spanischen Zentren zur Messung der Inspirationskraft und Eignung für Pulvertrockner.</w:t>
      </w:r>
    </w:p>
    <w:p>
      <w:r>
        <w:rPr>
          <w:b/>
        </w:rPr>
        <w:t xml:space="preserve">Ergebnis: </w:t>
      </w:r>
      <w:r>
        <w:t>96% erreichten PIF ≥30 L/min bei mittlerer-hoher Resistance, 61,9% ≥60 L/min. Unvollständige Exhalation hatte nur begrenzte Auswirkungen. Spacer-Verschreibung erfolgte selten auf Basis objektiver PIF-Messung.</w:t>
      </w:r>
    </w:p>
    <w:p>
      <w:r>
        <w:rPr>
          <w:b/>
          <w:sz w:val="19"/>
        </w:rPr>
        <w:t xml:space="preserve">Übertragbarkeit: </w:t>
      </w:r>
      <w:r>
        <w:rPr>
          <w:sz w:val="19"/>
        </w:rPr>
        <w:t>Spanien, vergleichbares Gesundheitssystem, direkt anwendbar für deutsche COPD-Versorgung.</w:t>
      </w:r>
    </w:p>
    <w:p>
      <w:r>
        <w:rPr>
          <w:color w:val="5A7D3A"/>
          <w:sz w:val="18"/>
        </w:rPr>
        <w:t>https://pubmed.ncbi.nlm.nih.gov/42668822/</w:t>
      </w:r>
    </w:p>
    <w:p>
      <w:pPr>
        <w:pStyle w:val="Heading2"/>
      </w:pPr>
      <w:r>
        <w:t>Soziales Kapital und Selbstwirksamkeit verbessern Lebensqualität älterer chronisch Kranker</w:t>
      </w:r>
    </w:p>
    <w:p>
      <w:r>
        <w:rPr>
          <w:i/>
          <w:color w:val="666666"/>
          <w:sz w:val="18"/>
        </w:rPr>
        <w:t>Wang Y et al.  ·  Front Public Health  ·  21.08.2026  ·  PMID 42666637</w:t>
      </w:r>
    </w:p>
    <w:p>
      <w:r>
        <w:t>Latente Profilanalyse an 425 ländlichen älteren Erwachsenen mit chronischen Erkrankungen (Ningxia, China) zu Effekt von Sozialkapital auf Lebensqualität via Selbstwirksamkeit.</w:t>
      </w:r>
    </w:p>
    <w:p>
      <w:r>
        <w:rPr>
          <w:b/>
        </w:rPr>
        <w:t xml:space="preserve">Ergebnis: </w:t>
      </w:r>
      <w:r>
        <w:t>Drei Profile: niedrig (29,9%), moderat (49,4%), hoch (20,7%). Lebensqualität und Selbstwirksamkeit unterschieden sich signifikant (p&lt;0,001). Indirekter Effekt via Selbstwirksamkeit nur im hohen Profil signifikant (21,2% des Gesamteffekts), nicht im moderaten.</w:t>
      </w:r>
    </w:p>
    <w:p>
      <w:r>
        <w:rPr>
          <w:b/>
          <w:sz w:val="19"/>
        </w:rPr>
        <w:t xml:space="preserve">Übertragbarkeit: </w:t>
      </w:r>
      <w:r>
        <w:rPr>
          <w:sz w:val="19"/>
        </w:rPr>
        <w:t>China, aber Mehrfacherkrankung und psycho-soziale Mechanismen generalisierbar auf deutsche vulnerable Populationen.</w:t>
      </w:r>
    </w:p>
    <w:p>
      <w:r>
        <w:rPr>
          <w:color w:val="5A7D3A"/>
          <w:sz w:val="18"/>
        </w:rPr>
        <w:t>https://pubmed.ncbi.nlm.nih.gov/42666637/</w:t>
      </w:r>
    </w:p>
    <w:p>
      <w:pPr>
        <w:pStyle w:val="Heading2"/>
      </w:pPr>
      <w:r>
        <w:t>Kombinierte Inflammations- und Adipositäts-Indizes zeigen erhöhtes Multimorbidität-Risiko</w:t>
      </w:r>
    </w:p>
    <w:p>
      <w:r>
        <w:rPr>
          <w:i/>
          <w:color w:val="666666"/>
          <w:sz w:val="18"/>
        </w:rPr>
        <w:t>Chen J et al.  ·  Cardiovasc Diabetol  ·  26.08.2026  ·  PMID 42665793</w:t>
      </w:r>
    </w:p>
    <w:p>
      <w:r>
        <w:t>Prospektive Kohorte (n=6534, China Health and Retirement Longitudinal Study) zu Assoziation von CTI-Adipositäts-Indizes mit kardiovaskulär-hepatischen-metabolischen Multimorbidität über 4 Jahre.</w:t>
      </w:r>
    </w:p>
    <w:p>
      <w:r>
        <w:rPr>
          <w:b/>
        </w:rPr>
        <w:t xml:space="preserve">Ergebnis: </w:t>
      </w:r>
      <w:r>
        <w:t>CTI-BMI zeigte stärkste Assoziation (OR 3,46 in Quartil 4, p&lt;0,001), aber nur modest Diskriminationsfähigkeit (AUC 0,638). Effekt modifiziert durch Geschlecht und Raucherstatus, keine signifikante Interaktion zwischen CTI und BMI.</w:t>
      </w:r>
    </w:p>
    <w:p>
      <w:r>
        <w:rPr>
          <w:b/>
          <w:sz w:val="19"/>
        </w:rPr>
        <w:t xml:space="preserve">Übertragbarkeit: </w:t>
      </w:r>
      <w:r>
        <w:rPr>
          <w:sz w:val="19"/>
        </w:rPr>
        <w:t>China, aber Multimorbidität-Fokus und Methodologie relevant für deutsches Versorgungssetting mit mehreren Erkrankungen.</w:t>
      </w:r>
    </w:p>
    <w:p>
      <w:r>
        <w:rPr>
          <w:color w:val="5A7D3A"/>
          <w:sz w:val="18"/>
        </w:rPr>
        <w:t>https://pubmed.ncbi.nlm.nih.gov/42665793/</w:t>
      </w:r>
    </w:p>
    <w:p>
      <w:pPr>
        <w:pStyle w:val="Heading2"/>
      </w:pPr>
      <w:r>
        <w:t>CKD-assoziierter Pruritus bei 60,3% der Dialysepatienten, wenig Behandlung</w:t>
      </w:r>
    </w:p>
    <w:p>
      <w:r>
        <w:rPr>
          <w:i/>
          <w:color w:val="666666"/>
          <w:sz w:val="18"/>
        </w:rPr>
        <w:t>Yao X et al.  ·  Ren Fail  ·  27.08.2026  ·  PMID 42661327</w:t>
      </w:r>
    </w:p>
    <w:p>
      <w:r>
        <w:t>Multizentrisches Cross-sectional-Screening an 9.589 chinesischen Dialysepatienten (Mai–Dezember 2022) zur Prävalenz und Risikofaktoren von CKD-Pruritus.</w:t>
      </w:r>
    </w:p>
    <w:p>
      <w:r>
        <w:rPr>
          <w:b/>
        </w:rPr>
        <w:t xml:space="preserve">Ergebnis: </w:t>
      </w:r>
      <w:r>
        <w:t>Pruritus-Prävalenz 60,3% (mild 44,4%, moderat 12,5%, schwer 3,3%), HD vs. PD ähnlich (59,9% vs. 61,8%). Nur 2,9% erhielten potenziell wirksame Therapie (Gabapentinoide 2,8%). Assoziierte Faktoren: Rauchen, diabetische Nephropathie, kardiovaskuläre Erkrankung, Dialysedauer, Eosinophile, Kalzium, Phosphor.</w:t>
      </w:r>
    </w:p>
    <w:p>
      <w:r>
        <w:rPr>
          <w:b/>
          <w:sz w:val="19"/>
        </w:rPr>
        <w:t xml:space="preserve">Übertragbarkeit: </w:t>
      </w:r>
      <w:r>
        <w:rPr>
          <w:sz w:val="19"/>
        </w:rPr>
        <w:t>China, aber großes Problem auch in Deutschland; Versorgungsqualität und Symptommanagement messbar.</w:t>
      </w:r>
    </w:p>
    <w:p>
      <w:r>
        <w:rPr>
          <w:color w:val="5A7D3A"/>
          <w:sz w:val="18"/>
        </w:rPr>
        <w:t>https://pubmed.ncbi.nlm.nih.gov/42661327/</w:t>
      </w:r>
    </w:p>
    <w:p>
      <w:pPr>
        <w:pStyle w:val="Heading2"/>
      </w:pPr>
      <w:r>
        <w:t>Rauchen vor Alter 24 verdoppelt COPD-Risiko und Multimorbidität</w:t>
      </w:r>
    </w:p>
    <w:p>
      <w:r>
        <w:rPr>
          <w:i/>
          <w:color w:val="666666"/>
          <w:sz w:val="18"/>
        </w:rPr>
        <w:t>Liu Z et al.  ·  J Glob Health  ·  28.08.2026  ·  PMID 42659031</w:t>
      </w:r>
    </w:p>
    <w:p>
      <w:r>
        <w:t>Analyse von 15.077 US-Teilnehmern und zwei UK Biobank-Kohorten (n=258.380) zu Effekt des Rauchbeginns während Alveolus-Reifung (≤24 Jahre) auf Cardiopulmonal-Erkrankung.</w:t>
      </w:r>
    </w:p>
    <w:p>
      <w:r>
        <w:rPr>
          <w:b/>
        </w:rPr>
        <w:t xml:space="preserve">Ergebnis: </w:t>
      </w:r>
      <w:r>
        <w:t>Frühe Raucher mit hohem Konsum: COPD HR 3,45 (95% KI 3,29–3,62) vs. spät Raucher 2,33 (1,91–2,83, p&lt;0,001). Multimorbidität-freie Wahrscheinlichkeit 0,55 vs. 0,65. Rauchentwöhnung zeigte stärkere relative Risikoreduktion bei frühen Rauchern.</w:t>
      </w:r>
    </w:p>
    <w:p>
      <w:r>
        <w:rPr>
          <w:b/>
          <w:sz w:val="19"/>
        </w:rPr>
        <w:t xml:space="preserve">Übertragbarkeit: </w:t>
      </w:r>
      <w:r>
        <w:rPr>
          <w:sz w:val="19"/>
        </w:rPr>
        <w:t>USA und UK, Präventions-fokussiert; Altersabhängigkeit relevant für deutsches Screening und Aufklärung.</w:t>
      </w:r>
    </w:p>
    <w:p>
      <w:r>
        <w:rPr>
          <w:color w:val="5A7D3A"/>
          <w:sz w:val="18"/>
        </w:rPr>
        <w:t>https://pubmed.ncbi.nlm.nih.gov/42659031/</w:t>
      </w:r>
    </w:p>
    <w:p>
      <w:pPr>
        <w:pStyle w:val="Heading2"/>
      </w:pPr>
      <w:r>
        <w:t>Neue Risikogene für Emphysem in Rauchern identifiziert</w:t>
      </w:r>
    </w:p>
    <w:p>
      <w:r>
        <w:rPr>
          <w:i/>
          <w:color w:val="666666"/>
          <w:sz w:val="18"/>
        </w:rPr>
        <w:t>Nyberg F et al.  ·  Respir Res  ·  08.08.2026  ·  PMID 42634071</w:t>
      </w:r>
    </w:p>
    <w:p>
      <w:r>
        <w:t>Genomweite Assoziationsstudie an 25.639 schwedischen Erwachsenen zur Identifikation genetischer Faktoren für Emphysem.</w:t>
      </w:r>
    </w:p>
    <w:p>
      <w:r>
        <w:rPr>
          <w:b/>
        </w:rPr>
        <w:t xml:space="preserve">Ergebnis: </w:t>
      </w:r>
      <w:r>
        <w:t>Bei Rauchern wurden drei unabhängige genetische Loci identifiziert (CHRNA5-A3-B4, DYSF, Chromosom 3), bei Nichtrauchern trotz großer Stichprobe keine Signale (niedriges Emphysemprävalenz 2,0% vs. 18,2% bei aktiven Rauchern).</w:t>
      </w:r>
    </w:p>
    <w:p>
      <w:r>
        <w:rPr>
          <w:b/>
          <w:sz w:val="19"/>
        </w:rPr>
        <w:t xml:space="preserve">Übertragbarkeit: </w:t>
      </w:r>
      <w:r>
        <w:rPr>
          <w:sz w:val="19"/>
        </w:rPr>
        <w:t>Schweden, populationsbasierte Studie, vergleichbar mit deutschem Versorgungskontext für Risikoidentifikation.</w:t>
      </w:r>
    </w:p>
    <w:p>
      <w:r>
        <w:rPr>
          <w:color w:val="5A7D3A"/>
          <w:sz w:val="18"/>
        </w:rPr>
        <w:t>https://pubmed.ncbi.nlm.nih.gov/42634071/</w:t>
      </w:r>
    </w:p>
    <w:p>
      <w:pPr>
        <w:pStyle w:val="Heading1"/>
      </w:pPr>
      <w:r>
        <w:t>Aufgenommen am 30.08.2026</w:t>
      </w:r>
    </w:p>
    <w:p>
      <w:pPr>
        <w:pStyle w:val="Heading2"/>
      </w:pPr>
      <w:r>
        <w:t>Eosinophil-gesteuerte COPD-Therapie: Guideline-Adherence fehlt bei 86% der Patienten</w:t>
      </w:r>
    </w:p>
    <w:p>
      <w:r>
        <w:rPr>
          <w:i/>
          <w:color w:val="666666"/>
          <w:sz w:val="18"/>
        </w:rPr>
        <w:t>Hester J et al.  ·  Lung  ·  29.08.2026  ·  PMID 42667442</w:t>
      </w:r>
    </w:p>
    <w:p>
      <w:r>
        <w:t>Retrospektive Kohortenstudie mit 688 COPD-Patienten in Cleveland-Kliniken evaluierte die Einhaltung GOLD-basierter Eosinophil-Kriterien für Inhalative Steroide (ICS) und klinische Ergebnisse.</w:t>
      </w:r>
    </w:p>
    <w:p>
      <w:r>
        <w:rPr>
          <w:b/>
        </w:rPr>
        <w:t xml:space="preserve">Ergebnis: </w:t>
      </w:r>
      <w:r>
        <w:t>589 von 688 Patienten (86%) erhielten ICS außerhalb von GOLD-Empfehlungen. Baseline-Eosinophil-Testing wurde nur in 15% durchgeführt. Pneumonie-Inzidenz war identisch (15% vs. 16%, p=0,686); ICS-Deeskalation erfolgte selten (7%) und gleichmäßig in beiden Gruppen. Exazerbation-Anamnese assoziiert mit guideline-konformer Verordnung.</w:t>
      </w:r>
    </w:p>
    <w:p>
      <w:r>
        <w:rPr>
          <w:b/>
          <w:sz w:val="19"/>
        </w:rPr>
        <w:t xml:space="preserve">Übertragbarkeit: </w:t>
      </w:r>
      <w:r>
        <w:rPr>
          <w:sz w:val="19"/>
        </w:rPr>
        <w:t>USA-basiert; Befund zur Guideline-Adherence ist übertragbar unabhängig vom Finanzierungssystem</w:t>
      </w:r>
    </w:p>
    <w:p>
      <w:r>
        <w:rPr>
          <w:color w:val="5A7D3A"/>
          <w:sz w:val="18"/>
        </w:rPr>
        <w:t>https://pubmed.ncbi.nlm.nih.gov/42667442/</w:t>
      </w:r>
    </w:p>
    <w:p>
      <w:pPr>
        <w:pStyle w:val="Heading2"/>
      </w:pPr>
      <w:r>
        <w:t>Triple-Therapie bei COPD: minimale Lebensqualitäts-Verbesserung, erhöhtes Pneumonie-Risiko</w:t>
      </w:r>
    </w:p>
    <w:p>
      <w:r>
        <w:rPr>
          <w:i/>
          <w:color w:val="666666"/>
          <w:sz w:val="18"/>
        </w:rPr>
        <w:t>Jiang J et al.  ·  Int J Chron Obstruct Pulmon Dis  ·  24.08.2026  ·  PMID 42666989</w:t>
      </w:r>
    </w:p>
    <w:p>
      <w:r>
        <w:t>Bayesian Network Meta-Analyse von 14 randomisierten Studien zu inhalativen Erhaltungstherapien und Auswirkungen auf St. George's Respiratory Questionnaire (SGRQ)-Scores bei stabiler COPD.</w:t>
      </w:r>
    </w:p>
    <w:p>
      <w:r>
        <w:rPr>
          <w:b/>
        </w:rPr>
        <w:t xml:space="preserve">Ergebnis: </w:t>
      </w:r>
      <w:r>
        <w:t>Triple-Therapie zeigte größte SGRQ-Verbesserung vs. Placebo (MD -3,99; 95% CrI -5,86 bis -2,16). Verglichen mit LABA+LAMA war triple Therapie marginal besser (MD -1,42; CrI -2,62 bis -0,16), unter minimaler klinisch bedeutsamer Differenz. Pneumonie-Risiko erhöht (OR 1,50; 95% CI 1,16-1,93). Andere aktive Regime unterschieden sich gering voneinander.</w:t>
      </w:r>
    </w:p>
    <w:p>
      <w:r>
        <w:rPr>
          <w:b/>
          <w:sz w:val="19"/>
        </w:rPr>
        <w:t xml:space="preserve">Übertragbarkeit: </w:t>
      </w:r>
      <w:r>
        <w:rPr>
          <w:sz w:val="19"/>
        </w:rPr>
        <w:t>Internationale RCT-Daten, Ergebnisse gelten für COPD-Management in Deutschland unabhängig vom System</w:t>
      </w:r>
    </w:p>
    <w:p>
      <w:r>
        <w:rPr>
          <w:color w:val="5A7D3A"/>
          <w:sz w:val="18"/>
        </w:rPr>
        <w:t>https://pubmed.ncbi.nlm.nih.gov/42666989/</w:t>
      </w:r>
    </w:p>
    <w:p>
      <w:pPr>
        <w:pStyle w:val="Heading2"/>
      </w:pPr>
      <w:r>
        <w:t>Geschlechts-Disparitäten in der Nierenkranken-Versorgung: Frauen unterdiagnostiziert und unterbehandelt</w:t>
      </w:r>
    </w:p>
    <w:p>
      <w:r>
        <w:rPr>
          <w:i/>
          <w:color w:val="666666"/>
          <w:sz w:val="18"/>
        </w:rPr>
        <w:t>Vidanapathirana M et al.  ·  BMC Nephrol  ·  19.08.2026  ·  PMID 42665802</w:t>
      </w:r>
    </w:p>
    <w:p>
      <w:r>
        <w:t>Systematische Übersichtsarbeit von 35 Studien (2000-Juli 2026) zu geschlechtsspezifischen Ungleichheiten im Versorgungszugang entlang der gesamten CKD-Betreuungskontinuum.</w:t>
      </w:r>
    </w:p>
    <w:p>
      <w:r>
        <w:rPr>
          <w:b/>
        </w:rPr>
        <w:t xml:space="preserve">Ergebnis: </w:t>
      </w:r>
      <w:r>
        <w:t>Frauen hatten niedrigere Chancen für CKD-Diagnose und Nephologie-Überweisung, weniger häufige Nierenfunktions-Kontrollen und niedrigere Verschreibungsraten guideline-empfohlener Medikamente. Unter Dialysepatienten: Frauen 38-41% Anteil mit späterem eGFR-Start (8,1-10,1 vs. 10,6 mL/min/1,73m²). Weniger Hämodialyse mit arteriovenöser Fistel; weniger Transplantationsreferral/-Evaluation/-Wartelisting. Systemische und sozioökonomische Mechanismen identifiziert.</w:t>
      </w:r>
    </w:p>
    <w:p>
      <w:r>
        <w:rPr>
          <w:b/>
          <w:sz w:val="19"/>
        </w:rPr>
        <w:t xml:space="preserve">Übertragbarkeit: </w:t>
      </w:r>
      <w:r>
        <w:rPr>
          <w:sz w:val="19"/>
        </w:rPr>
        <w:t>Globale Evidenz; Muster geschlechtsbasierter Ungleichheit ist kontextübergreifend relevant</w:t>
      </w:r>
    </w:p>
    <w:p>
      <w:r>
        <w:rPr>
          <w:color w:val="5A7D3A"/>
          <w:sz w:val="18"/>
        </w:rPr>
        <w:t>https://pubmed.ncbi.nlm.nih.gov/42665802/</w:t>
      </w:r>
    </w:p>
    <w:p>
      <w:pPr>
        <w:pStyle w:val="Heading2"/>
      </w:pPr>
      <w:r>
        <w:t>Hemodiafiltration versus Hemodialysis: Mortalität und Hospitalisierungsrisiko</w:t>
      </w:r>
    </w:p>
    <w:p>
      <w:r>
        <w:rPr>
          <w:i/>
          <w:color w:val="666666"/>
          <w:sz w:val="18"/>
        </w:rPr>
        <w:t>Roos S et al.  ·  BMC Nephrol  ·  28.08.2026  ·  PMID 42665796</w:t>
      </w:r>
    </w:p>
    <w:p>
      <w:r>
        <w:t>Zielgerichtete Studienprotokolle analysieren Routinedaten von über 1000 Dialysepatienten in Europa, um Unterschiede in Mortalität und Krankenhausaufenthalten zwischen Hemodiafiltration und konventionellem Hemodialysis zu untersuchen.</w:t>
      </w:r>
    </w:p>
    <w:p>
      <w:r>
        <w:rPr>
          <w:b/>
        </w:rPr>
        <w:t xml:space="preserve">Ergebnis: </w:t>
      </w:r>
      <w:r>
        <w:t>Geplante Erhebung mit Fokus auf Gesamtsterblichkeit und ursachenspezifische Hospitalisierungen; Hochvolumen-Hemodiafiltration (≥23 L Konvektionsvolumen) wird analysiert als primärer Vergleich. Randomisierte Studien zeigten bereits Mortalitätsvorteil; diese Realweltdaten sollen Generalisierbarkeit klären.</w:t>
      </w:r>
    </w:p>
    <w:p>
      <w:r>
        <w:rPr>
          <w:b/>
          <w:sz w:val="19"/>
        </w:rPr>
        <w:t xml:space="preserve">Übertragbarkeit: </w:t>
      </w:r>
      <w:r>
        <w:rPr>
          <w:sz w:val="19"/>
        </w:rPr>
        <w:t>Europäische Kohorte, deutsche Zentren beteiligt, vergleichbar mit deutschem Versorgungssystem</w:t>
      </w:r>
    </w:p>
    <w:p>
      <w:r>
        <w:rPr>
          <w:color w:val="5A7D3A"/>
          <w:sz w:val="18"/>
        </w:rPr>
        <w:t>https://pubmed.ncbi.nlm.nih.gov/42665796/</w:t>
      </w:r>
    </w:p>
    <w:p>
      <w:pPr>
        <w:pStyle w:val="Heading2"/>
      </w:pPr>
      <w:r>
        <w:t>Cardiometabolic Profile bei Diabetes und BMI: Adipositas erhöht Herzinsuffizienz und CKD-Risiko</w:t>
      </w:r>
    </w:p>
    <w:p>
      <w:r>
        <w:rPr>
          <w:i/>
          <w:color w:val="666666"/>
          <w:sz w:val="18"/>
        </w:rPr>
        <w:t>Ponzani P et al.  ·  Diabetes Res Clin Pract  ·  29.07.2026  ·  PMID 42526840</w:t>
      </w:r>
    </w:p>
    <w:p>
      <w:r>
        <w:t>Querschnittsanalyse von über 500.000 Patienten mit Typ-2-Diabetes aus 296 italienischen Diabeteszentren untersuchte Cardiometabolische Profile und Komplikationen über BMI-Kategorien.</w:t>
      </w:r>
    </w:p>
    <w:p>
      <w:r>
        <w:rPr>
          <w:b/>
        </w:rPr>
        <w:t xml:space="preserve">Ergebnis: </w:t>
      </w:r>
      <w:r>
        <w:t>Herzinsuffizienz-Prävalenzrate: PR 1,41 (p&lt;0,001) bei Adipositas vs. Normalgewicht; CKD: PR 1,13 (p&lt;0,001). Trotz ähnlicher HbA1c-Werte verschlechterten sich Risikofaktoren progressiv mit BMI. Adipöse Patienten waren jünger, mit kürzerer Diabetesdauer und niedrigeren Atherosklerose-Raten.</w:t>
      </w:r>
    </w:p>
    <w:p>
      <w:r>
        <w:rPr>
          <w:b/>
          <w:sz w:val="19"/>
        </w:rPr>
        <w:t xml:space="preserve">Übertragbarkeit: </w:t>
      </w:r>
      <w:r>
        <w:rPr>
          <w:sz w:val="19"/>
        </w:rPr>
        <w:t>Italienische Routinedaten vergleichbar mit deutschem ambulanten Diabetesmanagement in der Primärversorgung</w:t>
      </w:r>
    </w:p>
    <w:p>
      <w:r>
        <w:rPr>
          <w:color w:val="5A7D3A"/>
          <w:sz w:val="18"/>
        </w:rPr>
        <w:t>https://pubmed.ncbi.nlm.nih.gov/42526840/</w:t>
      </w:r>
    </w:p>
    <w:p>
      <w:pPr>
        <w:pStyle w:val="Heading2"/>
      </w:pPr>
      <w:r>
        <w:t>Inhalative Steroide bei COPD senken Lungenkrebsrisiko um 23-39% trotz Immortal-Time-Bias</w:t>
      </w:r>
    </w:p>
    <w:p>
      <w:r>
        <w:rPr>
          <w:i/>
          <w:color w:val="666666"/>
          <w:sz w:val="18"/>
        </w:rPr>
        <w:t>Santa B et al.  ·  Int J Chron Obstruct Pulmon Dis  ·  14.07.2026  ·  PMID 42518632</w:t>
      </w:r>
    </w:p>
    <w:p>
      <w:r>
        <w:t>Retrospektive Analyse von 96.686 bis 196.560 COPD-Patienten aus der ungarischen Nationalen Krankenversicherungsdatenbank (2009-2019) reproduzierte widersprechende frühere Studien zu ICS und Lungenkrebsinzidenz.</w:t>
      </w:r>
    </w:p>
    <w:p>
      <w:r>
        <w:rPr>
          <w:b/>
        </w:rPr>
        <w:t xml:space="preserve">Ergebnis: </w:t>
      </w:r>
      <w:r>
        <w:t>ICS-Nutzer &gt;1 Jahr: 26,2-60,8% der Population. Lungenkrebsfälle: 4.941-8.969 Fälle. Adjustierte Cox-Modelle zeigten konsistent protective effect: HR 0,77 (0,63-0,94) bzw. 0,61 (0,53-0,70). Trend trotz beider methodologischer Ansätze konsistent. Limitation: Rauchen nicht im Datensatz enthalten; höherer Asthma-Code-Anteil in ICS-Gruppe Cohort 2.</w:t>
      </w:r>
    </w:p>
    <w:p>
      <w:r>
        <w:rPr>
          <w:b/>
          <w:sz w:val="19"/>
        </w:rPr>
        <w:t xml:space="preserve">Übertragbarkeit: </w:t>
      </w:r>
      <w:r>
        <w:rPr>
          <w:sz w:val="19"/>
        </w:rPr>
        <w:t>Ungarische Routinedaten mit vergleichbarem Sozialversicherungssystem wie Deutschland</w:t>
      </w:r>
    </w:p>
    <w:p>
      <w:r>
        <w:rPr>
          <w:color w:val="5A7D3A"/>
          <w:sz w:val="18"/>
        </w:rPr>
        <w:t>https://pubmed.ncbi.nlm.nih.gov/42518632/</w:t>
      </w:r>
    </w:p>
    <w:p>
      <w:pPr>
        <w:pStyle w:val="Heading1"/>
      </w:pPr>
      <w:r>
        <w:t>Aufgenommen am 29.08.2026</w:t>
      </w:r>
    </w:p>
    <w:p>
      <w:pPr>
        <w:pStyle w:val="Heading2"/>
      </w:pPr>
      <w:r>
        <w:t>Rassen-freie Nierenfunktionsformel ändert Risikostratifizierung nicht</w:t>
      </w:r>
    </w:p>
    <w:p>
      <w:r>
        <w:rPr>
          <w:i/>
          <w:color w:val="666666"/>
          <w:sz w:val="18"/>
        </w:rPr>
        <w:t>Huisman BJMV et al.  ·  Glob Heart  ·  21.08.2026  ·  PMID 42631246</w:t>
      </w:r>
    </w:p>
    <w:p>
      <w:r>
        <w:t>HELIUS-Studie mit 21.617 Erwachsenen aus Amsterdam vergleicht alte (2009) und neue rassen-freie (2021) CKD-EPI-Formeln zur Nierenfunktion und kardiovaskulärem Risiko.</w:t>
      </w:r>
    </w:p>
    <w:p>
      <w:r>
        <w:rPr>
          <w:b/>
        </w:rPr>
        <w:t xml:space="preserve">Ergebnis: </w:t>
      </w:r>
      <w:r>
        <w:t>Die neue Formel zeigte bei Afrikanern leicht niedrigere eGFR-Werte, aber CKD-Klassifikation (κ=0,94-0,99) und kardiovaskuläre Risikostratifizierung waren nahezu identisch; Befund bestätigt klinische Austauschbarkeit.</w:t>
      </w:r>
    </w:p>
    <w:p>
      <w:r>
        <w:rPr>
          <w:b/>
          <w:sz w:val="19"/>
        </w:rPr>
        <w:t xml:space="preserve">Übertragbarkeit: </w:t>
      </w:r>
      <w:r>
        <w:rPr>
          <w:sz w:val="19"/>
        </w:rPr>
        <w:t>Niederlande, vergleichbares europäisches Sozialversicherungssystem</w:t>
      </w:r>
    </w:p>
    <w:p>
      <w:r>
        <w:rPr>
          <w:color w:val="5A7D3A"/>
          <w:sz w:val="18"/>
        </w:rPr>
        <w:t>https://pubmed.ncbi.nlm.nih.gov/42631246/</w:t>
      </w:r>
    </w:p>
    <w:p>
      <w:pPr>
        <w:pStyle w:val="Heading2"/>
      </w:pPr>
      <w:r>
        <w:t>Chronisches Pruritus bei Dialysepatienten: Häufigkeit und Belastung deutlich unterschätzt</w:t>
      </w:r>
    </w:p>
    <w:p>
      <w:r>
        <w:rPr>
          <w:i/>
          <w:color w:val="666666"/>
          <w:sz w:val="18"/>
        </w:rPr>
        <w:t>Downey C et al.  ·  J Ren Care  ·  Sept. 2026  ·  PMID 42554232</w:t>
      </w:r>
    </w:p>
    <w:p>
      <w:r>
        <w:t>Nationale Umfrage an 689 irischen Dialysepatienten zur Häufigkeit, Schweregrad und Erlebnis von dialyse-assoziiertem Juckreiz.</w:t>
      </w:r>
    </w:p>
    <w:p>
      <w:r>
        <w:rPr>
          <w:b/>
        </w:rPr>
        <w:t xml:space="preserve">Ergebnis: </w:t>
      </w:r>
      <w:r>
        <w:t>62% erlebten Pruritus, 66% davon moderat-schwer; Kopf/Gesicht am stärksten assoziiert mit Schweregrad (OR 2,08). Psychische Belastung erheblich: Schlafstörungen, Infektionsrisiko. Nur wenig Behandlung.</w:t>
      </w:r>
    </w:p>
    <w:p>
      <w:r>
        <w:rPr>
          <w:b/>
          <w:sz w:val="19"/>
        </w:rPr>
        <w:t xml:space="preserve">Übertragbarkeit: </w:t>
      </w:r>
      <w:r>
        <w:rPr>
          <w:sz w:val="19"/>
        </w:rPr>
        <w:t>Irland, NHS-Dialysezentren, europäische Strukturen</w:t>
      </w:r>
    </w:p>
    <w:p>
      <w:r>
        <w:rPr>
          <w:color w:val="5A7D3A"/>
          <w:sz w:val="18"/>
        </w:rPr>
        <w:t>https://pubmed.ncbi.nlm.nih.gov/42554232/</w:t>
      </w:r>
    </w:p>
    <w:p>
      <w:pPr>
        <w:pStyle w:val="Heading2"/>
      </w:pPr>
      <w:r>
        <w:t>Aminosäure-Dialysatlösungen verbessern Ernährungsstatus bei Peritonealdialyse</w:t>
      </w:r>
    </w:p>
    <w:p>
      <w:r>
        <w:rPr>
          <w:i/>
          <w:color w:val="666666"/>
          <w:sz w:val="18"/>
        </w:rPr>
        <w:t>Lindholm B et al.  ·  BMC Nephrol  ·  30.07.2026  ·  PMID 42538540</w:t>
      </w:r>
    </w:p>
    <w:p>
      <w:r>
        <w:t>Systematischer Review zu klinischen Studien mit 1,1%-Aminosäure-basierten Peritonealdialysatlösungen statt Glucose zur Reduktion der Glukoseexposition.</w:t>
      </w:r>
    </w:p>
    <w:p>
      <w:r>
        <w:rPr>
          <w:b/>
        </w:rPr>
        <w:t xml:space="preserve">Ergebnis: </w:t>
      </w:r>
      <w:r>
        <w:t>Aminosäure-Lösungen verbessern Serumalbumin und Stickstoffbilanz bei tolerabler Verträglichkeit; reduzieren Glukosebelastung. Langzeitdaten zu Technik-Überleben und Mortalität fehlen noch, aber Evidenz unterstützt gezielten Einsatz bei mangelernährten Hochrisikopatienten.</w:t>
      </w:r>
    </w:p>
    <w:p>
      <w:r>
        <w:rPr>
          <w:b/>
          <w:sz w:val="19"/>
        </w:rPr>
        <w:t xml:space="preserve">Übertragbarkeit: </w:t>
      </w:r>
      <w:r>
        <w:rPr>
          <w:sz w:val="19"/>
        </w:rPr>
        <w:t>Schweden, Europa, Peritonealdialyse-Standard</w:t>
      </w:r>
    </w:p>
    <w:p>
      <w:r>
        <w:rPr>
          <w:color w:val="5A7D3A"/>
          <w:sz w:val="18"/>
        </w:rPr>
        <w:t>https://pubmed.ncbi.nlm.nih.gov/42538540/</w:t>
      </w:r>
    </w:p>
    <w:p>
      <w:pPr>
        <w:pStyle w:val="Heading2"/>
      </w:pPr>
      <w:r>
        <w:t>Long COVID erhöht Risiko für neue chronische Erkrankungen deutlich</w:t>
      </w:r>
    </w:p>
    <w:p>
      <w:r>
        <w:rPr>
          <w:i/>
          <w:color w:val="666666"/>
          <w:sz w:val="18"/>
        </w:rPr>
        <w:t>Sõnajalg H et al.  ·  Front Public Health  ·  16.07.2026  ·  PMID 42534966</w:t>
      </w:r>
    </w:p>
    <w:p>
      <w:r>
        <w:t>Bevölkerungsbasierte estnische Kohorte (N=2.639 Long-COVID-Patienten, 199.171 Kontrollen) zur Assoziation zwischen Long COVID und Neuauftreten chronischer Erkrankungen.</w:t>
      </w:r>
    </w:p>
    <w:p>
      <w:r>
        <w:rPr>
          <w:b/>
        </w:rPr>
        <w:t xml:space="preserve">Ergebnis: </w:t>
      </w:r>
      <w:r>
        <w:t>Long COVID assoziiert mit erhöhtem Risiko für Asthma (OR 5,12), COPD (OR 4,08), Schlafapnoe (OR 3,05). Type-2-Diabetes-Inzidenz stieg nach März 2020 über erwartete Trends (p=1,84×10-80).</w:t>
      </w:r>
    </w:p>
    <w:p>
      <w:r>
        <w:rPr>
          <w:b/>
          <w:sz w:val="19"/>
        </w:rPr>
        <w:t xml:space="preserve">Übertragbarkeit: </w:t>
      </w:r>
      <w:r>
        <w:rPr>
          <w:sz w:val="19"/>
        </w:rPr>
        <w:t>Estland, nationale Gesundheitsdaten, europäisches System</w:t>
      </w:r>
    </w:p>
    <w:p>
      <w:r>
        <w:rPr>
          <w:color w:val="5A7D3A"/>
          <w:sz w:val="18"/>
        </w:rPr>
        <w:t>https://pubmed.ncbi.nlm.nih.gov/42534966/</w:t>
      </w:r>
    </w:p>
    <w:p>
      <w:pPr>
        <w:pStyle w:val="Heading2"/>
      </w:pPr>
      <w:r>
        <w:t>Endostatin zeigt Anämierisiko bei älteren Nierenpatienten an</w:t>
      </w:r>
    </w:p>
    <w:p>
      <w:r>
        <w:rPr>
          <w:i/>
          <w:color w:val="666666"/>
          <w:sz w:val="18"/>
        </w:rPr>
        <w:t>Corsonello A et al.  ·  J Transl Med  ·  24.07.2026  ·  PMID 42533353</w:t>
      </w:r>
    </w:p>
    <w:p>
      <w:r>
        <w:t>SCOPE-Studie (2.008 Erwachsene ≥75 Jahre) zur Assoziation zwischen zirkulierendem Endostatin und prävalenter/inzidenter Anämie bei CKD.</w:t>
      </w:r>
    </w:p>
    <w:p>
      <w:r>
        <w:rPr>
          <w:b/>
        </w:rPr>
        <w:t xml:space="preserve">Ergebnis: </w:t>
      </w:r>
      <w:r>
        <w:t>Höhere Endostatin-Level unabhängig assoziiert mit niedrigerem Hämoglobin (β -0,21) und prävalenter Anämie (OR 1,38). Bei Zwei-Jahres-Nachverfolgung: 11,4% Neuauftreten von Anämie, höhere Endostatin-Level erhöhten Risiko (sHR 1,40); Assoziation stärker bei CKD.</w:t>
      </w:r>
    </w:p>
    <w:p>
      <w:r>
        <w:rPr>
          <w:b/>
          <w:sz w:val="19"/>
        </w:rPr>
        <w:t xml:space="preserve">Übertragbarkeit: </w:t>
      </w:r>
      <w:r>
        <w:rPr>
          <w:sz w:val="19"/>
        </w:rPr>
        <w:t>Europäische Multizenterstudie (Schweden, Österreich, Niederlande, Spanien, Polen)</w:t>
      </w:r>
    </w:p>
    <w:p>
      <w:r>
        <w:rPr>
          <w:color w:val="5A7D3A"/>
          <w:sz w:val="18"/>
        </w:rPr>
        <w:t>https://pubmed.ncbi.nlm.nih.gov/42533353/</w:t>
      </w:r>
    </w:p>
    <w:p>
      <w:pPr>
        <w:pStyle w:val="Heading2"/>
      </w:pPr>
      <w:r>
        <w:t>Inhaled corticosteroids senken kardiovaskuläres Risiko bei COPD nicht</w:t>
      </w:r>
    </w:p>
    <w:p>
      <w:r>
        <w:rPr>
          <w:i/>
          <w:color w:val="666666"/>
          <w:sz w:val="18"/>
        </w:rPr>
        <w:t>Nielsen MRI et al.  ·  BMJ Open  ·  29.07.2026  ·  PMID 42526931</w:t>
      </w:r>
    </w:p>
    <w:p>
      <w:r>
        <w:t>Registerbasierte Kohortenstudie mit 82.327 COPD-Patienten in Dänemark zu kardiovaskulären Ereignissen unter ICS-Therapie in verschiedenen Dosen.</w:t>
      </w:r>
    </w:p>
    <w:p>
      <w:r>
        <w:rPr>
          <w:b/>
        </w:rPr>
        <w:t xml:space="preserve">Ergebnis: </w:t>
      </w:r>
      <w:r>
        <w:t>ICS waren bei keiner Dosis mit erhöhtem kardiovaskulärem Risiko assoziiert; moderate Dosen zeigten sogar modeste Risikoreduktion (HR 0,89, p&lt;0,05). Befund widerlegt Safety-Bedenken gegen ICS.</w:t>
      </w:r>
    </w:p>
    <w:p>
      <w:r>
        <w:rPr>
          <w:b/>
          <w:sz w:val="19"/>
        </w:rPr>
        <w:t xml:space="preserve">Übertragbarkeit: </w:t>
      </w:r>
      <w:r>
        <w:rPr>
          <w:sz w:val="19"/>
        </w:rPr>
        <w:t>Dänemark, nationale Registerdaten, vergleichbares Nordeuropa-System</w:t>
      </w:r>
    </w:p>
    <w:p>
      <w:r>
        <w:rPr>
          <w:color w:val="5A7D3A"/>
          <w:sz w:val="18"/>
        </w:rPr>
        <w:t>https://pubmed.ncbi.nlm.nih.gov/42526931/</w:t>
      </w:r>
    </w:p>
    <w:p>
      <w:pPr>
        <w:pStyle w:val="Heading1"/>
      </w:pPr>
      <w:r>
        <w:t>Aufgenommen am 28.08.2026</w:t>
      </w:r>
    </w:p>
    <w:p>
      <w:pPr>
        <w:pStyle w:val="Heading2"/>
      </w:pPr>
      <w:r>
        <w:t>Berufliche Expositionen und COPD-Neuerkrankungen: Exposom-Analyse in zwei europäischen Kohorten</w:t>
      </w:r>
    </w:p>
    <w:p>
      <w:r>
        <w:rPr>
          <w:i/>
          <w:color w:val="666666"/>
          <w:sz w:val="18"/>
        </w:rPr>
        <w:t>Kynde T et al.  ·  Ann Work Expo Health  ·  26.08.2026  ·  PMID 42658646</w:t>
      </w:r>
    </w:p>
    <w:p>
      <w:r>
        <w:t>Die Studie untersuchte in zwei europäischen Bevölkerungskohorten (ECRHS, CONSTANCES), welche beruflichen Expositionen mit Neuauftreten von COPD assoziiert sind – über Job-Expositions-Matrizen und moderne statistische Methoden (ExWAS, LASSO, Boruta Random Forest).</w:t>
      </w:r>
    </w:p>
    <w:p>
      <w:r>
        <w:rPr>
          <w:b/>
        </w:rPr>
        <w:t xml:space="preserve">Ergebnis: </w:t>
      </w:r>
      <w:r>
        <w:t>Wichtigste Risiko-Expositionen variieren zwischen Kohorten: In ECRHS waren Heben, Vorneigebewegungen, Gase/Dämpfe und Mineralstaub prädiktiv; in CONSTANCES Dieselabgase, kristallines Quarzmehl und Lösungsmittel. Beide Kohorten bestätigen bekannte chemische Gefahrstoffe und identifizieren neue Assoziationen zwischen ergonomischen/physischen Belastungen und COPD-Risiko.</w:t>
      </w:r>
    </w:p>
    <w:p>
      <w:r>
        <w:rPr>
          <w:b/>
          <w:sz w:val="19"/>
        </w:rPr>
        <w:t xml:space="preserve">Übertragbarkeit: </w:t>
      </w:r>
      <w:r>
        <w:rPr>
          <w:sz w:val="19"/>
        </w:rPr>
        <w:t>Europäische Kohorten mit strukturierter Expositionserfassung; Ergebnisse direkt auf deutsche Berufsgruppen übertragbar.</w:t>
      </w:r>
    </w:p>
    <w:p>
      <w:r>
        <w:rPr>
          <w:color w:val="5A7D3A"/>
          <w:sz w:val="18"/>
        </w:rPr>
        <w:t>https://pubmed.ncbi.nlm.nih.gov/42658646/</w:t>
      </w:r>
    </w:p>
    <w:p>
      <w:pPr>
        <w:pStyle w:val="Heading2"/>
      </w:pPr>
      <w:r>
        <w:t>Transdisziplinäres Rahmenwerk für chronische Erkrankung und chronischen Schmerz aus qualitativer Synthese</w:t>
      </w:r>
    </w:p>
    <w:p>
      <w:r>
        <w:rPr>
          <w:i/>
          <w:color w:val="666666"/>
          <w:sz w:val="18"/>
        </w:rPr>
        <w:t>Safavi-Abbasi S et al.  ·  Front Public Health  ·  12.08.2026  ·  PMID 42656526</w:t>
      </w:r>
    </w:p>
    <w:p>
      <w:r>
        <w:t>Systematische qualitative Metasynopse von 104 Primärstudien (2009–2025) zu Patientenerfahrungen chronischer Erkrankung und Schmerz; Integration von 52 weiteren Studien zu transdisziplinären Prinzipien zur Entwicklung eines klinisch anwendbaren Rahmenwerks.</w:t>
      </w:r>
    </w:p>
    <w:p>
      <w:r>
        <w:rPr>
          <w:b/>
        </w:rPr>
        <w:t xml:space="preserve">Ergebnis: </w:t>
      </w:r>
      <w:r>
        <w:t>Identifiziert sieben zentrale Erfahrungsdomänen (soziale Isolation, Identitätsverlust, körperliche Debilitation, emotionale Belastung, kognitive Überlastung, Unsicherheit, Kampf um Legitimität im System) und verknüpft sie mit fünf transdisziplinären Prinzipien (Kommunikation, Zusammenarbeit, Partizipation, Reflexivität, Systemdenken). Das Rahmenwerk strukturiert personenzentrierte Versorgung, interdisziplinäre Kooperation und koordiniertes Management.</w:t>
      </w:r>
    </w:p>
    <w:p>
      <w:r>
        <w:rPr>
          <w:b/>
          <w:sz w:val="19"/>
        </w:rPr>
        <w:t xml:space="preserve">Übertragbarkeit: </w:t>
      </w:r>
      <w:r>
        <w:rPr>
          <w:sz w:val="19"/>
        </w:rPr>
        <w:t>Qualitative Synthese aus international vergleichbaren Studien; Versorgungsansätze gelten über Grenzen hinweg.</w:t>
      </w:r>
    </w:p>
    <w:p>
      <w:r>
        <w:rPr>
          <w:color w:val="5A7D3A"/>
          <w:sz w:val="18"/>
        </w:rPr>
        <w:t>https://pubmed.ncbi.nlm.nih.gov/42656526/</w:t>
      </w:r>
    </w:p>
    <w:p>
      <w:pPr>
        <w:pStyle w:val="Heading2"/>
      </w:pPr>
      <w:r>
        <w:t>Ländliche Versorgung chronischer Erkrankungen: Von Gesundheitssystem zu gesellschaftlichen Determinanten</w:t>
      </w:r>
    </w:p>
    <w:p>
      <w:r>
        <w:rPr>
          <w:i/>
          <w:color w:val="666666"/>
          <w:sz w:val="18"/>
        </w:rPr>
        <w:t>Kuwayama T et al.  ·  Int J Environ Res Public Health  ·  27.07.2026  ·  PMID 42652287</w:t>
      </w:r>
    </w:p>
    <w:p>
      <w:r>
        <w:t>Scoping Review (23 Studien: 12 vor, 11 nach COVID-19) zu Themen ländlicher Versorgungsprobleme bei chronischen Krankheiten; thematischer Vergleich prä- und post-pandemisch.</w:t>
      </w:r>
    </w:p>
    <w:p>
      <w:r>
        <w:rPr>
          <w:b/>
        </w:rPr>
        <w:t xml:space="preserve">Ergebnis: </w:t>
      </w:r>
      <w:r>
        <w:t>Vor Pandemie dominierten Themen: niedrige Managementraten (Hypertonie, Diabetes), Arzneimittelversorgung, unzureichendes Fachpersonal (Thema: Gesundheitssystem). Nach Pandemie zusätzlich: psychische Gesundheit, Ernährung, Mehrfacherkrankung, sozioökonomische Disparitäten (Thema: Gesellschaft). Verschiebung zeigt: Pandemie hat Debatte von technischen auf ganzheitliche Determinanten ausgeweitet.</w:t>
      </w:r>
    </w:p>
    <w:p>
      <w:r>
        <w:rPr>
          <w:b/>
          <w:sz w:val="19"/>
        </w:rPr>
        <w:t xml:space="preserve">Übertragbarkeit: </w:t>
      </w:r>
      <w:r>
        <w:rPr>
          <w:sz w:val="19"/>
        </w:rPr>
        <w:t>Japan/Ländervergleich; Systematik der ländlichen Versorgungshürden auch für deutsche Flächenländer relevant.</w:t>
      </w:r>
    </w:p>
    <w:p>
      <w:r>
        <w:rPr>
          <w:color w:val="5A7D3A"/>
          <w:sz w:val="18"/>
        </w:rPr>
        <w:t>https://pubmed.ncbi.nlm.nih.gov/42652287/</w:t>
      </w:r>
    </w:p>
    <w:p>
      <w:pPr>
        <w:pStyle w:val="Heading2"/>
      </w:pPr>
      <w:r>
        <w:t>Funktionale Lungen-MRT zeigt Verbesserung der Hyperinflation nach Doppel-Bronchodilator bei COPD</w:t>
      </w:r>
    </w:p>
    <w:p>
      <w:r>
        <w:rPr>
          <w:i/>
          <w:color w:val="666666"/>
          <w:sz w:val="18"/>
        </w:rPr>
        <w:t>Müller RA et al.  ·  COPD  ·  12.08.2026  ·  PMID 42584170</w:t>
      </w:r>
    </w:p>
    <w:p>
      <w:r>
        <w:t>Randomisierte Crossover-Studie (n=29 COPD-Patienten) zur Wirkung einer Einzeldosis Doppel-Bronchodilator auf ventilationsdynamische Parameter mittels funktioneller Lungen-MRT während kontrollierter schneller Atmung (Metronom-gesteuert).</w:t>
      </w:r>
    </w:p>
    <w:p>
      <w:r>
        <w:rPr>
          <w:b/>
        </w:rPr>
        <w:t xml:space="preserve">Ergebnis: </w:t>
      </w:r>
      <w:r>
        <w:t>In Ruhe keine signifikanten FEV1-Verbesserungen; unter beschleunigter Atmung jedoch signifikante Reduktion der Funktionalen Residualkapazität (FRC: Kontrollgruppe −0,1 L vs. Interventionsgruppe −0,4 L, p&lt;0,05), verbesserte Ventilationshomogenität und Durchfluss-Volumen-Korrelation. Nach Mehrfach-Dosierung zeigten 5 von 6 Parametern Besserungen (alle p&lt;0,03).</w:t>
      </w:r>
    </w:p>
    <w:p>
      <w:r>
        <w:rPr>
          <w:b/>
          <w:sz w:val="19"/>
        </w:rPr>
        <w:t xml:space="preserve">Übertragbarkeit: </w:t>
      </w:r>
      <w:r>
        <w:rPr>
          <w:sz w:val="19"/>
        </w:rPr>
        <w:t>Deutsche Klinikdaten verfügbar; Methode für Monitoring strukturierter COPD-Programme geeignet.</w:t>
      </w:r>
    </w:p>
    <w:p>
      <w:r>
        <w:rPr>
          <w:color w:val="5A7D3A"/>
          <w:sz w:val="18"/>
        </w:rPr>
        <w:t>https://pubmed.ncbi.nlm.nih.gov/42584170/</w:t>
      </w:r>
    </w:p>
    <w:p>
      <w:pPr>
        <w:pStyle w:val="Heading2"/>
      </w:pPr>
      <w:r>
        <w:t>Nicht-Teilnahme an Hepatitis-B-Versorgung: Barrieren und Interventionen in UK-Sekundärversorgung</w:t>
      </w:r>
    </w:p>
    <w:p>
      <w:r>
        <w:rPr>
          <w:i/>
          <w:color w:val="666666"/>
          <w:sz w:val="18"/>
        </w:rPr>
        <w:t>Shiel EV et al.  ·  J Viral Hepat  ·  Sept. 2026  ·  PMID 42583956</w:t>
      </w:r>
    </w:p>
    <w:p>
      <w:r>
        <w:t>Scoping Review von 11 Studien zu Faktoren, die Nicht-Teilnahme an Sekundärversorgung-Terminen bei chronischer Hepatitis B in Großbritannien erklären, und identifizierten Strategien zur Verbesserung der Adhärenz.</w:t>
      </w:r>
    </w:p>
    <w:p>
      <w:r>
        <w:rPr>
          <w:b/>
        </w:rPr>
        <w:t xml:space="preserve">Ergebnis: </w:t>
      </w:r>
      <w:r>
        <w:t>Barrieren: patientenseitig (Gesundheitskompetenz, Stigma, konkurrierende Prioritäten), systemisch (Terminvergabe, Erreichbarkeit), psychologisch (Angst vor Diagnose, Nebenwirkungen); kulturelle und Sprachbarrieren. Wirksame Interventionen: Patienten-Edukation, kulturell angepasste Ansätze, Erinnerungssysteme (SMS, Telefon), integrierte Care-Modelle mit Community Outreach.</w:t>
      </w:r>
    </w:p>
    <w:p>
      <w:r>
        <w:rPr>
          <w:b/>
          <w:sz w:val="19"/>
        </w:rPr>
        <w:t xml:space="preserve">Übertragbarkeit: </w:t>
      </w:r>
      <w:r>
        <w:rPr>
          <w:sz w:val="19"/>
        </w:rPr>
        <w:t>Britisches Versorgungssystem mit vergleichbarem NHS-Zugang; Interventionsdesign auf deutsche Sprechstunden-Logistik adaptierbar.</w:t>
      </w:r>
    </w:p>
    <w:p>
      <w:r>
        <w:rPr>
          <w:color w:val="5A7D3A"/>
          <w:sz w:val="18"/>
        </w:rPr>
        <w:t>https://pubmed.ncbi.nlm.nih.gov/42583956/</w:t>
      </w:r>
    </w:p>
    <w:p>
      <w:pPr>
        <w:pStyle w:val="Heading2"/>
      </w:pPr>
      <w:r>
        <w:t>Vegetarische Ernährung reduziert CKD-Risiko: Prospektive UK-Biobank-Kohorte</w:t>
      </w:r>
    </w:p>
    <w:p>
      <w:r>
        <w:rPr>
          <w:i/>
          <w:color w:val="666666"/>
          <w:sz w:val="18"/>
        </w:rPr>
        <w:t>Candussi CJ et al.  ·  Sci Rep  ·  03.08.2026  ·  PMID 42547796</w:t>
      </w:r>
    </w:p>
    <w:p>
      <w:r>
        <w:t>Prospektive Kohortenstudie (n=416.584, Alter 40–69 Jahre) zur Assoziation fünf verschiedener Ernährungsmuster (hochfleischreich bis vegetarisch) mit chronischer Nierenerkrankung (CKD) über 12,9 Jahre Follow-up.</w:t>
      </w:r>
    </w:p>
    <w:p>
      <w:r>
        <w:rPr>
          <w:b/>
        </w:rPr>
        <w:t xml:space="preserve">Ergebnis: </w:t>
      </w:r>
      <w:r>
        <w:t>Bei 23.084 CKD-Neuerkrankungen zeigte sich: Vegetarier hatten das niedrigste Risiko im Vergleich zu hochfleischessern (HR=0,81, 95%-KI 0,71–0,93). Risikoreduktion war statistisch signifikant und konsistent über verschiedene Analysen; die Effektstärke ist klinisch bedeutsam für Prävention.</w:t>
      </w:r>
    </w:p>
    <w:p>
      <w:r>
        <w:rPr>
          <w:b/>
          <w:sz w:val="19"/>
        </w:rPr>
        <w:t xml:space="preserve">Übertragbarkeit: </w:t>
      </w:r>
      <w:r>
        <w:rPr>
          <w:sz w:val="19"/>
        </w:rPr>
        <w:t>UK-Biobank mit vergleichbarer Dokumentation; Präventionsempfehlung auf Deutschland übertragbar.</w:t>
      </w:r>
    </w:p>
    <w:p>
      <w:r>
        <w:rPr>
          <w:color w:val="5A7D3A"/>
          <w:sz w:val="18"/>
        </w:rPr>
        <w:t>https://pubmed.ncbi.nlm.nih.gov/42547796/</w:t>
      </w:r>
    </w:p>
    <w:p>
      <w:pPr>
        <w:pStyle w:val="Heading1"/>
      </w:pPr>
      <w:r>
        <w:t>Aufgenommen am 27.08.2026</w:t>
      </w:r>
    </w:p>
    <w:p>
      <w:pPr>
        <w:pStyle w:val="Heading2"/>
      </w:pPr>
      <w:r>
        <w:t>Mehrfacherkrankung und Krankenhausaufenthalt bei Herzinsuffizienz in Indonesien</w:t>
      </w:r>
    </w:p>
    <w:p>
      <w:r>
        <w:rPr>
          <w:i/>
          <w:color w:val="666666"/>
          <w:sz w:val="18"/>
        </w:rPr>
        <w:t>Yolanda G et al.  ·  Open Heart  ·  26.08.2026  ·  PMID 42648742</w:t>
      </w:r>
    </w:p>
    <w:p>
      <w:r>
        <w:t>Bevölkerungsbasierte retrospektive Kohorte von 9.018 Patienten (12.461 Aufenthalte) mit Herzinsuffizienz aus indonesischer Krankenversicherung zu Einfluss von Mehrfacherkrankung auf Liegedauer und Wiederaufnahme.</w:t>
      </w:r>
    </w:p>
    <w:p>
      <w:r>
        <w:rPr>
          <w:b/>
        </w:rPr>
        <w:t xml:space="preserve">Ergebnis: </w:t>
      </w:r>
      <w:r>
        <w:t>Mehrfacherkrankung in 72,4%, jede zusätzliche Komorbidität assoziiert mit: längerer Liegedauer (+0,13 Tage), höherer 30-Tage-Wiederaufnahmequote (OR 1,22) und höherer 90-Tage-Wiederaufnahme (OR 1,27). Spezifische Muster: Anämie stärkste Assoziation mit Liegedauer, ischämische Herzerkrankung, CKD, COPD und Klappenvitium mit Wiederaufnahme.</w:t>
      </w:r>
    </w:p>
    <w:p>
      <w:r>
        <w:rPr>
          <w:b/>
          <w:sz w:val="19"/>
        </w:rPr>
        <w:t xml:space="preserve">Übertragbarkeit: </w:t>
      </w:r>
      <w:r>
        <w:rPr>
          <w:sz w:val="19"/>
        </w:rPr>
        <w:t>Indonesien mit universeller Krankenversicherung, begrenzte Ressourcen, Mehrfacherkrankungslast auch in deutschem System relevant.</w:t>
      </w:r>
    </w:p>
    <w:p>
      <w:r>
        <w:rPr>
          <w:color w:val="5A7D3A"/>
          <w:sz w:val="18"/>
        </w:rPr>
        <w:t>https://pubmed.ncbi.nlm.nih.gov/42648742/</w:t>
      </w:r>
    </w:p>
    <w:p>
      <w:pPr>
        <w:pStyle w:val="Heading2"/>
      </w:pPr>
      <w:r>
        <w:t>Ungleiche Versorgung nach Transplantatversagen: Ethnizität und Deprivation beeinflussen Retransplantation</w:t>
      </w:r>
    </w:p>
    <w:p>
      <w:r>
        <w:rPr>
          <w:i/>
          <w:color w:val="666666"/>
          <w:sz w:val="18"/>
        </w:rPr>
        <w:t>Westaway S et al.  ·  PLoS One  ·  26.08.2026  ·  PMID 42647538</w:t>
      </w:r>
    </w:p>
    <w:p>
      <w:r>
        <w:t>Analyse von 5.447 Patienten mit Transplantatversagen in Großbritannien zum Zusammenhang von Patientenmerkmalen mit Versorgungsergebnissen (Retransplantation, Dialyseverfahren, Mortalität).</w:t>
      </w:r>
    </w:p>
    <w:p>
      <w:r>
        <w:rPr>
          <w:b/>
        </w:rPr>
        <w:t xml:space="preserve">Ergebnis: </w:t>
      </w:r>
      <w:r>
        <w:t>Schwarze und asiatische Patienten erhielten deutlich seltener Retransplantationen (RRR 0,41 bzw. 0,57), ebenso Personen in deprivierteren Gegenden (RRR 0,78 pro Deprivationsquintil). Männer wurden häufiger retransplantiert und an Hämodialyse angeschlossen. Diese Ungleichheiten sind versorgungsrelevant und beeinflussen das Überleben.</w:t>
      </w:r>
    </w:p>
    <w:p>
      <w:r>
        <w:rPr>
          <w:b/>
          <w:sz w:val="19"/>
        </w:rPr>
        <w:t xml:space="preserve">Übertragbarkeit: </w:t>
      </w:r>
      <w:r>
        <w:rPr>
          <w:sz w:val="19"/>
        </w:rPr>
        <w:t>Britisches Gesundheitssystem mit elektronischen Registerdaten, teilweise vergleichbar mit deutschem Organtransplantationssystem.</w:t>
      </w:r>
    </w:p>
    <w:p>
      <w:r>
        <w:rPr>
          <w:color w:val="5A7D3A"/>
          <w:sz w:val="18"/>
        </w:rPr>
        <w:t>https://pubmed.ncbi.nlm.nih.gov/42647538/</w:t>
      </w:r>
    </w:p>
    <w:p>
      <w:pPr>
        <w:pStyle w:val="Heading2"/>
      </w:pPr>
      <w:r>
        <w:t>Kompetenzen für personenzentrierte Versorgung bei Mehrfacherkrankung: Fokusgruppen mit Patienten und Fachkräften</w:t>
      </w:r>
    </w:p>
    <w:p>
      <w:r>
        <w:rPr>
          <w:i/>
          <w:color w:val="666666"/>
          <w:sz w:val="18"/>
        </w:rPr>
        <w:t>Michielsen LJ et al.  ·  Eur J Gen Pract  ·  26.08.2026  ·  PMID 42647104</w:t>
      </w:r>
    </w:p>
    <w:p>
      <w:r>
        <w:t>Qualitative Fokusgruppenstudie mit 14 Hausarztfachkräften und 10 Patienten mit chronischen Erkrankungen zu essentiellen Kompetenzen für personenzentrierte integrierte Versorgung.</w:t>
      </w:r>
    </w:p>
    <w:p>
      <w:r>
        <w:rPr>
          <w:b/>
        </w:rPr>
        <w:t xml:space="preserve">Ergebnis: </w:t>
      </w:r>
      <w:r>
        <w:t>Fachkräfte benannten: personenzentrierte Einstellung, Kommunikationsfähigkeiten, Interprofessionelles Zusammenarbeiten. Patienten werteten zusätzlich Kontinuität und designierten Ansprechpartner. Fachkräfte nannten Schulung, Reflektionszirkel und Fallbesprechungen als nötig. Kernaussage: Erfolgreiche Versorgung erfordert neben individuellen Kompetenzen Organisationsbedingungen für koordinierte, kontinuierliche Pflege.</w:t>
      </w:r>
    </w:p>
    <w:p>
      <w:r>
        <w:rPr>
          <w:b/>
          <w:sz w:val="19"/>
        </w:rPr>
        <w:t xml:space="preserve">Übertragbarkeit: </w:t>
      </w:r>
      <w:r>
        <w:rPr>
          <w:sz w:val="19"/>
        </w:rPr>
        <w:t>Niederlande, vergleichbare Primärversorgungsstrukturen und DMPs wie Deutschland.</w:t>
      </w:r>
    </w:p>
    <w:p>
      <w:r>
        <w:rPr>
          <w:color w:val="5A7D3A"/>
          <w:sz w:val="18"/>
        </w:rPr>
        <w:t>https://pubmed.ncbi.nlm.nih.gov/42647104/</w:t>
      </w:r>
    </w:p>
    <w:p>
      <w:pPr>
        <w:pStyle w:val="Heading2"/>
      </w:pPr>
      <w:r>
        <w:t>Soziale Risikofaktoren verbessern Vorhersage von kardiometabolischer Mehrfacherkrankung</w:t>
      </w:r>
    </w:p>
    <w:p>
      <w:r>
        <w:rPr>
          <w:i/>
          <w:color w:val="666666"/>
          <w:sz w:val="18"/>
        </w:rPr>
        <w:t>Anindya K et al.  ·  Sci Rep  ·  25.08.2026  ·  PMID 42642546</w:t>
      </w:r>
    </w:p>
    <w:p>
      <w:r>
        <w:t>Entwicklung eines Bayesianischen Vorhersagemodells für kardiometabolische Mehrfacherkrankung unter Einbeziehung sozialer Determinanten in 11.964 schwedischen Erwachsenen ohne Vorerkrankungen.</w:t>
      </w:r>
    </w:p>
    <w:p>
      <w:r>
        <w:rPr>
          <w:b/>
        </w:rPr>
        <w:t xml:space="preserve">Ergebnis: </w:t>
      </w:r>
      <w:r>
        <w:t>Während die Vorhersage für mindestens eine kardiometabolische Erkrankung fair war (AUC 0,76), zeigte sich für Mehrfacherkrankung (≥2 Erkrankungen) gute Diskriminanz (AUC 0,89). Höchste Risiken bei älteren Migranten mit Hypertonie und niedriger HDL (34,7% für beliebige Erkrankung, 4,4% für Mehrfacherkrankung).</w:t>
      </w:r>
    </w:p>
    <w:p>
      <w:r>
        <w:rPr>
          <w:b/>
          <w:sz w:val="19"/>
        </w:rPr>
        <w:t xml:space="preserve">Übertragbarkeit: </w:t>
      </w:r>
      <w:r>
        <w:rPr>
          <w:sz w:val="19"/>
        </w:rPr>
        <w:t>Schweden, vergleichbare Sozialversicherung und Präventionsstrukturen wie Deutschland.</w:t>
      </w:r>
    </w:p>
    <w:p>
      <w:r>
        <w:rPr>
          <w:color w:val="5A7D3A"/>
          <w:sz w:val="18"/>
        </w:rPr>
        <w:t>https://pubmed.ncbi.nlm.nih.gov/42642546/</w:t>
      </w:r>
    </w:p>
    <w:p>
      <w:pPr>
        <w:pStyle w:val="Heading2"/>
      </w:pPr>
      <w:r>
        <w:t>Schluckstörungen bei COPD – zwei Jahre Stabilität und Symptombelastung</w:t>
      </w:r>
    </w:p>
    <w:p>
      <w:r>
        <w:rPr>
          <w:i/>
          <w:color w:val="666666"/>
          <w:sz w:val="18"/>
        </w:rPr>
        <w:t>Gonzalez Lindh M et al.  ·  COPD  ·  28.07.2026  ·  PMID 42557931</w:t>
      </w:r>
    </w:p>
    <w:p>
      <w:r>
        <w:t>Prospektive Kohortenstudie mit 438 COPD-Patienten zu Stabilitätsmuster selbstberichteter Schluckstörungen über zwei Jahre und Assoziationen mit klinischen Ergebnissen.</w:t>
      </w:r>
    </w:p>
    <w:p>
      <w:r>
        <w:rPr>
          <w:b/>
        </w:rPr>
        <w:t xml:space="preserve">Ergebnis: </w:t>
      </w:r>
      <w:r>
        <w:t>Schluckstörungsprävalenz blieb stabil (32% auf 33%), vier Verlaufsmuster identifiziert: keine (59%), neu aufgetreten (8%), remittiert (8%), persistent (25%). Persistente Schluckstörung assoziiert mit höherer Dyspnoe, schlechterer körperlicher Leistung und häufigeren Exazerbationen. CAT-Wert ≥10 unabhängig mit Schluckstörung verbunden.</w:t>
      </w:r>
    </w:p>
    <w:p>
      <w:r>
        <w:rPr>
          <w:b/>
          <w:sz w:val="19"/>
        </w:rPr>
        <w:t xml:space="preserve">Übertragbarkeit: </w:t>
      </w:r>
      <w:r>
        <w:rPr>
          <w:sz w:val="19"/>
        </w:rPr>
        <w:t>Schweden, vergleichbare Primärversorgungsstrukturen, Screening in COPD-Routinefolge übertragbar.</w:t>
      </w:r>
    </w:p>
    <w:p>
      <w:r>
        <w:rPr>
          <w:color w:val="5A7D3A"/>
          <w:sz w:val="18"/>
        </w:rPr>
        <w:t>https://pubmed.ncbi.nlm.nih.gov/42557931/</w:t>
      </w:r>
    </w:p>
    <w:p>
      <w:pPr>
        <w:pStyle w:val="Heading2"/>
      </w:pPr>
      <w:r>
        <w:t>Hyperkaliämie-Management: Ärzte bevorzugen RAASi-Erhalt trotz Barrieren</w:t>
      </w:r>
    </w:p>
    <w:p>
      <w:r>
        <w:rPr>
          <w:i/>
          <w:color w:val="666666"/>
          <w:sz w:val="18"/>
        </w:rPr>
        <w:t>Gimenez-Stamminger N et al.  ·  PLoS One  ·  30.07.2026  ·  PMID 42531230</w:t>
      </w:r>
    </w:p>
    <w:p>
      <w:r>
        <w:t>Qualitative Studie mit 12 spanischen Nephrologen zu Strategien der Hyperkaliämie-Behandlung unter Beibehaltung von Renin-Angiotensin-Aldosteron-Inhibitor-Therapie bei CKD-Stadien 3-5.</w:t>
      </w:r>
    </w:p>
    <w:p>
      <w:r>
        <w:rPr>
          <w:b/>
        </w:rPr>
        <w:t xml:space="preserve">Ergebnis: </w:t>
      </w:r>
      <w:r>
        <w:t>Fünf Themen identifiziert: (1) strukturierter Behandlungsalgorithmus für RAASi-Erhalt, (2) neue Kaliumbinder (Patiromer, Natriumzirkonium-Zykliosilikat) als effektiv und besser verträglich, (3) Systembarrieren (Visado-Anforderungen, regionale Formularvarianz) limitieren Zugang, (4) Patientenengagement durch Kommunikation und Pflege-Edukation fördert Adhärenz, (5) Lebensqualität wird selten formal erfasst. Kernempfehlung: Vereinfachte Zugangsswege und verbesserte Multidisziplinarität nötig.</w:t>
      </w:r>
    </w:p>
    <w:p>
      <w:r>
        <w:rPr>
          <w:b/>
          <w:sz w:val="19"/>
        </w:rPr>
        <w:t xml:space="preserve">Übertragbarkeit: </w:t>
      </w:r>
      <w:r>
        <w:rPr>
          <w:sz w:val="19"/>
        </w:rPr>
        <w:t>Spanien, vergleichbares öffentliches Gesundheitssystem, direkt übertragbar für deutsches CKD-Management.</w:t>
      </w:r>
    </w:p>
    <w:p>
      <w:r>
        <w:rPr>
          <w:color w:val="5A7D3A"/>
          <w:sz w:val="18"/>
        </w:rPr>
        <w:t>https://pubmed.ncbi.nlm.nih.gov/42531230/</w:t>
      </w:r>
    </w:p>
    <w:p>
      <w:pPr>
        <w:pStyle w:val="Heading1"/>
      </w:pPr>
      <w:r>
        <w:t>Aufgenommen am 26.08.2026</w:t>
      </w:r>
    </w:p>
    <w:p>
      <w:pPr>
        <w:pStyle w:val="Heading2"/>
      </w:pPr>
      <w:r>
        <w:t>Geschlechtsspezifische Trajectories bei Typ-2-Diabetes: Psychische Erkrankungen bei Frauen häufiger</w:t>
      </w:r>
    </w:p>
    <w:p>
      <w:r>
        <w:rPr>
          <w:i/>
          <w:color w:val="666666"/>
          <w:sz w:val="18"/>
        </w:rPr>
        <w:t>Eto F et al.  ·  PLoS Med  ·  25.08.2026  ·  PMID 42640878</w:t>
      </w:r>
    </w:p>
    <w:p>
      <w:r>
        <w:t>Kohortenstudie mit 28.720 Personen in Großbritannien untersucht unterschiedliche Krankheitsverlaufsmuster nach Typ-2-Diabetes-Diagnose, unterschieden nach Geschlecht.</w:t>
      </w:r>
    </w:p>
    <w:p>
      <w:r>
        <w:rPr>
          <w:b/>
        </w:rPr>
        <w:t xml:space="preserve">Ergebnis: </w:t>
      </w:r>
      <w:r>
        <w:t>Bei Frauen traten psychische Erkrankungen post-Diabetes signifikant häufiger auf als bei Männern (8,1% vs. 5,3%), während Männer höhere Raten für Herz-Kreislauf- und Nierenerkrankungen zeigten (8,4% vs. 5,3%). Beide Geschlechter mit kombiniertem Diabetes und psychischer Erkrankung erlebten vorzeitige Sterblichkeit.</w:t>
      </w:r>
    </w:p>
    <w:p>
      <w:r>
        <w:rPr>
          <w:b/>
          <w:sz w:val="19"/>
        </w:rPr>
        <w:t xml:space="preserve">Übertragbarkeit: </w:t>
      </w:r>
      <w:r>
        <w:rPr>
          <w:sz w:val="19"/>
        </w:rPr>
        <w:t>UK-Register-Daten, vergleichbar mit deutschen Disease-Management-Strukturen zur geschlechtsspezifischen Therapieplanung.</w:t>
      </w:r>
    </w:p>
    <w:p>
      <w:r>
        <w:rPr>
          <w:color w:val="5A7D3A"/>
          <w:sz w:val="18"/>
        </w:rPr>
        <w:t>https://pubmed.ncbi.nlm.nih.gov/42640878/</w:t>
      </w:r>
    </w:p>
    <w:p>
      <w:pPr>
        <w:pStyle w:val="Heading2"/>
      </w:pPr>
      <w:r>
        <w:t>Post-COVID-Endotheldysfunktion verschärft sich bei Patienten mit ME/CFS-Kriterien: Retinale Gefäßanalyse zeigt Arteriolenkatheteropathie</w:t>
      </w:r>
    </w:p>
    <w:p>
      <w:r>
        <w:rPr>
          <w:i/>
          <w:color w:val="666666"/>
          <w:sz w:val="18"/>
        </w:rPr>
        <w:t>Wallraven T et al.  ·  BMC Med  ·  19.08.2026  ·  PMID 42625188</w:t>
      </w:r>
    </w:p>
    <w:p>
      <w:r>
        <w:t>Prospektive Beobachtungsstudie mit 300 Teilnehmern (96 nie infiziert, 102 genesen, 102 mit Post-COVID-Syndrom, davon 62 mit ME/CFS-Kriterien) untersucht Mikrozirkulation mittels retinaler Gefäßanalyse.</w:t>
      </w:r>
    </w:p>
    <w:p>
      <w:r>
        <w:rPr>
          <w:b/>
        </w:rPr>
        <w:t xml:space="preserve">Ergebnis: </w:t>
      </w:r>
      <w:r>
        <w:t>Patienten mit Post-COVID zeigten reduzierte Venendilation (3,7% ± 2,2 vs. 4,8% ± 3,0, p=0,006), engere retinale Arteriolen (CRAE: 178,3 ± 15,5 vs. 186,1 ± 15,7 μm, p=0,001) und niedrigere Arteriol-Venol-Verhältnisse als Genesene (0,83 ± 0,06 vs. 0,86 ± 0,07, p&lt;0,001). Patienten mit ME/CFS-Kriterien zeigten stärkste Veränderungen (AUC 0,79).</w:t>
      </w:r>
    </w:p>
    <w:p>
      <w:r>
        <w:rPr>
          <w:b/>
          <w:sz w:val="19"/>
        </w:rPr>
        <w:t xml:space="preserve">Übertragbarkeit: </w:t>
      </w:r>
      <w:r>
        <w:rPr>
          <w:sz w:val="19"/>
        </w:rPr>
        <w:t>Multinationale Studie (Deutschland, Schweiz); relevanter für Versorgungsfragen zu Post-COVID-Rehabilitationsbedarfen.</w:t>
      </w:r>
    </w:p>
    <w:p>
      <w:r>
        <w:rPr>
          <w:color w:val="5A7D3A"/>
          <w:sz w:val="18"/>
        </w:rPr>
        <w:t>https://pubmed.ncbi.nlm.nih.gov/42625188/</w:t>
      </w:r>
    </w:p>
    <w:p>
      <w:pPr>
        <w:pStyle w:val="Heading1"/>
      </w:pPr>
      <w:r>
        <w:t>Aufgenommen am 24.08.2026</w:t>
      </w:r>
    </w:p>
    <w:p>
      <w:pPr>
        <w:pStyle w:val="Heading2"/>
      </w:pPr>
      <w:r>
        <w:t>Kontinuität der Versorgung senkt Krankenhauseinweisungen und Sterblichkeit bei COPD um 25–63 %</w:t>
      </w:r>
    </w:p>
    <w:p>
      <w:r>
        <w:rPr>
          <w:i/>
          <w:color w:val="666666"/>
          <w:sz w:val="18"/>
        </w:rPr>
        <w:t>Ko J et al.  ·  Int J Chron Obstruct Pulmon Dis  ·  18.08.2026  ·  PMID 42633418</w:t>
      </w:r>
    </w:p>
    <w:p>
      <w:r>
        <w:t>Retrospektive südkoreanische Kohortenstudie mit 29.316 neu diagnostizierten COPD-Patienten aus nationalen Versicherungsdaten 2002–2019 zur Wirkung der Versorgungskontinuität (CoC) auf Krankenhauseinweisungen und Sterblichkeit.</w:t>
      </w:r>
    </w:p>
    <w:p>
      <w:r>
        <w:rPr>
          <w:b/>
        </w:rPr>
        <w:t xml:space="preserve">Ergebnis: </w:t>
      </w:r>
      <w:r>
        <w:t>Niedrige CoC-Werte (&lt;0,7) assoziiert mit erhöhtem Risiko für 3-Jahres-Exazerbations-Krankenhauseinweisung (HR 1,63, 95% CI 1,45–1,83) und allgemeine Mortalität (HR 1,25, 95% CI 1,11–1,40) vs. hohe CoC. Progressiv: Intermediate CoC (0,4–0,7) HR 1,61 für Einweisungen und 1,24 für Mortalität; sehr niedrig (&lt;0,4) HR 1,65 und 1,26. Notaufnahmen HR 1,48, allgemeine Hospitalisierungen HR 1,70 bei niedriger CoC. Befunde konsistent über alternative Kontinuitäts-Indizes. Fragmentierte ambulante Versorgung erhöht vermeidbare Krankenhaus-Kontakte und Todesfälle erheblich.</w:t>
      </w:r>
    </w:p>
    <w:p>
      <w:r>
        <w:rPr>
          <w:b/>
          <w:sz w:val="19"/>
        </w:rPr>
        <w:t xml:space="preserve">Übertragbarkeit: </w:t>
      </w:r>
      <w:r>
        <w:rPr>
          <w:sz w:val="19"/>
        </w:rPr>
        <w:t>Südkorea, nationale Versicherungsdaten, zeigt Bedeutung von Kontinuität unabhängig vom Finanzsystem</w:t>
      </w:r>
    </w:p>
    <w:p>
      <w:r>
        <w:rPr>
          <w:color w:val="5A7D3A"/>
          <w:sz w:val="18"/>
        </w:rPr>
        <w:t>https://pubmed.ncbi.nlm.nih.gov/42633418/</w:t>
      </w:r>
    </w:p>
    <w:p>
      <w:pPr>
        <w:pStyle w:val="Heading1"/>
      </w:pPr>
      <w:r>
        <w:t>Aufgenommen am 23.08.2026</w:t>
      </w:r>
    </w:p>
    <w:p>
      <w:pPr>
        <w:pStyle w:val="Heading2"/>
      </w:pPr>
      <w:r>
        <w:t>Mehrfacherkrankung bei Vorhofflimmern nimmt zu: Gepräge und Verlauf stark heterogen</w:t>
      </w:r>
    </w:p>
    <w:p>
      <w:r>
        <w:rPr>
          <w:i/>
          <w:color w:val="666666"/>
          <w:sz w:val="18"/>
        </w:rPr>
        <w:t>Reinilä S et al.  ·  Eur J Clin Invest  ·  Aug. 2026  ·  PMID 42629441</w:t>
      </w:r>
    </w:p>
    <w:p>
      <w:r>
        <w:t>Finnische Kohorte aller Patienten mit neu diagnostiziertem Vorhofflimmern 2009–2018 (n=196.536); Erfassung von Begleiterkrankungen über nationale Register mit 5-Jahres-Lookback.</w:t>
      </w:r>
    </w:p>
    <w:p>
      <w:r>
        <w:rPr>
          <w:b/>
        </w:rPr>
        <w:t xml:space="preserve">Ergebnis: </w:t>
      </w:r>
      <w:r>
        <w:t>85% hatten ≥2 Begleiterkrankungsgruppen, 28% ≥6 Gruppen. Mittlere Anzahl von Diagnosegruppen stieg von 3,9 auf 4,2 Gruppen (2009–2018); nach Adjustment für Alter signifikant. Mehrfacherkrankung war bei Frauen häufiger (4,2 vs. 3,9 Gruppen) und nahm mit dem Alter zu. Häufigste Begleiterkrankungen: Hypertonie, Stoffwechselerkrankungen, Diabetes, andere kardiovaskuläre Erkrankungen. Eine bedeutende Versorgungsherausforderung mit wachsendem Bedarf für ganzheitliche Behandlung.</w:t>
      </w:r>
    </w:p>
    <w:p>
      <w:r>
        <w:rPr>
          <w:b/>
          <w:sz w:val="19"/>
        </w:rPr>
        <w:t xml:space="preserve">Übertragbarkeit: </w:t>
      </w:r>
      <w:r>
        <w:rPr>
          <w:sz w:val="19"/>
        </w:rPr>
        <w:t>Finnland, vergleichbares nordisches Gesundheitssystem, nationale Registerdaten</w:t>
      </w:r>
    </w:p>
    <w:p>
      <w:r>
        <w:rPr>
          <w:color w:val="5A7D3A"/>
          <w:sz w:val="18"/>
        </w:rPr>
        <w:t>https://pubmed.ncbi.nlm.nih.gov/42629441/</w:t>
      </w:r>
    </w:p>
    <w:p>
      <w:pPr>
        <w:pStyle w:val="Heading1"/>
      </w:pPr>
      <w:r>
        <w:t>Aufgenommen am 22.08.2026</w:t>
      </w:r>
    </w:p>
    <w:p>
      <w:pPr>
        <w:pStyle w:val="Heading2"/>
      </w:pPr>
      <w:r>
        <w:t>HAQ-DI-basierte Screening identifiziert Hochrisiko-Phänotyp mit funktioneller Behinderung in COPD</w:t>
      </w:r>
    </w:p>
    <w:p>
      <w:r>
        <w:rPr>
          <w:i/>
          <w:color w:val="666666"/>
          <w:sz w:val="18"/>
        </w:rPr>
        <w:t>Rogier J et al.  ·  Int J Chron Obstruct Pulmon Dis  ·  15.08.2026  ·  PMID 42621973</w:t>
      </w:r>
    </w:p>
    <w:p>
      <w:r>
        <w:t>Französische Kohortenstudie (n=117) der funktionalen Behinderung bei COPD-Patienten mittels Health Assessment Questionnaire – Disability Index (HAQ-DI) in Relation zu Krankheitsschwere und Krankheitslast.</w:t>
      </w:r>
    </w:p>
    <w:p>
      <w:r>
        <w:rPr>
          <w:b/>
        </w:rPr>
        <w:t xml:space="preserve">Ergebnis: </w:t>
      </w:r>
      <w:r>
        <w:t>Patienten mit COPD GOLD 3–4 zeigten höhere HAQ-DI-Werte als GOLD 1–2 (0,50 vs. 0,25, p=0,015); 20 Patienten (17,1%) erfüllten Kriterien für "Hochfunktionelle Behinderung" (HAQ-DI ≥1) mit ungünstigeren Prognose-Markern; HAQ-DI korrelierte mit Exazerbationen, Dyspnoe und Krankheitslast (alle p&lt;0,001). HAQ-DI ist ein praktisches Screening-Instrument zur Identifizierung von Patienten mit hohem funktionellem Risiko, die von Rehabilitations- und psychologischem Support profitieren könnten.</w:t>
      </w:r>
    </w:p>
    <w:p>
      <w:r>
        <w:rPr>
          <w:b/>
          <w:sz w:val="19"/>
        </w:rPr>
        <w:t xml:space="preserve">Übertragbarkeit: </w:t>
      </w:r>
      <w:r>
        <w:rPr>
          <w:sz w:val="19"/>
        </w:rPr>
        <w:t>Frankreich, vergleichbare Dokumentation von Komorbiditäten und Funktionalität</w:t>
      </w:r>
    </w:p>
    <w:p>
      <w:r>
        <w:rPr>
          <w:color w:val="5A7D3A"/>
          <w:sz w:val="18"/>
        </w:rPr>
        <w:t>https://pubmed.ncbi.nlm.nih.gov/42621973/</w:t>
      </w:r>
    </w:p>
    <w:p>
      <w:pPr>
        <w:pStyle w:val="Heading2"/>
      </w:pPr>
      <w:r>
        <w:t>SMART-Youth: Longitudinale Kohortenstudie zu kardiovaskulären Risikofaktoren für subklinische Atherosklerose bei Kindern mit chronischen Erkrankungen</w:t>
      </w:r>
    </w:p>
    <w:p>
      <w:r>
        <w:rPr>
          <w:i/>
          <w:color w:val="666666"/>
          <w:sz w:val="18"/>
        </w:rPr>
        <w:t>van der Linden IA et al.  ·  BMJ Open  ·  13.08.2026  ·  PMID 42595358</w:t>
      </w:r>
    </w:p>
    <w:p>
      <w:r>
        <w:t>Prospektive longitudinale Kohortenstudie in niederländischem Universitätskrankenhaus (geplant n&gt;2000, 8–18 Jahre) zu krankheits- und lebensstilassoziierten kardiovaskulären Risikofaktoren für subklinische Atherosklerose bei Kindern mit diversen chronischen Erkrankungen (CF, JIA, CKD, IBD, angeborene Herzerkrankung etc.); Rekrutierung seit August 2024.</w:t>
      </w:r>
    </w:p>
    <w:p>
      <w:r>
        <w:rPr>
          <w:b/>
        </w:rPr>
        <w:t xml:space="preserve">Ergebnis: </w:t>
      </w:r>
      <w:r>
        <w:t>Baseline-Charakterisierung: Erfassung von Blutdruck, BMI, Lipiden, HbA1c, CRP; Messung von Karotis-Intima-Media-Dicke, Karotis-Distension und Karotis-Femoral-Pulswellen-Geschwindigkeit bei Baseline, 2-Jahr-Follow-up und Alter 17–18 Jahren. Primärer Fokus: langfristige Assoziationen zwischen kardiovaskulären Risikofaktoren und früher subklinischer Atherosklerose bei chronisch erkrankten Kindern zur Risikostratifizierung und Früherkennung.</w:t>
      </w:r>
    </w:p>
    <w:p>
      <w:r>
        <w:rPr>
          <w:b/>
          <w:sz w:val="19"/>
        </w:rPr>
        <w:t xml:space="preserve">Übertragbarkeit: </w:t>
      </w:r>
      <w:r>
        <w:rPr>
          <w:sz w:val="19"/>
        </w:rPr>
        <w:t>Niederlande, Universitätskrankenhaus in vergleichbarem System; Mehrfacherkrankungen-Fokus bei Kindern</w:t>
      </w:r>
    </w:p>
    <w:p>
      <w:r>
        <w:rPr>
          <w:color w:val="5A7D3A"/>
          <w:sz w:val="18"/>
        </w:rPr>
        <w:t>https://pubmed.ncbi.nlm.nih.gov/42595358/</w:t>
      </w:r>
    </w:p>
    <w:p>
      <w:pPr>
        <w:pStyle w:val="Heading1"/>
      </w:pPr>
      <w:r>
        <w:t>Aufgenommen am 21.08.2026</w:t>
      </w:r>
    </w:p>
    <w:p>
      <w:pPr>
        <w:pStyle w:val="Heading2"/>
      </w:pPr>
      <w:r>
        <w:t>Self-Management-Interventionen zeigen Verbesserung in Verhalten, aber nicht in Lebensqualität bei Mehrfacherkrankung</w:t>
      </w:r>
    </w:p>
    <w:p>
      <w:r>
        <w:rPr>
          <w:i/>
          <w:color w:val="666666"/>
          <w:sz w:val="18"/>
        </w:rPr>
        <w:t>Hopwood E et al.  ·  J Eval Clin Pract  ·  Aug. 2026  ·  PMID 42623506</w:t>
      </w:r>
    </w:p>
    <w:p>
      <w:r>
        <w:t>Systematische Übersicht von 28 Studien zu Wirksamkeit und Erfahrungen mit Self-Management-Interventionen für Erwachsene mit Mehrfacherkrankung (quantitativ und qualitativ).</w:t>
      </w:r>
    </w:p>
    <w:p>
      <w:r>
        <w:rPr>
          <w:b/>
        </w:rPr>
        <w:t xml:space="preserve">Ergebnis: </w:t>
      </w:r>
      <w:r>
        <w:t>Quantitative Evidenz zeigte bescheidene Verbesserungen in spezifischen Self-Management-Verhaltensweisen (gesundheitsorientierte Aktivitäten, Selbstmonitoring), aber wenig bis kein Effekt auf Lebensqualität oder psychologische Outcomes. Qualitative Befunde deuteten auf subjektive Verbesserungen in Lebensqualität und psychischer Gesundheit hin – Diskrepanz unterstreicht Bedarf nach validierten Mehrfacherkrankungs-spezifischen Outcome-Maßen.</w:t>
      </w:r>
    </w:p>
    <w:p>
      <w:r>
        <w:rPr>
          <w:b/>
          <w:sz w:val="19"/>
        </w:rPr>
        <w:t xml:space="preserve">Übertragbarkeit: </w:t>
      </w:r>
      <w:r>
        <w:rPr>
          <w:sz w:val="19"/>
        </w:rPr>
        <w:t>Internationale Evidenz, vorwiegend europäisch, direkt auf Primärversorgung übertragbar</w:t>
      </w:r>
    </w:p>
    <w:p>
      <w:r>
        <w:rPr>
          <w:color w:val="5A7D3A"/>
          <w:sz w:val="18"/>
        </w:rPr>
        <w:t>https://pubmed.ncbi.nlm.nih.gov/42623506/</w:t>
      </w:r>
    </w:p>
    <w:p>
      <w:pPr>
        <w:pStyle w:val="Heading2"/>
      </w:pPr>
      <w:r>
        <w:t>Digitales Multikomponent-Programm reduziert Angst und Depression bei Mehrfacherkrankung um 2,6–2,9 Punkte auf HADS</w:t>
      </w:r>
    </w:p>
    <w:p>
      <w:r>
        <w:rPr>
          <w:i/>
          <w:color w:val="666666"/>
          <w:sz w:val="18"/>
        </w:rPr>
        <w:t>Johnson E et al.  ·  PLoS Med  ·  20.08.2026  ·  PMID 42623335</w:t>
      </w:r>
    </w:p>
    <w:p>
      <w:r>
        <w:t>Dreiarmige randomisierte Studie (825 Patienten über 13 Länder, online durchgeführt 2023–2024) zu Effekt eines digitalen Programms mit oder ohne menschliche Unterstützung versus Warteliste bei Angst und Depression bei chronischen Erkrankungen.</w:t>
      </w:r>
    </w:p>
    <w:p>
      <w:r>
        <w:rPr>
          <w:b/>
        </w:rPr>
        <w:t xml:space="preserve">Ergebnis: </w:t>
      </w:r>
      <w:r>
        <w:t>Primärer Vergleich (eMPower + Human Support vs. Kontrolle): HADS-Gesamtscore verbesserte sich um 2,9 Punkte (95%-KI 2,0–3,8; p&lt;0,001). Self-directed eMPower zeigte ähnliche Verbesserung (2,6 Punkte; 95%-KI 1,8–3,5; p&lt;0,001); kein signifikanter Unterschied zwischen Interventionen. Verbesserungen auch bei Müdigkeit (MFIS) und Lebensqualität (SF-12, EQ-5D-5L). Keine unerwünschten Ereignisse berichtet.</w:t>
      </w:r>
    </w:p>
    <w:p>
      <w:r>
        <w:rPr>
          <w:b/>
          <w:sz w:val="19"/>
        </w:rPr>
        <w:t xml:space="preserve">Übertragbarkeit: </w:t>
      </w:r>
      <w:r>
        <w:rPr>
          <w:sz w:val="19"/>
        </w:rPr>
        <w:t>Internetbasiert, international, aber auf Mehrfacherkrankung generell bezogen, gute Übertragbarkeit</w:t>
      </w:r>
    </w:p>
    <w:p>
      <w:r>
        <w:rPr>
          <w:color w:val="5A7D3A"/>
          <w:sz w:val="18"/>
        </w:rPr>
        <w:t>https://pubmed.ncbi.nlm.nih.gov/42623335/</w:t>
      </w:r>
    </w:p>
    <w:p>
      <w:pPr>
        <w:pStyle w:val="Heading2"/>
      </w:pPr>
      <w:r>
        <w:t>Psychische Erkrankungen mit 1,85- bis 3,16-fach erhöhtem Risiko für systemische Mehrfacherkrankung bei jungen Frauen</w:t>
      </w:r>
    </w:p>
    <w:p>
      <w:r>
        <w:rPr>
          <w:i/>
          <w:color w:val="666666"/>
          <w:sz w:val="18"/>
        </w:rPr>
        <w:t>Halstead S et al.  ·  Lancet Psychiatry  ·  Sept. 2026  ·  PMID 42586082</w:t>
      </w:r>
    </w:p>
    <w:p>
      <w:r>
        <w:t>Kohortenstudie mit 30.189 Patienten mit Schizophrenie-Spektrum/bipolaren Störungen und 148.476 Kontrollen (Queensland, Australien, 2000–2023) zu Inzidenz und absoluten Unterschieden in systemischer Mehrfacherkrankung (Multiple Systeme betroffen).</w:t>
      </w:r>
    </w:p>
    <w:p>
      <w:r>
        <w:rPr>
          <w:b/>
        </w:rPr>
        <w:t xml:space="preserve">Ergebnis: </w:t>
      </w:r>
      <w:r>
        <w:t>Relative Inzidenz der Mehrfacherkrankung signifikant erhöht: mindestens ein System HR=1,85 (95%-KI 1,81–1,88), fünf Systeme HR=3,16 (95%-KI 3,01–3,30). Bei 20 Jahren absolute Cumulative-Incidence-Unterschiede: 9,79 zusätzliche Fälle pro 100 Personen (≥1 System), höchste Effekte bei Frauen &lt;25 Jahren (HR=9,24 für ≥5 Systeme; 95%-KI 7,30–11,71).</w:t>
      </w:r>
    </w:p>
    <w:p>
      <w:r>
        <w:rPr>
          <w:b/>
          <w:sz w:val="19"/>
        </w:rPr>
        <w:t xml:space="preserve">Übertragbarkeit: </w:t>
      </w:r>
      <w:r>
        <w:rPr>
          <w:sz w:val="19"/>
        </w:rPr>
        <w:t>Australien (vergleichbar mit Mittelsystemländern), großes Register, aber klinisches Risikoprofil generell übertragbar</w:t>
      </w:r>
    </w:p>
    <w:p>
      <w:r>
        <w:rPr>
          <w:color w:val="5A7D3A"/>
          <w:sz w:val="18"/>
        </w:rPr>
        <w:t>https://pubmed.ncbi.nlm.nih.gov/42586082/</w:t>
      </w:r>
    </w:p>
    <w:p>
      <w:pPr>
        <w:pStyle w:val="Heading1"/>
      </w:pPr>
      <w:r>
        <w:t>Aufgenommen am 20.08.2026</w:t>
      </w:r>
    </w:p>
    <w:p>
      <w:pPr>
        <w:pStyle w:val="Heading2"/>
      </w:pPr>
      <w:r>
        <w:t>COPD mit Typ-2-Entzündung und Exazerbationen trotz Dreifachtherapie – 3-fach höhere Kosten und Hospitalisierungsrate</w:t>
      </w:r>
    </w:p>
    <w:p>
      <w:r>
        <w:rPr>
          <w:i/>
          <w:color w:val="666666"/>
          <w:sz w:val="18"/>
        </w:rPr>
        <w:t>Narendra DK et al.  ·  Int J Chron Obstruct Pulmon Dis  ·  13.08.2026  ·  PMID 42609821</w:t>
      </w:r>
    </w:p>
    <w:p>
      <w:r>
        <w:t>Retrospektive Analyse der Optum-Datenbank (über 28 Millionen Versicherte, USA) zu Exazerbationen und Versorgungslast bei COPD-Patienten mit Typ-2-Entzündung (erhöhte Eosinophile) und Exazerbationshistorie trotz Dreifachtherapie.</w:t>
      </w:r>
    </w:p>
    <w:p>
      <w:r>
        <w:rPr>
          <w:b/>
        </w:rPr>
        <w:t xml:space="preserve">Ergebnis: </w:t>
      </w:r>
      <w:r>
        <w:t>Bei 13.840 Patienten (6.389 mit Exazerbationen und Eosinophile ≥150 Zellen/μL): durchschnittlich 1,58 COPD-Exazerbationen/Jahr vs. 0,52 in der Kontrollgruppe; um ~6.700 USD höhere jährliche Kosten; höhere Notaufnahme- und Hospitalisierungsraten trotz optimierter medikamentöser Therapie. Ungedeckter Versorgungsbedarf.</w:t>
      </w:r>
    </w:p>
    <w:p>
      <w:r>
        <w:rPr>
          <w:b/>
          <w:sz w:val="19"/>
        </w:rPr>
        <w:t xml:space="preserve">Übertragbarkeit: </w:t>
      </w:r>
      <w:r>
        <w:rPr>
          <w:sz w:val="19"/>
        </w:rPr>
        <w:t>USA-Daten; Effektivitätsbefund (Exazerbationslast trotz optimaler medikamentöser Versorgung) übertragbar auf Deutschland.</w:t>
      </w:r>
    </w:p>
    <w:p>
      <w:r>
        <w:rPr>
          <w:color w:val="5A7D3A"/>
          <w:sz w:val="18"/>
        </w:rPr>
        <w:t>https://pubmed.ncbi.nlm.nih.gov/42609821/</w:t>
      </w:r>
    </w:p>
    <w:p>
      <w:pPr>
        <w:pStyle w:val="Heading2"/>
      </w:pPr>
      <w:r>
        <w:t>Cluster-Analyse identifiziert sechs Subtypen hochgradig multimorbider Patienten für gezielte Interventionen im englischen Gesundheitssystem</w:t>
      </w:r>
    </w:p>
    <w:p>
      <w:r>
        <w:rPr>
          <w:i/>
          <w:color w:val="666666"/>
          <w:sz w:val="18"/>
        </w:rPr>
        <w:t>Wood RM et al.  ·  Health Care Manag Sci  ·  07.08.2026  ·  PMID 42566017</w:t>
      </w:r>
    </w:p>
    <w:p>
      <w:r>
        <w:t>Clusteranalyse von 19.520 Hochmorbidität-Patienten (top 3% von 1 Million Versicherten, &gt;1/5 der Kosten) in Bristol, um heterogene Subgruppen und entsprechende Versorgungsziele zu definieren.</w:t>
      </w:r>
    </w:p>
    <w:p>
      <w:r>
        <w:rPr>
          <w:b/>
        </w:rPr>
        <w:t xml:space="preserve">Ergebnis: </w:t>
      </w:r>
      <w:r>
        <w:t>Sechs Cluster identifiziert: Ältere ohne Demenz (n=1.243); Krebs (n=1.055); Jünger/komplex (n=2.199); Atemwege (n=4.743); Kardiovaskulär (n=6.140); Demenz (n=4.579). Jeder Cluster erhielt wertbasierte Versorgungsziele und spezifische klinische Managemententscheidungen. Heterogenität innerhalb der Hochmorbidität erfordert maßgeschneiderte Interventionen.</w:t>
      </w:r>
    </w:p>
    <w:p>
      <w:r>
        <w:rPr>
          <w:b/>
          <w:sz w:val="19"/>
        </w:rPr>
        <w:t xml:space="preserve">Übertragbarkeit: </w:t>
      </w:r>
      <w:r>
        <w:rPr>
          <w:sz w:val="19"/>
        </w:rPr>
        <w:t>Vereinigtes Königreich, NHS-Struktur, ähnliche Versorgungsmotivation.</w:t>
      </w:r>
    </w:p>
    <w:p>
      <w:r>
        <w:rPr>
          <w:color w:val="5A7D3A"/>
          <w:sz w:val="18"/>
        </w:rPr>
        <w:t>https://pubmed.ncbi.nlm.nih.gov/42566017/</w:t>
      </w:r>
    </w:p>
    <w:p>
      <w:pPr>
        <w:pStyle w:val="Heading2"/>
      </w:pPr>
      <w:r>
        <w:t>Capability Cards unterstützen personzentrierte Gespräche bei Mehrfacherkrankungen in spanischer Primärversorgung – validiert</w:t>
      </w:r>
    </w:p>
    <w:p>
      <w:r>
        <w:rPr>
          <w:i/>
          <w:color w:val="666666"/>
          <w:sz w:val="18"/>
        </w:rPr>
        <w:t>Llubes-Arrià L et al.  ·  Prim Health Care Res Dev  ·  06.08.2026  ·  PMID 42559972</w:t>
      </w:r>
    </w:p>
    <w:p>
      <w:r>
        <w:t>Methodische Validierungsstudie der spanischen Übersetzung und kulturellen Anpassung der Capability Cards als Werkzeug für Patienten mit Mehrfacherkrankung in spanischen Gemeinschaftspraxen.</w:t>
      </w:r>
    </w:p>
    <w:p>
      <w:r>
        <w:rPr>
          <w:b/>
        </w:rPr>
        <w:t xml:space="preserve">Ergebnis: </w:t>
      </w:r>
      <w:r>
        <w:t>Hohe inhaltsliche Validität in allen Gruppen (Content Validity Index: Experten 0,88; Fachkräfte 0,96; Zielpopulation 0,98); ausgezeichnete Usability (System Usability Scale). Capability Cards zeigten starke kulturelle Angemessenheit und Eignung für strukturierte, personzentrierte Gespräche zur Förderung von Empowerment und partizipatorischer Versorgung bei Mehrfacherkrankung.</w:t>
      </w:r>
    </w:p>
    <w:p>
      <w:r>
        <w:rPr>
          <w:b/>
          <w:sz w:val="19"/>
        </w:rPr>
        <w:t xml:space="preserve">Übertragbarkeit: </w:t>
      </w:r>
      <w:r>
        <w:rPr>
          <w:sz w:val="19"/>
        </w:rPr>
        <w:t>Spanien, ambulante Primärversorgung ähnlich Deutschland.</w:t>
      </w:r>
    </w:p>
    <w:p>
      <w:r>
        <w:rPr>
          <w:color w:val="5A7D3A"/>
          <w:sz w:val="18"/>
        </w:rPr>
        <w:t>https://pubmed.ncbi.nlm.nih.gov/42559972/</w:t>
      </w:r>
    </w:p>
    <w:p>
      <w:pPr>
        <w:pStyle w:val="Heading1"/>
      </w:pPr>
      <w:r>
        <w:t>Aufgenommen am 19.08.2026</w:t>
      </w:r>
    </w:p>
    <w:p>
      <w:pPr>
        <w:pStyle w:val="Heading2"/>
      </w:pPr>
      <w:r>
        <w:t>Hybrid-Versorgung für COPD-Patienten mit hohem Risiko: Pflegeleitung, Personalisierung und digitale Unterstützung zeigen Machbarkeit</w:t>
      </w:r>
    </w:p>
    <w:p>
      <w:r>
        <w:rPr>
          <w:i/>
          <w:color w:val="666666"/>
          <w:sz w:val="18"/>
        </w:rPr>
        <w:t>Gómez-López A et al.  ·  J Med Internet Res  ·  18.08.2026  ·  PMID 42612086</w:t>
      </w:r>
    </w:p>
    <w:p>
      <w:r>
        <w:t>Co-Design-Studie in Barcelona mit vier PDSA-Zyklen zur Operationalisierung einer Hybrid-Care-Intervention (Pflege vor Ort, Personalisierung, digitale Unterstützung) für Patienten mit COPD, Asthma und Bronchiektasen bei exazerbierter und stabiler Erkrankung.</w:t>
      </w:r>
    </w:p>
    <w:p>
      <w:r>
        <w:rPr>
          <w:b/>
        </w:rPr>
        <w:t xml:space="preserve">Ergebnis: </w:t>
      </w:r>
      <w:r>
        <w:t>Am Ende PDSA-3 (August 2025) wurde Operationalisierung dreier Kernkomponenten erreicht: (1) Nurse-Led-Versorgung vor Ort, (2) Personalisierung der Intervention, (3) fortgeschrittene digitale Unterstützung. Konsens unter allen Stakeholdern zu Anwendbarkeit im klinisch stabilen und exazerbiertem Zustand sowie zu kurzfristiger Implementierungs- und nachhaltiger Übernahmestrategie.</w:t>
      </w:r>
    </w:p>
    <w:p>
      <w:r>
        <w:rPr>
          <w:b/>
          <w:sz w:val="19"/>
        </w:rPr>
        <w:t xml:space="preserve">Übertragbarkeit: </w:t>
      </w:r>
      <w:r>
        <w:rPr>
          <w:sz w:val="19"/>
        </w:rPr>
        <w:t>Spanien, katalanisches Gesundheitssystem – Erkenntnisse zur Integration digitaler Tools in koordinierte Versorgung relevant</w:t>
      </w:r>
    </w:p>
    <w:p>
      <w:r>
        <w:rPr>
          <w:color w:val="5A7D3A"/>
          <w:sz w:val="18"/>
        </w:rPr>
        <w:t>https://pubmed.ncbi.nlm.nih.gov/42612086/</w:t>
      </w:r>
    </w:p>
    <w:p>
      <w:pPr>
        <w:pStyle w:val="Heading2"/>
      </w:pPr>
      <w:r>
        <w:t>Patienten mit eosinophiler COPD und Exazerbationen haben hohes Hospitalisierungs- und Kostenrisiko trotz Dreifachtherapie</w:t>
      </w:r>
    </w:p>
    <w:p>
      <w:r>
        <w:rPr>
          <w:i/>
          <w:color w:val="666666"/>
          <w:sz w:val="18"/>
        </w:rPr>
        <w:t>Di Giorgi N et al.  ·  Int J Chron Obstruct Pulmon Dis  ·  13.08.2026  ·  PMID 42609817</w:t>
      </w:r>
    </w:p>
    <w:p>
      <w:r>
        <w:t>Reale-Welt-Datenanalyse von 3.279 COPD-Patienten in einem italienischen Tertiärkrankenhaus zur Identifikation von Patienten mit erhöhten Eosinophilen, die für zielgerichtete biologische Therapien (Dupilumab) infrage kommen.</w:t>
      </w:r>
    </w:p>
    <w:p>
      <w:r>
        <w:rPr>
          <w:b/>
        </w:rPr>
        <w:t xml:space="preserve">Ergebnis: </w:t>
      </w:r>
      <w:r>
        <w:t>Unter 224 Patienten mit Exazerbationen unter Dreifachtherapie hatten 87 (38,8 %) mindestens eine Eosinophilenzahl ≥300 Zellen/µL (Median-Messwerte 210 [IQR 130–335] Zellen/µL). Patienten mit EOS ≥300 gegenüber &lt;300: höhere Krankenhausaufnahmen (23,0 % vs. 12,2 %; p=0,005), größere Komorbiditätslast (71,3 % kardiovaskulär, 59,8 % metabolisch), numerisch höhere Gesamtsterblichkeit (19,5 % vs. 13,0 %, nicht signifikant), mehr jährliche Kontakte (4,5 vs. 3,0; p&lt;0,001).</w:t>
      </w:r>
    </w:p>
    <w:p>
      <w:r>
        <w:rPr>
          <w:b/>
          <w:sz w:val="19"/>
        </w:rPr>
        <w:t xml:space="preserve">Übertragbarkeit: </w:t>
      </w:r>
      <w:r>
        <w:rPr>
          <w:sz w:val="19"/>
        </w:rPr>
        <w:t>Italien, vergleichbares europäisches Krankenversicherungssystem; Eosinophil-Monitoring zur Therapiesteuerung</w:t>
      </w:r>
    </w:p>
    <w:p>
      <w:r>
        <w:rPr>
          <w:color w:val="5A7D3A"/>
          <w:sz w:val="18"/>
        </w:rPr>
        <w:t>https://pubmed.ncbi.nlm.nih.gov/42609817/</w:t>
      </w:r>
    </w:p>
    <w:p>
      <w:pPr>
        <w:pStyle w:val="Heading2"/>
      </w:pPr>
      <w:r>
        <w:t>Strukturierte Transitionsversorgung erhöht Übergangsbereitschaft junger Erwachsener mit chronischen Erkrankungen (COCCOS-Protokoll)</w:t>
      </w:r>
    </w:p>
    <w:p>
      <w:r>
        <w:rPr>
          <w:i/>
          <w:color w:val="666666"/>
          <w:sz w:val="18"/>
        </w:rPr>
        <w:t>Van Wilder L et al.  ·  PLoS One  ·  17.08.2026  ·  PMID 42607051</w:t>
      </w:r>
    </w:p>
    <w:p>
      <w:r>
        <w:t>Protokoll einer quasi-experimentellen Studie zur Evaluation eines co-gestalteten Übergangsprogramms von Kindermedizin zu Erwachsenenmedizin bei Patienten mit Typ-1-Diabetes, Asthma oder Adipositas in Belgien.</w:t>
      </w:r>
    </w:p>
    <w:p>
      <w:r>
        <w:rPr>
          <w:b/>
        </w:rPr>
        <w:t xml:space="preserve">Ergebnis: </w:t>
      </w:r>
      <w:r>
        <w:t>Ziel ist Test von vier strukturierten Konsultationen über 13–16 Monate. Primäres Outcome: Transition Readiness Assessment Questionnaire. Sekundäroutcomes: Patient Empowerment, Therapietreue, gesundheitsbezogene Lebensqualität, psychische Gesundheit. Kosteneffektivität aus Payer-Perspektive mit Quality-Adjusted Life Years gemessen. Mixed-Methods-Prozessevaluationen geplant. Im Stadium PDSA-3 (August 2025); Ergebnisse erwartet 2027.</w:t>
      </w:r>
    </w:p>
    <w:p>
      <w:r>
        <w:rPr>
          <w:b/>
          <w:sz w:val="19"/>
        </w:rPr>
        <w:t xml:space="preserve">Übertragbarkeit: </w:t>
      </w:r>
      <w:r>
        <w:rPr>
          <w:sz w:val="19"/>
        </w:rPr>
        <w:t>Belgien, ähnliche Versicherungssysteme und Versorgungspfade wie deutschsprachiger Raum</w:t>
      </w:r>
    </w:p>
    <w:p>
      <w:r>
        <w:rPr>
          <w:color w:val="5A7D3A"/>
          <w:sz w:val="18"/>
        </w:rPr>
        <w:t>https://pubmed.ncbi.nlm.nih.gov/42607051/</w:t>
      </w:r>
    </w:p>
    <w:p>
      <w:pPr>
        <w:pStyle w:val="Heading2"/>
      </w:pPr>
      <w:r>
        <w:t>Mehrfacherkrankung im Alter erhöht Gesamt-Versorgungsausgaben um 11,6 %; sozioökonomische Ungleichheiten verstärken den Effekt</w:t>
      </w:r>
    </w:p>
    <w:p>
      <w:r>
        <w:rPr>
          <w:i/>
          <w:color w:val="666666"/>
          <w:sz w:val="18"/>
        </w:rPr>
        <w:t>Doheny M et al.  ·  BMJ Open  ·  14.08.2026  ·  PMID 42601104</w:t>
      </w:r>
    </w:p>
    <w:p>
      <w:r>
        <w:t>Querschnittsuntersuchung von 371.583 Personen ≥65 Jahre in Region Stockholm zur Prävalenz und Kostenfolgen von Mehrfacherkrankung.</w:t>
      </w:r>
    </w:p>
    <w:p>
      <w:r>
        <w:rPr>
          <w:b/>
        </w:rPr>
        <w:t xml:space="preserve">Ergebnis: </w:t>
      </w:r>
      <w:r>
        <w:t>Mehrfacherkrankung bei 62,6 % der älteren Erwachsenen. Mit ≥4 Erkrankungen stiegen die Durchschnittsausgaben auf 143.063 SEK (gegenüber 34.346 SEK ohne Erkrankung). Multimorbidität assoziiert mit 11,6 % höheren Gesamtausgaben (Cost Ratio 1,116, KI 1,114–1,118). Tiefste Einkommensgruppe zeigte 3,8 % höhere Ausgaben als höchste Gruppe. Soziale Pflegeausgaben überstiegen ab Alter 80 Jahren die Gesundheitsausgaben.</w:t>
      </w:r>
    </w:p>
    <w:p>
      <w:r>
        <w:rPr>
          <w:b/>
          <w:sz w:val="19"/>
        </w:rPr>
        <w:t xml:space="preserve">Übertragbarkeit: </w:t>
      </w:r>
      <w:r>
        <w:rPr>
          <w:sz w:val="19"/>
        </w:rPr>
        <w:t>Schweden, vergleichbares öffentliches Versicherungssystem und Dokumentation wie Deutschland</w:t>
      </w:r>
    </w:p>
    <w:p>
      <w:r>
        <w:rPr>
          <w:color w:val="5A7D3A"/>
          <w:sz w:val="18"/>
        </w:rPr>
        <w:t>https://pubmed.ncbi.nlm.nih.gov/42601104/</w:t>
      </w:r>
    </w:p>
    <w:p>
      <w:pPr>
        <w:pStyle w:val="Heading2"/>
      </w:pPr>
      <w:r>
        <w:t>Pertussis-Hospitalisierungen bei chronischen Erkrankungen: Hochrisiko-Gruppen und Präventionsbedarf in Frankreich</w:t>
      </w:r>
    </w:p>
    <w:p>
      <w:r>
        <w:rPr>
          <w:i/>
          <w:color w:val="666666"/>
          <w:sz w:val="18"/>
        </w:rPr>
        <w:t>Vargas-Zambrano JC et al.  ·  Euro Surveill  ·  Aug. 2026  ·  PMID 42596896</w:t>
      </w:r>
    </w:p>
    <w:p>
      <w:r>
        <w:t>Retrospektive Analyse von 10.893 Patienten mit Keuchhusten-Hospitalisierungen 2008–2020 in Frankreich nach Präsenz chronischer Grunderkrankungen (Asthma, COPD, Diabetes, Immunsuppression).</w:t>
      </w:r>
    </w:p>
    <w:p>
      <w:r>
        <w:rPr>
          <w:b/>
        </w:rPr>
        <w:t xml:space="preserve">Ergebnis: </w:t>
      </w:r>
      <w:r>
        <w:t>Bei Kindern/Jugendlichen (n=7.212): 17,5 % mit Asthma, 0,9 % mit Immunsuppression. Höchste kumulierte Inzidenzrate bei Immunsuppression (adjustiert CIR 3,6; KI 2,8–4,6). Bei Erwachsenen (n=3.681): 62,4 % mit Asthma/COPD, 16,1 % immunsupprimiert, 12,3 % mit Diabetes. Höchste CIR bei Asthma/COPD (18,6; KI 17,4–19,9). Medianhosp.-kosten für Immunsupprimierte 4.401 EUR. Keine signifikanten Änderungen der Ressourcennutzung vor/nach Hospitalisierung bei Erwachsenen.</w:t>
      </w:r>
    </w:p>
    <w:p>
      <w:r>
        <w:rPr>
          <w:b/>
          <w:sz w:val="19"/>
        </w:rPr>
        <w:t xml:space="preserve">Übertragbarkeit: </w:t>
      </w:r>
      <w:r>
        <w:rPr>
          <w:sz w:val="19"/>
        </w:rPr>
        <w:t>Frankreich, französisches Gesundheitssystem und Krankenversicherungsdaten wie Deutschland</w:t>
      </w:r>
    </w:p>
    <w:p>
      <w:r>
        <w:rPr>
          <w:color w:val="5A7D3A"/>
          <w:sz w:val="18"/>
        </w:rPr>
        <w:t>https://pubmed.ncbi.nlm.nih.gov/42596896/</w:t>
      </w:r>
    </w:p>
    <w:p>
      <w:pPr>
        <w:pStyle w:val="Heading2"/>
      </w:pPr>
      <w:r>
        <w:t>Verzögerte Palliativversorgung in Primärversorgung treibt vermeidbare Notfallabteilungsbesuche bei älteren Menschen mit Mehrfacherkrankung</w:t>
      </w:r>
    </w:p>
    <w:p>
      <w:r>
        <w:rPr>
          <w:i/>
          <w:color w:val="666666"/>
          <w:sz w:val="18"/>
        </w:rPr>
        <w:t>Bring H et al.  ·  Scand J Prim Health Care  ·  12.08.2026  ·  PMID 42583708</w:t>
      </w:r>
    </w:p>
    <w:p>
      <w:r>
        <w:t>Qualitative Befragung von 100 Fachleuten (Ärzte, Pflegekräfte) über Gründe für Notfallabteilungsbesuche bei älteren Patienten mit Mehrfacherkrankung und Palliativbedarf in Stockholm.</w:t>
      </w:r>
    </w:p>
    <w:p>
      <w:r>
        <w:rPr>
          <w:b/>
        </w:rPr>
        <w:t xml:space="preserve">Ergebnis: </w:t>
      </w:r>
      <w:r>
        <w:t>Übergeordnetes Thema: ‚Verzögerte, fragmentierte Palliativversorgung trägt zu ED-Besuchen bei'. Zwei Kategorien identifiziert: (1) Palliativbeschlüsse in Primärversorgung (Erkennen von Bedarf, Initiierung, Einbeziehung von Patienten/Familien); (2) Versorgung zu Hause (Planung, Symptommanagement, Informationstransfer). Fachleute berichteten, dass fehlende Vorlaufplanung zu krisenhaften ED-Besuchen führt, die Patientenwünschen widersprechen.</w:t>
      </w:r>
    </w:p>
    <w:p>
      <w:r>
        <w:rPr>
          <w:b/>
          <w:sz w:val="19"/>
        </w:rPr>
        <w:t xml:space="preserve">Übertragbarkeit: </w:t>
      </w:r>
      <w:r>
        <w:rPr>
          <w:sz w:val="19"/>
        </w:rPr>
        <w:t>Schweden, vergleichbare Primärversorgungsstruktur und Palliativstandards mit Deutschland/DACH</w:t>
      </w:r>
    </w:p>
    <w:p>
      <w:r>
        <w:rPr>
          <w:color w:val="5A7D3A"/>
          <w:sz w:val="18"/>
        </w:rPr>
        <w:t>https://pubmed.ncbi.nlm.nih.gov/42583708/</w:t>
      </w:r>
    </w:p>
    <w:p>
      <w:pPr>
        <w:pStyle w:val="Heading2"/>
      </w:pPr>
      <w:r>
        <w:t>Polypharmazie konzentriert sich auf ältere, multimorbide und sozioökonomisch benachteiligte Personen – Versorgungsmuster in Spanien</w:t>
      </w:r>
    </w:p>
    <w:p>
      <w:r>
        <w:rPr>
          <w:i/>
          <w:color w:val="666666"/>
          <w:sz w:val="18"/>
        </w:rPr>
        <w:t>Aparicio-Rodriguez G et al.  ·  Front Public Health  ·  16.07.2026  ·  PMID 42535037</w:t>
      </w:r>
    </w:p>
    <w:p>
      <w:r>
        <w:t>Querschnittsstudie von 33.534 Personen mit Polypharmazie (≥5 verschiedene ATC4-Medikamentengruppen) in La Rioja, Spanien, zu Verteilung nach Alter, Geschlecht und sozioökonomischem Status.</w:t>
      </w:r>
    </w:p>
    <w:p>
      <w:r>
        <w:rPr>
          <w:b/>
        </w:rPr>
        <w:t xml:space="preserve">Ergebnis: </w:t>
      </w:r>
      <w:r>
        <w:t>Mittlere Medikamentenbelastung 7,07 Gruppen (SD 2,17); 58,4 % erhielten 6–9 Gruppen. 71,8 % gehörten zur unteren Einkommensgruppe, die höchsten Belastungen (≥10 Gruppen) zeigten 14,9 % der Armen gegen 8,0–9,2 % der mittleren und höheren Gruppen. Chronische Grunderkrankungen (Herzinsuffizienz, Nierenkrankheit, Gefäßerkrankung) stark assoziiert mit höherer Medikamentenbelastung.</w:t>
      </w:r>
    </w:p>
    <w:p>
      <w:r>
        <w:rPr>
          <w:b/>
          <w:sz w:val="19"/>
        </w:rPr>
        <w:t xml:space="preserve">Übertragbarkeit: </w:t>
      </w:r>
      <w:r>
        <w:rPr>
          <w:sz w:val="19"/>
        </w:rPr>
        <w:t>Spanien, deutschsprachiger Raum – Datenquellen aus öffentlich finanzierter Versorgung</w:t>
      </w:r>
    </w:p>
    <w:p>
      <w:r>
        <w:rPr>
          <w:color w:val="5A7D3A"/>
          <w:sz w:val="18"/>
        </w:rPr>
        <w:t>https://pubmed.ncbi.nlm.nih.gov/42535037/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NCD und chronische Krankheiten</dc:title>
  <dc:subject/>
  <dc:creator>Monitor Versorgungsforschung</dc:creator>
  <cp:keywords/>
  <dc:description>generated by python-docx</dc:description>
  <cp:lastModifiedBy/>
  <cp:revision>1</cp:revision>
  <dcterms:created xsi:type="dcterms:W3CDTF">2026-10-29T06:00:00Z</dcterms:created>
  <dcterms:modified xsi:type="dcterms:W3CDTF">2026-10-29T06:00:00Z</dcterms:modified>
  <cp:category/>
</cp:coreProperties>
</file>