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Nicht uebertragbare Krankheiten</w:t>
      </w:r>
    </w:p>
    <w:p>
      <w:r>
        <w:rPr>
          <w:i/>
          <w:color w:val="666666"/>
          <w:sz w:val="18"/>
        </w:rPr>
        <w:t>Stand: 20.09.2026  |  6 Studien  |  ncd.m-vf.de</w:t>
      </w:r>
    </w:p>
    <w:p>
      <w:pPr>
        <w:pStyle w:val="Heading1"/>
      </w:pPr>
      <w:r>
        <w:t>Aufgenommen am 20.09.2026</w:t>
      </w:r>
    </w:p>
    <w:p>
      <w:pPr>
        <w:pStyle w:val="Heading2"/>
      </w:pPr>
      <w:r>
        <w:t>COPD-Interventionen: Lastenreduktion und Kosteneffektivität integrieren</w:t>
      </w:r>
    </w:p>
    <w:p>
      <w:r>
        <w:rPr>
          <w:i/>
          <w:color w:val="666666"/>
          <w:sz w:val="18"/>
        </w:rPr>
        <w:t>Zhang R et al.  ·  Int J Chron Obstruct Pulmon Dis  ·  14.09.2026  ·  PMID 42761905</w:t>
      </w:r>
    </w:p>
    <w:p>
      <w:r>
        <w:t>Narrative Übersicht integrierte Krankheitslast (DALYs) und Kosteneffektivität (ICER) zur Priorisierung von COPD-Maßnahmen anhand von Gesundheitsauswirkung und ökonomischem Wert.</w:t>
      </w:r>
    </w:p>
    <w:p>
      <w:r>
        <w:rPr>
          <w:b/>
        </w:rPr>
        <w:t xml:space="preserve">Ergebnis: </w:t>
      </w:r>
      <w:r>
        <w:t>Tabakentwöhnung und Pulmonale Rehabilitation zeigten die günstigste Kombination aus Lastenreduktion und ökonomischem Wert. Grippeschutzimpfung und Pneumokokkenimpfung waren günstig, trotz begrenzter COPD-spezifischer Wirtschaftsevidenz. Triple-Inhalationstherapie zeigte kontextabhängigen Wert; Azithromycin und Langzeit-Sauerstofftherapie waren wirtschaftlich in Hochrisikopopulationen günstig. Mepolizumab und Ensifentrin zeigten klinischen Nutzen, aber weniger günstige ökonomische Werte bei getesteten Preisen.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Unterschiedliche Systematik von DMP und Kostenübernahme</w:t>
      </w:r>
    </w:p>
    <w:p>
      <w:r>
        <w:rPr>
          <w:color w:val="5A7D3A"/>
          <w:sz w:val="18"/>
        </w:rPr>
        <w:t>https://pubmed.ncbi.nlm.nih.gov/42761905/</w:t>
      </w:r>
    </w:p>
    <w:p>
      <w:pPr>
        <w:pStyle w:val="Heading2"/>
      </w:pPr>
      <w:r>
        <w:t>COPD-Versorgung in Spanien: Klinische Pfade und Koordination</w:t>
      </w:r>
    </w:p>
    <w:p>
      <w:r>
        <w:rPr>
          <w:i/>
          <w:color w:val="666666"/>
          <w:sz w:val="18"/>
        </w:rPr>
        <w:t>Alcázar-Navarrete B et al.  ·  Int J Chron Obstruct Pulmon Dis  ·  13.09.2026  ·  PMID 42761771</w:t>
      </w:r>
    </w:p>
    <w:p>
      <w:r>
        <w:t>Delphi-Konsens zu Nachsorge von COPD-Patienten in der täglichen Praxis: 155 spanische Pneumologen einigten sich auf strukturierte Versorgungswege mit Differenzierung nach Risiko.</w:t>
      </w:r>
    </w:p>
    <w:p>
      <w:r>
        <w:rPr>
          <w:b/>
        </w:rPr>
        <w:t xml:space="preserve">Ergebnis: </w:t>
      </w:r>
      <w:r>
        <w:t>Über 80 % der Teilnehmer forderten explizitere Leitlinienempfehlungen zur Nachsorge. Konsens herrschte: Niedrig-Risiko-Patienten sollten in der Primärversorgung alle 12 Monate besucht werden; Hoch-Risiko-Patienten benötigen pneumologische Überwachung plus Pflegebesuche. Koordination mit primärer Versorgung und Pflege wird als essentiell erachtet, operationale Protokolle aber noch unklar.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vergleichbares System; DMP-Äquivalent fehlt</w:t>
      </w:r>
    </w:p>
    <w:p>
      <w:r>
        <w:rPr>
          <w:color w:val="5A7D3A"/>
          <w:sz w:val="18"/>
        </w:rPr>
        <w:t>https://pubmed.ncbi.nlm.nih.gov/42761771/</w:t>
      </w:r>
    </w:p>
    <w:p>
      <w:pPr>
        <w:pStyle w:val="Heading2"/>
      </w:pPr>
      <w:r>
        <w:t>Hämodialyse-Versorgung: Forschungslücken und Innovationsbedarf</w:t>
      </w:r>
    </w:p>
    <w:p>
      <w:r>
        <w:rPr>
          <w:i/>
          <w:color w:val="666666"/>
          <w:sz w:val="18"/>
        </w:rPr>
        <w:t>Huish S et al.  ·  BMC Nephrol  ·  18.09.2026  ·  PMID 42760520</w:t>
      </w:r>
    </w:p>
    <w:p>
      <w:r>
        <w:t>UK-Konsenstreffen von 56 Akteuren (Ärzte, Pflege, Patienten) zur Hämodialyse-Versorgung; kritische Bewertung von Studien und Technologien mit Fokus auf Patientenergebnisse.</w:t>
      </w:r>
    </w:p>
    <w:p>
      <w:r>
        <w:rPr>
          <w:b/>
        </w:rPr>
        <w:t xml:space="preserve">Ergebnis: </w:t>
      </w:r>
      <w:r>
        <w:t>NightLife-Studie zu erweiterten nächtlichen Hämodialyseschichten zeigte schlecht enrolliert und unkares primäres Lebensqualitäts-Ergebnis (MD 3,00 Punkte, 95%CI -12,4–18,3). PISCES: 4 g/Tag n-3-PUFA vs. Placebo reduzierte schwere kardiovaskuläre Ereignisse (0,31 vs. 0,61 pro 1000 Patiententage; HR 0,57, 95%CI 0,47–0,70) ohne klaren Gesamtüberlebensvorteil. Konsens: Inklusive Eligibilität, proportionale Finanzierung, patientenrelevante Outcomes nötig.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UK-System mit NHS; teilweise übertragbar auf Versorgungsforschungsmethoden</w:t>
      </w:r>
    </w:p>
    <w:p>
      <w:r>
        <w:rPr>
          <w:color w:val="5A7D3A"/>
          <w:sz w:val="18"/>
        </w:rPr>
        <w:t>https://pubmed.ncbi.nlm.nih.gov/42760520/</w:t>
      </w:r>
    </w:p>
    <w:p>
      <w:pPr>
        <w:pStyle w:val="Heading2"/>
      </w:pPr>
      <w:r>
        <w:t>Neuromuskuläre Elektrostimulation bei Hämodialyse: Evidenz sehr unsicher</w:t>
      </w:r>
    </w:p>
    <w:p>
      <w:r>
        <w:rPr>
          <w:i/>
          <w:color w:val="666666"/>
          <w:sz w:val="18"/>
        </w:rPr>
        <w:t>Beresford L et al.  ·  Cochrane Database Syst Rev  ·  18.09.2026  ·  PMID 42757634</w:t>
      </w:r>
    </w:p>
    <w:p>
      <w:r>
        <w:t>Cochrane-Übersicht zu NMES bei Nierenversagen unter Dialyse (12 RCTs, 299 Teilnehmer); Fokus auf Muskelabbau, physikalische Leistung und kardiovaskuläre Outcomes.</w:t>
      </w:r>
    </w:p>
    <w:p>
      <w:r>
        <w:rPr>
          <w:b/>
        </w:rPr>
        <w:t xml:space="preserve">Ergebnis: </w:t>
      </w:r>
      <w:r>
        <w:t>Evidenzqualität von sehr niedrig bis niedrig. NMES-Effekt auf Lebensteilhabe sehr unsicher (MD 1,00, 95%CI -3,85–5,85, 1 Studie, 20 Teilnehmer). Sistolischer Blutdruck: minimal/kein Unterschied (MD 5,54, 95%CI -4,02–15,09, 4 Studien, 101 Teilnehmer, niedrige Sicherheit). Diastolischer Blutdruck: minimal/kein Unterschied (MD 2,72, 95%CI -2,85–8,29). Keine Studien zu Fatigue, Schmerz, Infektionen oder Gefäßzugang. Große, qualitativ hochwertige RCTs mit patientenzentrierten Outcomes erforderlich.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Evidenzsynthese; Übertragbarkeit hängt von lokalen Dialyse-Ressourcen ab</w:t>
      </w:r>
    </w:p>
    <w:p>
      <w:r>
        <w:rPr>
          <w:color w:val="5A7D3A"/>
          <w:sz w:val="18"/>
        </w:rPr>
        <w:t>https://pubmed.ncbi.nlm.nih.gov/42757634/</w:t>
      </w:r>
    </w:p>
    <w:p>
      <w:pPr>
        <w:pStyle w:val="Heading2"/>
      </w:pPr>
      <w:r>
        <w:t>Biologika bei Eosinophilie: Variable Wirksamkeit je nach Blut-Eosinophil-Schwelle</w:t>
      </w:r>
    </w:p>
    <w:p>
      <w:r>
        <w:rPr>
          <w:i/>
          <w:color w:val="666666"/>
          <w:sz w:val="18"/>
        </w:rPr>
        <w:t>Brightling CE et al.  ·  Int J Chron Obstruct Pulmon Dis  ·  10.09.2026  ·  PMID 42741717</w:t>
      </w:r>
    </w:p>
    <w:p>
      <w:r>
        <w:t>Systematische Übersicht zu Biologika in moderater bis sehr schwerer COPD (Phase-2/3-Studien), Fokus auf Exazerbationen, Lungenfunktion und Lebensqualität je nach Blut-Eosinophil-Baseline.</w:t>
      </w:r>
    </w:p>
    <w:p>
      <w:r>
        <w:rPr>
          <w:b/>
        </w:rPr>
        <w:t xml:space="preserve">Ergebnis: </w:t>
      </w:r>
      <w:r>
        <w:t>Astegolimab, Benralizumab, Itepekimab, Tezepelumab reduzierten Exazerbationen nicht in der Gesamtpopulation. Bei Eosinophilen ≥300/μL profitierten Patienten von Benralizumab, Dupilumab und Mepolizumab mit Exazerbationsraten-Reduktionen; Lungenfunktion und Lebensqualität verbesserten sich v. a. bei höherer Eosinophilie. Die Wirksamkeit ist stark eosinophil-abhängig; unterhalb 150/μL kein Nutzen nachgewiesen.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Studien, Ergebnisse populationsunabhängig</w:t>
      </w:r>
    </w:p>
    <w:p>
      <w:r>
        <w:rPr>
          <w:color w:val="5A7D3A"/>
          <w:sz w:val="18"/>
        </w:rPr>
        <w:t>https://pubmed.ncbi.nlm.nih.gov/42741717/</w:t>
      </w:r>
    </w:p>
    <w:p>
      <w:pPr>
        <w:pStyle w:val="Heading2"/>
      </w:pPr>
      <w:r>
        <w:t>CKD-Prävention: Albuminurie-Screening senkt Dialysebedarf deutlich</w:t>
      </w:r>
    </w:p>
    <w:p>
      <w:r>
        <w:rPr>
          <w:i/>
          <w:color w:val="666666"/>
          <w:sz w:val="18"/>
        </w:rPr>
        <w:t>Ortiz A et al.  ·  Nefrologia (Engl Ed)  ·  Aug. 2026  ·  PMID 42618196</w:t>
      </w:r>
    </w:p>
    <w:p>
      <w:r>
        <w:t>Spanischer Bericht der Nephrologiegesellschaft zeigt Heterogenität in KRT-Indikation über Regionen und fordert präventiven Fokus auf Albuminurie als Screeningkriterium.</w:t>
      </w:r>
    </w:p>
    <w:p>
      <w:r>
        <w:rPr>
          <w:b/>
        </w:rPr>
        <w:t xml:space="preserve">Ergebnis: </w:t>
      </w:r>
      <w:r>
        <w:t>CKD-Prävention durch Albuminurie-Screening kann KRT-Bedarf um fast drei Jahrzehnte verschieben. Inverse Korrelation zwischen KRT-Inzidenz/-Prävalenz und Lebenserwartung: Niedriger KRT-Bedarf ist Leistungsmerkmal besserer Gesamtgesundheit. Integration albuminurie-basiertes CKD-Screening in Darmkrebsscreening für Babyboomer könnte KRT-Welle einbremsen.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ähnliches Sozialversicherungssystem</w:t>
      </w:r>
    </w:p>
    <w:p>
      <w:r>
        <w:rPr>
          <w:color w:val="5A7D3A"/>
          <w:sz w:val="18"/>
        </w:rPr>
        <w:t>https://pubmed.ncbi.nlm.nih.gov/42618196/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2026-09-20T06:00:00Z</dcterms:created>
  <dcterms:modified xsi:type="dcterms:W3CDTF">2026-09-20T06:00:00Z</dcterms:modified>
  <cp:category/>
</cp:coreProperties>
</file>