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02.10.2026  |  6 Studien  |  ncd.m-vf.de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Peritoneal-Dialyse-Peritonitis: Nomogramm zur Vorhersage von Peritonitifreiheit</w:t>
      </w:r>
    </w:p>
    <w:p>
      <w:r>
        <w:rPr>
          <w:i/>
          <w:color w:val="666666"/>
          <w:sz w:val="18"/>
        </w:rPr>
        <w:t>Tian Z et al.  ·  Ren Fail  ·  01.10.2026  ·  PMID 42823121</w:t>
      </w:r>
    </w:p>
    <w:p>
      <w:r>
        <w:t>Retrospektive Kohortenstudie entwickelte und validierte ein Cox-Nomogramm zur Vorhersage der Peritonitis-freien Überlebenszeit bei peritonealer Dialyse (372 Patienten, 26,3 Monate Nachverfolgung).</w:t>
      </w:r>
    </w:p>
    <w:p>
      <w:r>
        <w:rPr>
          <w:b/>
        </w:rPr>
        <w:t xml:space="preserve">Ergebnis: </w:t>
      </w:r>
      <w:r>
        <w:t>Über Median 26,3 Monate: 35,4% Peritonitis-Ereignisse (Training), 30,4% (Validierung). Neun unabhängige Prädiktoren identifiziert (u.a. Bildung, BMI, Albumin, Kalzium, Phosphor). C-Index 0,707; ROC-AUC bei 6/12/24 Monaten: 75,8%/77,5%/69,7% (Training) bzw. 77,7%/63,8%/58,4% (Validierung). Modell zeigt moderate Diskrimination und befriedigende Kalibration.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klinisch routinemäßig erhobene Parameter, externe Validierung vor Routineeinsatz erforderlich.</w:t>
      </w:r>
    </w:p>
    <w:p>
      <w:r>
        <w:rPr>
          <w:color w:val="5A7D3A"/>
          <w:sz w:val="18"/>
        </w:rPr>
        <w:t>https://pubmed.ncbi.nlm.nih.gov/42823121/</w:t>
      </w:r>
    </w:p>
    <w:p>
      <w:pPr>
        <w:pStyle w:val="Heading2"/>
      </w:pPr>
      <w:r>
        <w:t>Bewegungsmangel verursacht 2% der Krankheitslast in der Schweiz</w:t>
      </w:r>
    </w:p>
    <w:p>
      <w:r>
        <w:rPr>
          <w:i/>
          <w:color w:val="666666"/>
          <w:sz w:val="18"/>
        </w:rPr>
        <w:t>Güntert L et al.  ·  Swiss Med Wkly  ·  24.09.2026  ·  PMID 42821881</w:t>
      </w:r>
    </w:p>
    <w:p>
      <w:r>
        <w:t>Bevölkerungsgestützte Modellierungsstudie quantifizierte die durch körperliche Inaktivität verursachte Krankheitslast (YLD und YLL) in der Schweiz 2022 nach Sprachregionen.</w:t>
      </w:r>
    </w:p>
    <w:p>
      <w:r>
        <w:rPr>
          <w:b/>
        </w:rPr>
        <w:t xml:space="preserve">Ergebnis: </w:t>
      </w:r>
      <w:r>
        <w:t>Physische Inaktivität führte zu 227,08 YLD und 424,23 YLL pro 100.000 Personen &gt;20 Jahren (2% der DALYs insgesamt). Italienisch- und französischsprachige Regionen zeigten erheblich höhere Raten als deutschsprachige Regionen. Depression (93,38 YLD) und Herzkoronarerkrankung (132,12 YLL) waren Hauptkontributoren; Frauen waren stärker belastet als Männer.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Schweizer Bevölkerungsdaten, ähnliche Struktur und Prävention wie im deutschsprachigen Raum.</w:t>
      </w:r>
    </w:p>
    <w:p>
      <w:r>
        <w:rPr>
          <w:color w:val="5A7D3A"/>
          <w:sz w:val="18"/>
        </w:rPr>
        <w:t>https://pubmed.ncbi.nlm.nih.gov/42821881/</w:t>
      </w:r>
    </w:p>
    <w:p>
      <w:pPr>
        <w:pStyle w:val="Heading2"/>
      </w:pPr>
      <w:r>
        <w:t>Antidiabetika und COPD-Exazerbationen: Netzwerk-Metaanalyse bei Typ-2-Diabetes</w:t>
      </w:r>
    </w:p>
    <w:p>
      <w:r>
        <w:rPr>
          <w:i/>
          <w:color w:val="666666"/>
          <w:sz w:val="18"/>
        </w:rPr>
        <w:t>Shabil M et al.  ·  Diab Vasc Dis Res  ·  01.10.2026  ·  PMID 42821775</w:t>
      </w:r>
    </w:p>
    <w:p>
      <w:r>
        <w:t>Systematische Übersicht mit Netzwerk-Metaanalyse evaluierte Effekte verschiedener Antidiabetika auf COPD-Exazerbationen bei Patienten mit T2DM (13 Beobachtungsstudien, 755.206 Teilnehmer).</w:t>
      </w:r>
    </w:p>
    <w:p>
      <w:r>
        <w:rPr>
          <w:b/>
        </w:rPr>
        <w:t xml:space="preserve">Ergebnis: </w:t>
      </w:r>
      <w:r>
        <w:t>Im Vergleich zu Sulfonylharnstoffen: SGLT-2-Inhibitoren zeigten tiefste COPD-Exazerbationsrate (RR 0,71; 95% CI 0,66–0,77), gefolgt von GLP-1-Agonisten (RR 0,77; 95% CI 0,71–0,84). Metformin neutral (RR 0,89), DPP-4-Inhibitoren (RR 1,05) und Meglitinide ohne klaren Nutzen. Ähnliche Befunde für schwere Exazerbationen.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Beobachtungsdaten, Effektstärken unabhängig von Versorgungssystem.</w:t>
      </w:r>
    </w:p>
    <w:p>
      <w:r>
        <w:rPr>
          <w:color w:val="5A7D3A"/>
          <w:sz w:val="18"/>
        </w:rPr>
        <w:t>https://pubmed.ncbi.nlm.nih.gov/42821775/</w:t>
      </w:r>
    </w:p>
    <w:p>
      <w:pPr>
        <w:pStyle w:val="Heading2"/>
      </w:pPr>
      <w:r>
        <w:t>Rauchentwöhnung bei COPD: Klinik-Zuweisung verbesserte Abstinenzquote deutlich</w:t>
      </w:r>
    </w:p>
    <w:p>
      <w:r>
        <w:rPr>
          <w:i/>
          <w:color w:val="666666"/>
          <w:sz w:val="18"/>
        </w:rPr>
        <w:t>Marım F et al.  ·  Int J Chron Obstruct Pulmon Dis  ·  26.09.2026  ·  PMID 42820089</w:t>
      </w:r>
    </w:p>
    <w:p>
      <w:r>
        <w:t>Subgruppenanalyse einer multizentrischen RCT untersuchte Faktoren, die mit 1-Jahres-Rauchentwöhnung bei COPD-Patienten assoziiert sind (Vergleich: sofortige Klinik-Zuweisung vs. Standard-Versorgung).</w:t>
      </w:r>
    </w:p>
    <w:p>
      <w:r>
        <w:rPr>
          <w:b/>
        </w:rPr>
        <w:t xml:space="preserve">Ergebnis: </w:t>
      </w:r>
      <w:r>
        <w:t>Von 172 Patienten quit 32 (18,6%): 24 von 93 (25,8%) mit sofortiger Zuweisung vs. 8 von 79 (10,1%) mit Standardversorgung (p=0,010). Im multivariablen Modell: Standardversorgung senkte Erfolgschancen (OR 0,25; 95% CI 0,09–0,64); Fehlen von Komorbiditäten (OR 2,64) und &gt;1 exazerbationsbedingte Hospitalisierung (OR 9,32) erhöhten sie. Strukturierte Versorgungspfade sind zentral.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Multizenterstudie, aber Versorgungsprinzipien (Koordination, Strukturierung) auf Deutschland übertragbar.</w:t>
      </w:r>
    </w:p>
    <w:p>
      <w:r>
        <w:rPr>
          <w:color w:val="5A7D3A"/>
          <w:sz w:val="18"/>
        </w:rPr>
        <w:t>https://pubmed.ncbi.nlm.nih.gov/42820089/</w:t>
      </w:r>
    </w:p>
    <w:p>
      <w:pPr>
        <w:pStyle w:val="Heading2"/>
      </w:pPr>
      <w:r>
        <w:t>Gicht-Akutbehandlung bei Nierenkrankheit: Anakinra versus Steroide</w:t>
      </w:r>
    </w:p>
    <w:p>
      <w:r>
        <w:rPr>
          <w:i/>
          <w:color w:val="666666"/>
          <w:sz w:val="18"/>
        </w:rPr>
        <w:t>Balasubramaniam G et al.  ·  BMJ Open  ·  30.09.2026  ·  PMID 42816092</w:t>
      </w:r>
    </w:p>
    <w:p>
      <w:r>
        <w:t>Feasibility-Studie testete Durchführbarkeit einer doppelblinden RCT von Anakinra versus Methylprednisolon bei Gicht-Anfällen in chronischer Nierenkrankheit (eGFR &lt;60).</w:t>
      </w:r>
    </w:p>
    <w:p>
      <w:r>
        <w:rPr>
          <w:b/>
        </w:rPr>
        <w:t xml:space="preserve">Ergebnis: </w:t>
      </w:r>
      <w:r>
        <w:t>21 Patienten randomisiert, 17 behandelt. Schmerzreduktion nach 7 Tagen: 46,8 von 100 auf visueller Analogskala. Anakinra zeigte Trend zu schnellerem Schmerzrückgang. Machbarkeit demonstriert; Unter-Rekrutierung war Hauptproblem. Empfehlung für optimierte Fall-Findung in der Gemeinschaft vor definitivem Trial.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UK-Sekundärversorger, transferierbar auf multimorbide ältere Patienten in Deutschland.</w:t>
      </w:r>
    </w:p>
    <w:p>
      <w:r>
        <w:rPr>
          <w:color w:val="5A7D3A"/>
          <w:sz w:val="18"/>
        </w:rPr>
        <w:t>https://pubmed.ncbi.nlm.nih.gov/42816092/</w:t>
      </w:r>
    </w:p>
    <w:p>
      <w:pPr>
        <w:pStyle w:val="Heading2"/>
      </w:pPr>
      <w:r>
        <w:t>Sarcopenie bei Mehrfacherkrankungen: europäische Leitlinie mit praktischen Empfehlungen</w:t>
      </w:r>
    </w:p>
    <w:p>
      <w:r>
        <w:rPr>
          <w:i/>
          <w:color w:val="666666"/>
          <w:sz w:val="18"/>
        </w:rPr>
        <w:t>Bernabeu-Wittel M et al.  ·  Eur J Intern Med  ·  13.08.2026  ·  PMID 42595648</w:t>
      </w:r>
    </w:p>
    <w:p>
      <w:r>
        <w:t>EFIM-adaptierte Leitlinie für Identifikation und Management von Sarcopenie bei Patienten mit Mehrfacherkrankungen, basierend auf kritischer Bewertung bestehender Guidelines.</w:t>
      </w:r>
    </w:p>
    <w:p>
      <w:r>
        <w:rPr>
          <w:b/>
        </w:rPr>
        <w:t xml:space="preserve">Ergebnis: </w:t>
      </w:r>
      <w:r>
        <w:t>37 Empfehlungen (30 strong, 7 weak): Proaktives Screening ab 65 Jahren und bei jüngeren mit Risikofaktoren; Handgriffkraft als Eintrittspunkt; flexible diagnostische Wege; individualisierte multimodale Interventionen. 8 auf hoher, 12 auf moderater, 17 auf niedriger Evidenz oder Konsens. Adressiert iatrogene Risiken (Corticosteroide, GLP-1-Agonisten).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Innere Medizin, direkt auf deutsches Versorgungssystem übertragbar.</w:t>
      </w:r>
    </w:p>
    <w:p>
      <w:r>
        <w:rPr>
          <w:color w:val="5A7D3A"/>
          <w:sz w:val="18"/>
        </w:rPr>
        <w:t>https://pubmed.ncbi.nlm.nih.gov/42595648/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