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NCD und chronische Krankheiten</w:t>
      </w:r>
    </w:p>
    <w:p>
      <w:r>
        <w:rPr>
          <w:i/>
          <w:color w:val="666666"/>
          <w:sz w:val="18"/>
        </w:rPr>
        <w:t>Stand: 18.10.2026  |  6 Studien  |  ncd.m-vf.de</w:t>
      </w:r>
    </w:p>
    <w:p>
      <w:pPr>
        <w:pStyle w:val="Heading1"/>
      </w:pPr>
      <w:r>
        <w:t>Aufgenommen am 18.10.2026</w:t>
      </w:r>
    </w:p>
    <w:p>
      <w:pPr>
        <w:pStyle w:val="Heading2"/>
      </w:pPr>
      <w:r>
        <w:t>COPD mit erhöhtem Pulsdruck verdoppelt Herzinfarktrisiko in Alter</w:t>
      </w:r>
    </w:p>
    <w:p>
      <w:r>
        <w:rPr>
          <w:i/>
          <w:color w:val="666666"/>
          <w:sz w:val="18"/>
        </w:rPr>
        <w:t>Liu G et al.  ·  Int J Chron Obstruct Pulmon Dis  ·  12.10.2026  ·  PMID 42891288</w:t>
      </w:r>
    </w:p>
    <w:p>
      <w:r>
        <w:t>Prospektive Kohortenstudie an 4183 älteren Chinesen (≥60 Jahre) mit 7-Jahres-Nachverfolgung zum Risiko kardiovaskulärer Ereignisse bei Mehrfacherkrankung (COPD und vaskuläres Altern).</w:t>
      </w:r>
    </w:p>
    <w:p>
      <w:r>
        <w:rPr>
          <w:b/>
        </w:rPr>
        <w:t xml:space="preserve">Ergebnis: </w:t>
      </w:r>
      <w:r>
        <w:t>COPD allein (HR 1,15, 95%-KI 0,84–1,57) und erhöhter Pulsdruck allein (HR 0,93, 95%-KI 0,70–1,25) waren nicht mit kardiovaskulären Ereignissen assoziiert. Beide zusammen zeigten HR 1,86 (95%-KI 1,26–2,76), primär getrieben durch Herzerkrankungen (HR 2,80, 95%-KI 1,94–4,05), nicht Schlaganfälle (HR 0,84, 95%-KI 0,43–1,65). Für Mortalität: HR 2,05 (95%-KI 1,54–2,73) bei beiden Expositionen vs. weder Exposition.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Bevölkerungsstichprobe; Mehrfacherkrankung zentral, strukturelle Vergleichbarkeit begrenzt</w:t>
      </w:r>
    </w:p>
    <w:p>
      <w:r>
        <w:rPr>
          <w:color w:val="5A7D3A"/>
          <w:sz w:val="18"/>
        </w:rPr>
        <w:t>https://pubmed.ncbi.nlm.nih.gov/42891288/</w:t>
      </w:r>
    </w:p>
    <w:p>
      <w:pPr>
        <w:pStyle w:val="Heading2"/>
      </w:pPr>
      <w:r>
        <w:t>COPD-assoziierte Herzinsuffizienz stieg weltweit um 40%, Projektion bis 2050 weiter aufwärts</w:t>
      </w:r>
    </w:p>
    <w:p>
      <w:r>
        <w:rPr>
          <w:i/>
          <w:color w:val="666666"/>
          <w:sz w:val="18"/>
        </w:rPr>
        <w:t>Liu C et al.  ·  Int J Chron Obstruct Pulmon Dis  ·  12.10.2026  ·  PMID 42891260</w:t>
      </w:r>
    </w:p>
    <w:p>
      <w:r>
        <w:t>Systematische Analyse der Global Burden of Disease Study 2021 zu Prävalenz und Krankheitslast von COPD-assoziierter Herzinsuffizienz 1990–2021 mit Bayes'scher Projektion bis 2050 nach Geschlecht, Alter, Region und SDI-Kategorie.</w:t>
      </w:r>
    </w:p>
    <w:p>
      <w:r>
        <w:rPr>
          <w:b/>
        </w:rPr>
        <w:t xml:space="preserve">Ergebnis: </w:t>
      </w:r>
      <w:r>
        <w:t>2021: 3,61 Mio. Fälle COPD-assoziierte Herzinsuffizienz (1,4-facher Anstieg seit 1990). Altersstandarisierte Prävalenzrate und Years Lived with Disability stiegen insgesamt. Absolute Fälle stiegen in beiden Geschlechtern; altersstandarisierte Raten fielen bei Männern, stiegen bei Frauen. Lastspitze Alter 70–74 Jahre. Nur High-SDI-Regionen zeigten steigende altersstandarisierte Raten; Osteuropa fiel deutlich. Projektion 2022–2050: Anhaltender Anstieg altersstandarisierter Prävalenz und Krankheitslast, leicht höher bei Frauen.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Globale GBD-Daten, Mehrfacherkrankung zentral, strukturelle Übertragbarkeit begrenzt</w:t>
      </w:r>
    </w:p>
    <w:p>
      <w:r>
        <w:rPr>
          <w:color w:val="5A7D3A"/>
          <w:sz w:val="18"/>
        </w:rPr>
        <w:t>https://pubmed.ncbi.nlm.nih.gov/42891260/</w:t>
      </w:r>
    </w:p>
    <w:p>
      <w:pPr>
        <w:pStyle w:val="Heading2"/>
      </w:pPr>
      <w:r>
        <w:t>CIDP in Saudi-Arabien: 89% erreichten klinische Besserung, 42% Relapse nach 11 Monaten</w:t>
      </w:r>
    </w:p>
    <w:p>
      <w:r>
        <w:rPr>
          <w:i/>
          <w:color w:val="666666"/>
          <w:sz w:val="18"/>
        </w:rPr>
        <w:t>Alhammad RM et al.  ·  Front Neurol  ·  01.10.2026  ·  PMID 42890075</w:t>
      </w:r>
    </w:p>
    <w:p>
      <w:r>
        <w:t>Multizentrische retrospektive Kohorte von 36 Patienten (18 m, 18 w) mit CIDP aus 5 Krankenhäusern in Saudi-Arabien (2014–2025) zur Charakterisierung Demografie, Klinik, Elektrophysiologie und Therapieergebnisse.</w:t>
      </w:r>
    </w:p>
    <w:p>
      <w:r>
        <w:rPr>
          <w:b/>
        </w:rPr>
        <w:t xml:space="preserve">Ergebnis: </w:t>
      </w:r>
      <w:r>
        <w:t>33 CIDP, 3 mögliche CIDP, Onset-Alter Durchschnitt 33 Jahre (Erwachsene: 40 Jahre). Typisch CIDP 72%, distal 8%, motorisch-dominiert 8%, multifokal 8%. Primär IVIG (42%) oder orale Steroide (33%) zur Erhaltung. Über 55 Monate: 89% erreichten mittlere Besserung im INCAT-Score (3,7-Punkte-Änderung) und 83% im MRCSS (11,9-Punkte-Änderung, p&lt;0,001). Relapse bei 42% nach mittleren 11 Monaten, meist durch suboptimale Therapie oder Nichtkompliance.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Saudi-Arabien, multizentrische klinische Kohortendaten; regionales Benchmark für künftige Studien</w:t>
      </w:r>
    </w:p>
    <w:p>
      <w:r>
        <w:rPr>
          <w:color w:val="5A7D3A"/>
          <w:sz w:val="18"/>
        </w:rPr>
        <w:t>https://pubmed.ncbi.nlm.nih.gov/42890075/</w:t>
      </w:r>
    </w:p>
    <w:p>
      <w:pPr>
        <w:pStyle w:val="Heading2"/>
      </w:pPr>
      <w:r>
        <w:t>Hohes Parathormon vor Transplantation sagte persistierende Hyperparathyreose voraus</w:t>
      </w:r>
    </w:p>
    <w:p>
      <w:r>
        <w:rPr>
          <w:i/>
          <w:color w:val="666666"/>
          <w:sz w:val="18"/>
        </w:rPr>
        <w:t>Lam KH et al.  ·  Medicine (Baltimore)  ·  16.10.2026  ·  PMID 42888627</w:t>
      </w:r>
    </w:p>
    <w:p>
      <w:r>
        <w:t>Prospektive Kohorte von 104 Patienten mit Nierenterminalstadium nach Nierentransplantation zur Identifikation von Risikofaktoren für persistierende Hyperparathyreose (PTH ≥150 pg/mL) 6 Monate nach Transplantation.</w:t>
      </w:r>
    </w:p>
    <w:p>
      <w:r>
        <w:rPr>
          <w:b/>
        </w:rPr>
        <w:t xml:space="preserve">Ergebnis: </w:t>
      </w:r>
      <w:r>
        <w:t>Prävalenz persistierende Hyperparathyreose: 58,65%. Patienten mit persistierender Hyperparathyreose hatten signifikant höhere Baseline-PTH (Median 489 vs. 273 pg/mL, p&lt;0,001) und alkalische Phosphatase (Median 102,0 vs. 89,5 U/L, p=0,025). Längere Dialysedauer war assoziiert (Median 2,0 vs. 1,0 Jahre, p&lt;0,001). Höheres Baseline-PTH war unabhängig assoziiert mit persistierender Hyperparathyreose; Dialysedauer nur signifikant ≥1 Jahr.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Vietnam, prospektive Klinikdaten; strukturelle Vergleichbarkeit eingeschränkt</w:t>
      </w:r>
    </w:p>
    <w:p>
      <w:r>
        <w:rPr>
          <w:color w:val="5A7D3A"/>
          <w:sz w:val="18"/>
        </w:rPr>
        <w:t>https://pubmed.ncbi.nlm.nih.gov/42888627/</w:t>
      </w:r>
    </w:p>
    <w:p>
      <w:pPr>
        <w:pStyle w:val="Heading2"/>
      </w:pPr>
      <w:r>
        <w:t>Medicare Advantage verschärft Zugang zu Nierendialyse und Transplantation</w:t>
      </w:r>
    </w:p>
    <w:p>
      <w:r>
        <w:rPr>
          <w:i/>
          <w:color w:val="666666"/>
          <w:sz w:val="18"/>
        </w:rPr>
        <w:t>Tyler DA et al.  ·  Health Serv Res  ·  Okt. 2026  ·  PMID 42888180</w:t>
      </w:r>
    </w:p>
    <w:p>
      <w:r>
        <w:t>Qualitative Studie mit 48 Interviews (56 Teilnehmende) aus Krankenversicherungsplänen, Dialyseanbieter und Nierenprogrammen in USA zur Versorgungszugang bei Nierenschädigung Terminal (ESRD) unter Medicare Advantage seit 2021.</w:t>
      </w:r>
    </w:p>
    <w:p>
      <w:r>
        <w:rPr>
          <w:b/>
        </w:rPr>
        <w:t xml:space="preserve">Ergebnis: </w:t>
      </w:r>
      <w:r>
        <w:t>Perspektiven divergierten zwischen Organisationen: Große Dialyseanbieter berichteten keine Zugangsbarrieren, kleine Anbieter beschrieben, dass Patienten zu weiter entfernten In-Network-Einrichtungen fahren mussten. Patienten waren sich Netzwerk-Restriktionen nicht bewusst. Versicherer beschrieben Beschränkungen auf «Centers of Excellence» für Transplantation; andere Teilnehmende berichteten, diese Restriktionen behinderten Transplantationszugang. Zusatzleistungen wurden von Führungskräften als wertvoll dargestellt, von Frontpersonal aber als weniger umfassend als angekündigt beschrieben.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USA, Medicare Advantage; Übertragbarkeit auf deutsche Versichertenversorgung gering</w:t>
      </w:r>
    </w:p>
    <w:p>
      <w:r>
        <w:rPr>
          <w:color w:val="5A7D3A"/>
          <w:sz w:val="18"/>
        </w:rPr>
        <w:t>https://pubmed.ncbi.nlm.nih.gov/42888180/</w:t>
      </w:r>
    </w:p>
    <w:p>
      <w:pPr>
        <w:pStyle w:val="Heading2"/>
      </w:pPr>
      <w:r>
        <w:t>IL-6-Spiegeldynamik, nicht Baseline, zeigte Ansprechen auf B-Zell-Therapie bei MS</w:t>
      </w:r>
    </w:p>
    <w:p>
      <w:r>
        <w:rPr>
          <w:i/>
          <w:color w:val="666666"/>
          <w:sz w:val="18"/>
        </w:rPr>
        <w:t>Kölsche T et al.  ·  BMC Neurol  ·  21.08.2026  ·  PMID 42629559</w:t>
      </w:r>
    </w:p>
    <w:p>
      <w:r>
        <w:t>Retrospektive Kohortenstudie an 73 MS-Patienten (30 schubförmig-remittierend, 43 primär progredient) unter Ocrelizumab zur Validierung von Baseline-IL-6 und longitudinalen IL-6-Spiegeln als Biomarker für Therapieerfolg über 24 Monate.</w:t>
      </w:r>
    </w:p>
    <w:p>
      <w:r>
        <w:rPr>
          <w:b/>
        </w:rPr>
        <w:t xml:space="preserve">Ergebnis: </w:t>
      </w:r>
      <w:r>
        <w:t>Baseline-IL-6 unterschied sich nicht zwischen MS-Patienten und gesunden Kontrollen (p=0,178). Baseline-IL-6 war kein unabhängiger Prädiktor für Krankheitsaktivität (HR 1,83, 95%-KI 0,73–4,61, p=0,989). Longitudinal: Patienten, die NEDA-3 (No Evidence of Disease Activity) erhielten, zeigten 50% IL-6-Reduktion nach 12 Monaten (mittlere Änderung −1,30 pg/mL, p=0,0318); Verlust von NEDA-3 ging mit stabilen IL-6-Werten einher (0,09 pg/mL). Schlussfolgerung: Dynamische IL-6-Spiegel, nicht statische Baseline, reflektieren Therapieantwort besser.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Deutschland (Düsseldorf), klinische Routinedaten MS-Zentren, vergleichbares System</w:t>
      </w:r>
    </w:p>
    <w:p>
      <w:r>
        <w:rPr>
          <w:color w:val="5A7D3A"/>
          <w:sz w:val="18"/>
        </w:rPr>
        <w:t>https://pubmed.ncbi.nlm.nih.gov/42629559/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NCD und chronische Krankheiten</dc:title>
  <dc:subject/>
  <dc:creator>Monitor Versorgungsforschung</dc:creator>
  <cp:keywords/>
  <dc:description>generated by python-docx</dc:description>
  <cp:lastModifiedBy/>
  <cp:revision>1</cp:revision>
  <dcterms:created xsi:type="dcterms:W3CDTF">2026-10-18T06:00:00Z</dcterms:created>
  <dcterms:modified xsi:type="dcterms:W3CDTF">2026-10-18T06:00:00Z</dcterms:modified>
  <cp:category/>
</cp:coreProperties>
</file>