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08.09.2026  |  6 Studien  |  ncd.m-vf.de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Geographische Ungleichheit in Nierenersatztherapie: Dialyse-Deserts in Philippinen</w:t>
      </w:r>
    </w:p>
    <w:p>
      <w:r>
        <w:rPr>
          <w:i/>
          <w:color w:val="666666"/>
          <w:sz w:val="18"/>
        </w:rPr>
        <w:t>Fajardo MS et al.  ·  Glob Health Action  ·  07.09.2026  ·  PMID 42703736</w:t>
      </w:r>
    </w:p>
    <w:p>
      <w:r>
        <w:t>Geographische Modellierung untersuchte, ob die Erweiterung von Peritonealdialyse auf bestehende Hämodialysezentren die Versorgungsabdeckung in unterversorgten ländlichen Regionen verbessern würde.</w:t>
      </w:r>
    </w:p>
    <w:p>
      <w:r>
        <w:rPr>
          <w:b/>
        </w:rPr>
        <w:t xml:space="preserve">Ergebnis: </w:t>
      </w:r>
      <w:r>
        <w:t>2023 lag die Versorgungsabdeckung innerhalb einer Stunde zu Hämodialysezentren bei nur 67,9 %, zu Peritonealdialyse bei 51,3 %; in der Region Mimaropa nur 36 %. Vollständige Integration von Peritonealdialyse würde zusätzlich 11 Millionen Menschen erreichen, besonders in Regionen ohne duale Behandlungsoptionen.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Philippinen, strukturelle Ungleichheit; Befund zur Allokationsgerechtigkeit übertragbar auf Regionen mit geografischen Versorgungslücken.</w:t>
      </w:r>
    </w:p>
    <w:p>
      <w:r>
        <w:rPr>
          <w:color w:val="5A7D3A"/>
          <w:sz w:val="18"/>
        </w:rPr>
        <w:t>https://pubmed.ncbi.nlm.nih.gov/42703736/</w:t>
      </w:r>
    </w:p>
    <w:p>
      <w:pPr>
        <w:pStyle w:val="Heading2"/>
      </w:pPr>
      <w:r>
        <w:t>Therapietreue in stabiler COPD-Versorgung: 76,5 % Adhärenz mit besseren Outcomes</w:t>
      </w:r>
    </w:p>
    <w:p>
      <w:r>
        <w:rPr>
          <w:i/>
          <w:color w:val="666666"/>
          <w:sz w:val="18"/>
        </w:rPr>
        <w:t>Dang KD et al.  ·  Pulm Med  ·  2026  ·  PMID 42703034</w:t>
      </w:r>
    </w:p>
    <w:p>
      <w:r>
        <w:t>Querschnittsstudie in Vietnam untersuchte die Medikamentenadhärenz (MMAS-8) und Behandlungseffektivität bei stabiler COPD über 3 Monate Nachverfolgung.</w:t>
      </w:r>
    </w:p>
    <w:p>
      <w:r>
        <w:rPr>
          <w:b/>
        </w:rPr>
        <w:t xml:space="preserve">Ergebnis: </w:t>
      </w:r>
      <w:r>
        <w:t>Nach 3 Monaten lag die Therapietreue bei 76,5 %. Therapieregimen signifikant mit Adhärenz verbunden (p&lt;0,001): Kombinationen mit LABA/ICS+LABA+SABA zeigten höhere Adhärenz. Gesamtverbesserungsrate der Behandlungseffektivität: 70,3 % (Exazerbation/Krankenhausaufenthalt 23,0 %, mMRC 32,3 %, CAT 66,0 %). Therapietreue und Nichtrauchen waren stärkste Vorhersagefaktoren für Effektivität (OR über Spanne erheblich).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Vietnam, Primärversorgung, Schwellenland; Therapietreue-Befunde übertragbar auf Praxen.</w:t>
      </w:r>
    </w:p>
    <w:p>
      <w:r>
        <w:rPr>
          <w:color w:val="5A7D3A"/>
          <w:sz w:val="18"/>
        </w:rPr>
        <w:t>https://pubmed.ncbi.nlm.nih.gov/42703034/</w:t>
      </w:r>
    </w:p>
    <w:p>
      <w:pPr>
        <w:pStyle w:val="Heading2"/>
      </w:pPr>
      <w:r>
        <w:t>Standardisierte Chronikerversorgung senkt Mehrfacherkrankungen in China um 9–14 %</w:t>
      </w:r>
    </w:p>
    <w:p>
      <w:r>
        <w:rPr>
          <w:i/>
          <w:color w:val="666666"/>
          <w:sz w:val="18"/>
        </w:rPr>
        <w:t>Liu L et al.  ·  Nat Commun  ·  07.08.2026  ·  PMID 42702613</w:t>
      </w:r>
    </w:p>
    <w:p>
      <w:r>
        <w:t>Große Kohortenstudie untersuchte, ob die Teilnahme an einem standardisierten Disease-Management-Programm für Hypertonie und Diabetes die Wahrscheinlichkeit weiterer chronischer Erkrankungen reduziert.</w:t>
      </w:r>
    </w:p>
    <w:p>
      <w:r>
        <w:rPr>
          <w:b/>
        </w:rPr>
        <w:t xml:space="preserve">Ergebnis: </w:t>
      </w:r>
      <w:r>
        <w:t>Bei 701.759 Patienten mit neu diagnostizierter Hypertonie und 320.179 mit Diabetes reduzierte die Programmanmeldung das Gesamtrisiko für Mehrfacherkrankungen um 9 % bzw. 14 % (instrumentelle Variablenschätzung). Teilnehmer zeigten niedrigere Risiken für über 20 chronische Erkrankungen. Interventionsspezifische Analysen: Alkoholverzicht, Medikamentenadhärenz und psychosoziale Unterstützung reduzierten das Risiko multiple chronischer Erkrankungen bei beiden Patientengruppen.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2017–2023, großes elektronisches Gesundheitsregister, Gesundheitssystem mit Koordination ähnlich wie deutsches DMP.</w:t>
      </w:r>
    </w:p>
    <w:p>
      <w:r>
        <w:rPr>
          <w:color w:val="5A7D3A"/>
          <w:sz w:val="18"/>
        </w:rPr>
        <w:t>https://pubmed.ncbi.nlm.nih.gov/42702613/</w:t>
      </w:r>
    </w:p>
    <w:p>
      <w:pPr>
        <w:pStyle w:val="Heading2"/>
      </w:pPr>
      <w:r>
        <w:t>Screening durch Routineuntersuchungen senkt Mehrfacherkrankungen bei niedriger initialer Last</w:t>
      </w:r>
    </w:p>
    <w:p>
      <w:r>
        <w:rPr>
          <w:i/>
          <w:color w:val="666666"/>
          <w:sz w:val="18"/>
        </w:rPr>
        <w:t>Ao Y et al.  ·  Glob Health Res Policy  ·  29.06.2026  ·  PMID 42699226</w:t>
      </w:r>
    </w:p>
    <w:p>
      <w:r>
        <w:t>Longitudinale Kohortenstudie (CHARLS 2013–2020) prüfte, ob kontinuierliche Teilnahme an Routineuntersuchungen lange Trajektorien von Mehrfacherkrankungen bei Erwachsenen ≥45 Jahren beeinflusst.</w:t>
      </w:r>
    </w:p>
    <w:p>
      <w:r>
        <w:rPr>
          <w:b/>
        </w:rPr>
        <w:t xml:space="preserve">Ergebnis: </w:t>
      </w:r>
      <w:r>
        <w:t>Von 12.510 Teilnehmern wurden 6 Trajektorie-Klassen identifiziert. Unadjustiert: Kontinuierliche Screening-Teilnehmende hatten höhere Wahrscheinlichkeit für ungünstige Trajektorien (RRR 2,249 bzw. 7,124). Nach Adjustierung für Baseline-Last: Teilnehmende mit niedriger initialer Last hatten niedrigere Wahrscheinlichkeit ungünstiger Trajektorien (RRR 0,456; 95 % CI 0,278–0,748; p&lt;0,01) vs. Nicht-Teilnehmende. Effekt moderiert durch Alter und Baseline-Krankheitslast.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Längsschnittstudie, kostenlose Screenings, vergleichbar mit DMP-Modellen.</w:t>
      </w:r>
    </w:p>
    <w:p>
      <w:r>
        <w:rPr>
          <w:color w:val="5A7D3A"/>
          <w:sz w:val="18"/>
        </w:rPr>
        <w:t>https://pubmed.ncbi.nlm.nih.gov/42699226/</w:t>
      </w:r>
    </w:p>
    <w:p>
      <w:pPr>
        <w:pStyle w:val="Heading2"/>
      </w:pPr>
      <w:r>
        <w:t>Neuer Risikoindex vorhersagt Mehrfacherkrankungen kardio-metabol. Systems</w:t>
      </w:r>
    </w:p>
    <w:p>
      <w:r>
        <w:rPr>
          <w:i/>
          <w:color w:val="666666"/>
          <w:sz w:val="18"/>
        </w:rPr>
        <w:t>Kunutsor SK et al.  ·  Prim Care Diabetes  ·  25.08.2026  ·  PMID 42642323</w:t>
      </w:r>
    </w:p>
    <w:p>
      <w:r>
        <w:t>Studie prüfte, ob ein neuer Blutfettindex (AIP, TyG-Index) das Risiko für Mehrfacherkrankungen (Hypertonie, Herzerkrankung, Diabetes) besser vorhersagt als konventionelle Lipidmarker.</w:t>
      </w:r>
    </w:p>
    <w:p>
      <w:r>
        <w:rPr>
          <w:b/>
        </w:rPr>
        <w:t xml:space="preserve">Ergebnis: </w:t>
      </w:r>
      <w:r>
        <w:t>Beide neuen Indizes zeigten positive Assoziationen mit kardiometabolischen Mehrfacherkrankungen (AIP: OR 1,41 pro SD, TyG: OR 1,51). Die Vorhersageverbesserung durch Einschluss dieser Indizes war bescheiden (Diskriminierungsverbesserung 0,029–0,038). Dies deutet auf klinische Relevanz, aber begrenzte zusätzliche Vorhersagekraft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12–15 Jahre Nachbeobachtung, öffentliches Gesundheitssystem, vergleichbar.</w:t>
      </w:r>
    </w:p>
    <w:p>
      <w:r>
        <w:rPr>
          <w:color w:val="5A7D3A"/>
          <w:sz w:val="18"/>
        </w:rPr>
        <w:t>https://pubmed.ncbi.nlm.nih.gov/42642323/</w:t>
      </w:r>
    </w:p>
    <w:p>
      <w:pPr>
        <w:pStyle w:val="Heading2"/>
      </w:pPr>
      <w:r>
        <w:t>Leberstoffwechsel und frühe Nierenschädigung: Marker für kardio-renale Prävention</w:t>
      </w:r>
    </w:p>
    <w:p>
      <w:r>
        <w:rPr>
          <w:i/>
          <w:color w:val="666666"/>
          <w:sz w:val="18"/>
        </w:rPr>
        <w:t>Mungamba MM et al.  ·  J Glob Health  ·  24.07.2026  ·  PMID 42495747</w:t>
      </w:r>
    </w:p>
    <w:p>
      <w:r>
        <w:t>Prospektive Kohortenstudie prüfte, ob Leberfunktionsmarker (GGT, ALT, AST, Fatty-Liver-Index) mit dem Auftreten chronischer Nierenerkrankung über 6 Jahre korrelieren.</w:t>
      </w:r>
    </w:p>
    <w:p>
      <w:r>
        <w:rPr>
          <w:b/>
        </w:rPr>
        <w:t xml:space="preserve">Ergebnis: </w:t>
      </w:r>
      <w:r>
        <w:t>Von 1.832 Patienten ohne CKD bei Baseline entwickelten 11 % CKD, 9,7 % Albuminurie, 2,3 % eGFR-Abfall. Höhere GGT (aIRR 1,12; 95 % CI 1,01–1,23), ALT (aIRR 1,27; 95 % CI 1,04–1,50) und AST (aIRR 1,20; 95 % CI 1,04–1,34) assoziiert mit Inzidenz-CKD; primär über Albuminurie-Pfad. Erhöhter FLI mit CKD (aIRR 1,92; 95 % CI 1,14–3,18) und Albuminurie (aIRR 2,15; 95 % CI 1,24–3,68) verbunden. Stützt Leber-Nieren-Achse als potenziellen Präventionsziel.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Ghana/Niederlande, transkontinentale Kohorte mit Mehrfacherkrankungs-Fokus; Befund zur kardiometabolischen Prävention übertragbar.</w:t>
      </w:r>
    </w:p>
    <w:p>
      <w:r>
        <w:rPr>
          <w:color w:val="5A7D3A"/>
          <w:sz w:val="18"/>
        </w:rPr>
        <w:t>https://pubmed.ncbi.nlm.nih.gov/42495747/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