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23.10.2026  |  6 Studien  |  ncd.m-vf.de</w:t>
      </w:r>
    </w:p>
    <w:p>
      <w:pPr>
        <w:pStyle w:val="Heading1"/>
      </w:pPr>
      <w:r>
        <w:t>Aufgenommen am 23.10.2026</w:t>
      </w:r>
    </w:p>
    <w:p>
      <w:pPr>
        <w:pStyle w:val="Heading2"/>
      </w:pPr>
      <w:r>
        <w:t>Blut-Eosinophile prognostizieren ICU-Aufnahme bei AECOPD nicht besser als GOLD-Stadium</w:t>
      </w:r>
    </w:p>
    <w:p>
      <w:r>
        <w:rPr>
          <w:i/>
          <w:color w:val="666666"/>
          <w:sz w:val="18"/>
        </w:rPr>
        <w:t>Ozden Sertcelik U et al.  ·  BMC Pulm Med  ·  11.09.2026  ·  PMID 42907946</w:t>
      </w:r>
    </w:p>
    <w:p>
      <w:r>
        <w:t>Retrospektive Kohortenstudie mit 385 Patienten ≥40 Jahren, hospitalisiert mit AECOPD 2020–2024, untersuchte Vorhersagekraft der Blut-Eosinophilen-Zahl (&lt;150, 150–299, ≥300 Zellen/µL) für ICU-Aufnahme nach Competing-Risks-Analyse.</w:t>
      </w:r>
    </w:p>
    <w:p>
      <w:r>
        <w:rPr>
          <w:b/>
        </w:rPr>
        <w:t xml:space="preserve">Ergebnis: </w:t>
      </w:r>
      <w:r>
        <w:t>Eosinophilen-Gruppen waren nicht signifikant mit ICU-Aufnahme assoziiert. GOLD-Stadium E war der stärkste unabhängige Prädiktor (adjustierte Subdistributions-Hazard-Ratio 3,35; 95%-KI 1,57–7,15; p=0,002 vs. GOLD A). Eosinophilen-Level zeigten nach Adjustierung für Schweregrad und konkurrierende Risiken keine unabhängige 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universelle pathophysiologische Fragestellung unabhängig von System</w:t>
      </w:r>
    </w:p>
    <w:p>
      <w:r>
        <w:rPr>
          <w:color w:val="5A7D3A"/>
          <w:sz w:val="18"/>
        </w:rPr>
        <w:t>https://pubmed.ncbi.nlm.nih.gov/42907946/</w:t>
      </w:r>
    </w:p>
    <w:p>
      <w:pPr>
        <w:pStyle w:val="Heading2"/>
      </w:pPr>
      <w:r>
        <w:t>Prädiabetes erhöht CKD-Risiko um 53 %: Glomeruläre Filtrationsrate sinkt um 2,85 mL/min/1,73m²</w:t>
      </w:r>
    </w:p>
    <w:p>
      <w:r>
        <w:rPr>
          <w:i/>
          <w:color w:val="666666"/>
          <w:sz w:val="18"/>
        </w:rPr>
        <w:t>Karimi R et al.  ·  BMC Nephrol  ·  25.07.2026  ·  PMID 42907738</w:t>
      </w:r>
    </w:p>
    <w:p>
      <w:r>
        <w:t>Systematischer Review und Meta-Analyse von 26 Studien (15 Kohorten, 11 Querschnitt; n=350.546 Normoglykämiker, n=146.547 Prädiabetiker) zur Assoziation von Prädiabetes mit chronischer Nierenkrankheit, eGFR und Albumin-Kreatinin-Ratio.</w:t>
      </w:r>
    </w:p>
    <w:p>
      <w:r>
        <w:rPr>
          <w:b/>
        </w:rPr>
        <w:t xml:space="preserve">Ergebnis: </w:t>
      </w:r>
      <w:r>
        <w:t>Prädiabetes assoziiert mit erhöhtem CKD-Risiko (RR 1,53; 95%-KI 1,30–1,81; p&lt;0,001; stärker bei Verwendung aller drei diagnostischen Kriterien: RR 1,21–2,73). Mittlere eGFR-Abnahme −2,85 mL/min/1,73m² (95%-KI −4,57 bis −1,13; p=0,001). Albumin-Kreatinin-Ratio stieg um 0,87 g/g (95%-KI 0,19–1,55; p=0,012). Stärkere Assoziationen in Asien als in Europa oder USA.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Multikontinental, aber systematische Evidenz zu Risikostratifizierung unabhängig von System</w:t>
      </w:r>
    </w:p>
    <w:p>
      <w:r>
        <w:rPr>
          <w:color w:val="5A7D3A"/>
          <w:sz w:val="18"/>
        </w:rPr>
        <w:t>https://pubmed.ncbi.nlm.nih.gov/42907738/</w:t>
      </w:r>
    </w:p>
    <w:p>
      <w:pPr>
        <w:pStyle w:val="Heading2"/>
      </w:pPr>
      <w:r>
        <w:t>Fragmentierte Versorgung chronisch kranker Kinder in Deutschland: Koordinationsmängel über Sektoren hinweg</w:t>
      </w:r>
    </w:p>
    <w:p>
      <w:r>
        <w:rPr>
          <w:i/>
          <w:color w:val="666666"/>
          <w:sz w:val="18"/>
        </w:rPr>
        <w:t>Herr CJ et al.  ·  Eur J Pediatr  ·  22.10.2026  ·  PMID 42907562</w:t>
      </w:r>
    </w:p>
    <w:p>
      <w:r>
        <w:t>Qualitative Studie mit 22 Fachleuten (Ärzte, Therapeuten, Sozialarbeiter) aus Deutschland untersuchte, wie Professionelle die Versorgungspfade von Kindern mit chronischen Erkrankungen (ADHS, Autismus, Zerebralparese, Asthma, Typ-1-Diabetes) über Gesundheit, Soziales und Schulwesen hinweg erleben.</w:t>
      </w:r>
    </w:p>
    <w:p>
      <w:r>
        <w:rPr>
          <w:b/>
        </w:rPr>
        <w:t xml:space="preserve">Ergebnis: </w:t>
      </w:r>
      <w:r>
        <w:t>Fachleute bewerteten die Versorgung als fragmentiert, schwer navigierbar und schlecht koordiniert. Zentrale Barrieren: lange Wartezeiten, unklare Versorgungspfade, mangelnde interprofessionelle Kommunikation. Familien mit sozioökonomischen Nachteilen oder Sprachbarrieren hatten besondere Schwierigkeiten.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direkt erhobene Expertenperspektiven aus Praxen und Jugendamt</w:t>
      </w:r>
    </w:p>
    <w:p>
      <w:r>
        <w:rPr>
          <w:color w:val="5A7D3A"/>
          <w:sz w:val="18"/>
        </w:rPr>
        <w:t>https://pubmed.ncbi.nlm.nih.gov/42907562/</w:t>
      </w:r>
    </w:p>
    <w:p>
      <w:pPr>
        <w:pStyle w:val="Heading2"/>
      </w:pPr>
      <w:r>
        <w:t>HFNC plus Akupunktur verbessert COPD-Exazerbationen: 88,8 % vs. 70,8 % Ansprechrate</w:t>
      </w:r>
    </w:p>
    <w:p>
      <w:r>
        <w:rPr>
          <w:i/>
          <w:color w:val="666666"/>
          <w:sz w:val="18"/>
        </w:rPr>
        <w:t>Li B et al.  ·  Int J Chron Obstruct Pulmon Dis  ·  16.10.2026  ·  PMID 42904141</w:t>
      </w:r>
    </w:p>
    <w:p>
      <w:r>
        <w:t>Retrospektive Studie verglich bei 178 hospitalisierten AECOPD-Patienten die Hochfluss-Nasenkanüle (HFNC) allein gegen HFNC plus standardisierte Akupunktur; Propensity-Score-Matching adjustierte für Baseline-Unterschiede.</w:t>
      </w:r>
    </w:p>
    <w:p>
      <w:r>
        <w:rPr>
          <w:b/>
        </w:rPr>
        <w:t xml:space="preserve">Ergebnis: </w:t>
      </w:r>
      <w:r>
        <w:t>HFNC + Akupunktur erreichte höhere klinische Ansprechrate (88,76 % vs. 70,79 %, relatives Risiko 1,25; 95%-KI 1,08–1,46; p=0,003). Kombinationsgruppe zeigte bessere FEV₁-Zunahme (+0,07 L), PaO₂-Anstieg (+5,03 mmHg), stärkere Reduktion von IL-8, IL-17, TNF-α, CRP (p&lt;0,01) und verbesserte Patienten-Outcomes (CAT -2,59; 6MWD +28,53 m).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retrospektive Daten; Validierung in prospektivem RCT erforderlich</w:t>
      </w:r>
    </w:p>
    <w:p>
      <w:r>
        <w:rPr>
          <w:color w:val="5A7D3A"/>
          <w:sz w:val="18"/>
        </w:rPr>
        <w:t>https://pubmed.ncbi.nlm.nih.gov/42904141/</w:t>
      </w:r>
    </w:p>
    <w:p>
      <w:pPr>
        <w:pStyle w:val="Heading2"/>
      </w:pPr>
      <w:r>
        <w:t>Erdosteine verbessert Ventilationshomogenität bei COPD stärker als NAC</w:t>
      </w:r>
    </w:p>
    <w:p>
      <w:r>
        <w:rPr>
          <w:i/>
          <w:color w:val="666666"/>
          <w:sz w:val="18"/>
        </w:rPr>
        <w:t>Dal Negro RW et al.  ·  Int J Chron Obstruct Pulmon Dis  ·  16.10.2026  ·  PMID 42904140</w:t>
      </w:r>
    </w:p>
    <w:p>
      <w:r>
        <w:t>Retrospektive Studie an 127 stabilen Patienten mit milder bis moderater COPD unter LABA/LAMA-Therapie verglich Zusatz von Erdostein (600 mg/d) oder N-Acetylcystein (600 mg/d) gegen Dual-Bronchodilatation allein mittels Volumetrischer Kapnografie (VCap).</w:t>
      </w:r>
    </w:p>
    <w:p>
      <w:r>
        <w:rPr>
          <w:b/>
        </w:rPr>
        <w:t xml:space="preserve">Ergebnis: </w:t>
      </w:r>
      <w:r>
        <w:t>Erdostein führte zu signifikanten Verbesserungen: TPTEF/TEX +56,5 %, alveoläre Ventilation +8,9 %, S2/S3-Winkel −10,4°, VD/VT-Ratio −13,5 %. NAC zeigte vernachlässigbare und nicht von Mono-Therapie unterschiedliche Effekte (alle p&gt;0,05). Unterschiede zugunsten Erdostein blieben nach Adjustierung für Confunder signifikant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kontrollierte Beobachtungsdaten; Physiologie-Verbesserung, nicht Langzeitprognose</w:t>
      </w:r>
    </w:p>
    <w:p>
      <w:r>
        <w:rPr>
          <w:color w:val="5A7D3A"/>
          <w:sz w:val="18"/>
        </w:rPr>
        <w:t>https://pubmed.ncbi.nlm.nih.gov/42904140/</w:t>
      </w:r>
    </w:p>
    <w:p>
      <w:pPr>
        <w:pStyle w:val="Heading2"/>
      </w:pPr>
      <w:r>
        <w:t>Fünf Schlaf-Phänotypen bei COPD: Hypoxische Schläfer haben 2,8-fach erhöhtes Mortalitätsrisiko</w:t>
      </w:r>
    </w:p>
    <w:p>
      <w:r>
        <w:rPr>
          <w:i/>
          <w:color w:val="666666"/>
          <w:sz w:val="18"/>
        </w:rPr>
        <w:t>Hansson D et al.  ·  Int J Chron Obstruct Pulmon Dis  ·  16.10.2026  ·  PMID 42903829</w:t>
      </w:r>
    </w:p>
    <w:p>
      <w:r>
        <w:t>Prospektive Kohorte mit 205 COPD-Patienten; multidimensionale Schlaf-Daten (WatchPAT™) mit 15 Variablen analysiert mittels Partitioning-Around-Medoids-Clustering; Median-Nachverfolgung 4,2 Jahre mit 199 Patienten.</w:t>
      </w:r>
    </w:p>
    <w:p>
      <w:r>
        <w:rPr>
          <w:b/>
        </w:rPr>
        <w:t xml:space="preserve">Ergebnis: </w:t>
      </w:r>
      <w:r>
        <w:t>Fünf distinkte Schlaf-Phänotypen identifiziert: normale Schläfer (20,5 %), Short-Sleeper (33 %), Light-Sleeper mit REM-Suppression (18,5 %), hypoxische Schläfer (20 %), schlafapnoe-Schläfer (8 %). Bei 56 Todesfällen (28,1 %) hatten hypoxische Schläfer nach Adjustierung für Alter, Geschlecht und FEV₁ erhöhte Sterblichkeit (HR 2,80; 95%-KI 1,05–7,44); unbehandelte apnoe-Schläfer noch höher (HR 6,16; 95%-KI 1,56–24,38) nach PAP-Adjustierung.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europäischer Versorgungskontext, vergleichbar strukturierter Zugang</w:t>
      </w:r>
    </w:p>
    <w:p>
      <w:r>
        <w:rPr>
          <w:color w:val="5A7D3A"/>
          <w:sz w:val="18"/>
        </w:rPr>
        <w:t>https://pubmed.ncbi.nlm.nih.gov/42903829/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2026-10-23T06:00:00Z</dcterms:created>
  <dcterms:modified xsi:type="dcterms:W3CDTF">2026-10-23T06:00:00Z</dcterms:modified>
  <cp:category/>
</cp:coreProperties>
</file>