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08.10.2026  |  6 Studien  |  ncd.m-vf.de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Präoperative Versorgungspfade für Patienten mit Mehrfacherkrankungen: kaum spezialisierte Programme vorhanden</w:t>
      </w:r>
    </w:p>
    <w:p>
      <w:r>
        <w:rPr>
          <w:i/>
          <w:color w:val="666666"/>
          <w:sz w:val="18"/>
        </w:rPr>
        <w:t>Mikula-Noble NM et al.  ·  BMJ Open  ·  07.10.2026  ·  PMID 42843878</w:t>
      </w:r>
    </w:p>
    <w:p>
      <w:r>
        <w:t>Systematische Übersicht über präoperative Interventionen für Patienten mit Mehrfacherkrankungen vor großen Operationen – Suche nach spezifischen Programmen für diese Hochrisikogruppe.</w:t>
      </w:r>
    </w:p>
    <w:p>
      <w:r>
        <w:rPr>
          <w:b/>
        </w:rPr>
        <w:t xml:space="preserve">Ergebnis: </w:t>
      </w:r>
      <w:r>
        <w:t>Von 138 Studien mit Mehrfacherkrankungskohorten wurden 34 eingeschlossen: nur 6 (18 %) diskutierten Interventionen für gemischte Kohorten, nur 3 (9 %) berichteten über allgemeine chirurgische Interventionen bei Mehrfacherkrankten. Es existieren praktisch keine auf Mehrfacherkrankung zugeschnittenen präoperativen Programme.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vergleichbare perioperative Strukturen und Dokumentation, Problem der fehlenden Spezialisierung übertragbar.</w:t>
      </w:r>
    </w:p>
    <w:p>
      <w:r>
        <w:rPr>
          <w:color w:val="5A7D3A"/>
          <w:sz w:val="18"/>
        </w:rPr>
        <w:t>https://pubmed.ncbi.nlm.nih.gov/42843878/</w:t>
      </w:r>
    </w:p>
    <w:p>
      <w:pPr>
        <w:pStyle w:val="Heading2"/>
      </w:pPr>
      <w:r>
        <w:t>Insulinresistenz sagte Hepatokarzinom bei viruskontrollierter Hepatitis B voraus</w:t>
      </w:r>
    </w:p>
    <w:p>
      <w:r>
        <w:rPr>
          <w:i/>
          <w:color w:val="666666"/>
          <w:sz w:val="18"/>
        </w:rPr>
        <w:t>Sinn DH et al.  ·  J Korean Med Sci  ·  05.10.2026  ·  PMID 42843350</w:t>
      </w:r>
    </w:p>
    <w:p>
      <w:r>
        <w:t>Prospektive Multizenterstudie an 334 HBV-Zirrhose-Patienten unter antiviraler Therapie zur Prognosevalenz der Insulinresistenz (HOMA2-IR) für HCC-Entwicklung.</w:t>
      </w:r>
    </w:p>
    <w:p>
      <w:r>
        <w:rPr>
          <w:b/>
        </w:rPr>
        <w:t xml:space="preserve">Ergebnis: </w:t>
      </w:r>
      <w:r>
        <w:t>Bei Median-Nachbeobachtung von 7,45 Jahren entwickelten 62 Patienten (18,6 %) HCC. Jede HOMA2-IR-Einheitssteigerung korrelierte mit erhöhtem HCC-Risiko (HR 1,53; 95 % KI 1,16–2,04). Patienten mit HOMA2-IR ≥ 2,3 hatten 5-Jahres-HCC-Inzidenz von 30,6 % versus 12,3 % bei HOMA2-IR &lt; 2,3 (adjustierte HR 2,62; 95 % KI 1,40–4,91).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– Multizenterstudie; Biomarker unabhängig vom Gesundheitssystem; aber HCC-Screening-Algorithmen regional unterschiedlich.</w:t>
      </w:r>
    </w:p>
    <w:p>
      <w:r>
        <w:rPr>
          <w:color w:val="5A7D3A"/>
          <w:sz w:val="18"/>
        </w:rPr>
        <w:t>https://pubmed.ncbi.nlm.nih.gov/42843350/</w:t>
      </w:r>
    </w:p>
    <w:p>
      <w:pPr>
        <w:pStyle w:val="Heading2"/>
      </w:pPr>
      <w:r>
        <w:t>Integrierte Atemwegsversorgung in Irland: Hausärzte berichten Chancen und Lücken</w:t>
      </w:r>
    </w:p>
    <w:p>
      <w:r>
        <w:rPr>
          <w:i/>
          <w:color w:val="666666"/>
          <w:sz w:val="18"/>
        </w:rPr>
        <w:t>O'Brien H et al.  ·  Prim Health Care Res Dev  ·  07.10.2026  ·  PMID 42839305</w:t>
      </w:r>
    </w:p>
    <w:p>
      <w:r>
        <w:t>Qualitative Befragung von 112 Hausärzten zur Umsetzung eines neuen Disease-Management-Programms für COPD und Asthma mit lokalen Fachteams in Irland.</w:t>
      </w:r>
    </w:p>
    <w:p>
      <w:r>
        <w:rPr>
          <w:b/>
        </w:rPr>
        <w:t xml:space="preserve">Ergebnis: </w:t>
      </w:r>
      <w:r>
        <w:t>87 % bewerteten integrierte Care-Hubs als gut bis ausgezeichnet und 84 % als überlegen gegenüber Krankenhausambulanzen, doch 52 % berichteten unzureichende Diagnostik, 45 % verzögerte Rückmeldungen und 50 % mangelnde Spezialunterstützung. Selbstberichtete Sicherheit in Leitlinienwissen moderat (7/10 für beide Erkrankungen), sehr niedrig bei Lungenfunktionstests (3/10).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– comparable Primarversorgung, ähnliche NHS-Finanzierung, jedoch spezifische Koordinationsstruktur.</w:t>
      </w:r>
    </w:p>
    <w:p>
      <w:r>
        <w:rPr>
          <w:color w:val="5A7D3A"/>
          <w:sz w:val="18"/>
        </w:rPr>
        <w:t>https://pubmed.ncbi.nlm.nih.gov/42839305/</w:t>
      </w:r>
    </w:p>
    <w:p>
      <w:pPr>
        <w:pStyle w:val="Heading2"/>
      </w:pPr>
      <w:r>
        <w:t>Dupilumab reduzierte Exazerbationen bei COPD mit Typ-2-Entzündung um 70 Prozent</w:t>
      </w:r>
    </w:p>
    <w:p>
      <w:r>
        <w:rPr>
          <w:i/>
          <w:color w:val="666666"/>
          <w:sz w:val="18"/>
        </w:rPr>
        <w:t>Abdo M et al.  ·  Respir Res  ·  06.10.2026  ·  PMID 42839285</w:t>
      </w:r>
    </w:p>
    <w:p>
      <w:r>
        <w:t>Multizentrische Analyse deutscher Kliniken zur Wirksamkeit von Dupilumab bei COPD-Patienten mit Typ-2-Entzündung unter Routinebedingungen.</w:t>
      </w:r>
    </w:p>
    <w:p>
      <w:r>
        <w:rPr>
          <w:b/>
        </w:rPr>
        <w:t xml:space="preserve">Ergebnis: </w:t>
      </w:r>
      <w:r>
        <w:t>Bei 99 Patienten sank die annualisierte Rate moderater bis schwerer Exazerbationen von 3,52 auf 1,04 pro Jahr (70 % Reduktion), der CAT-Score verbesserte sich um 4,5 Punkte, konsistent über Subgruppen hinweg. 8 Patienten zeigten keine Reduktion unter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Versorgungsstruktur.</w:t>
      </w:r>
    </w:p>
    <w:p>
      <w:r>
        <w:rPr>
          <w:color w:val="5A7D3A"/>
          <w:sz w:val="18"/>
        </w:rPr>
        <w:t>https://pubmed.ncbi.nlm.nih.gov/42839285/</w:t>
      </w:r>
    </w:p>
    <w:p>
      <w:pPr>
        <w:pStyle w:val="Heading2"/>
      </w:pPr>
      <w:r>
        <w:t>Anhaltende Symptombelastung bei Lupus erythematodes: ein klinischer Phänotyp ähnlich ME/CFS identifiziert</w:t>
      </w:r>
    </w:p>
    <w:p>
      <w:r>
        <w:rPr>
          <w:i/>
          <w:color w:val="666666"/>
          <w:sz w:val="18"/>
        </w:rPr>
        <w:t>Habermann-Horstmeier L  ·  J Transl Med  ·  25.09.2026  ·  PMID 42806386</w:t>
      </w:r>
    </w:p>
    <w:p>
      <w:r>
        <w:t>Hypothesengenerierendes Rahmenwerk zur Charakterisierung einer Untergruppe von Patienten mit langjährigem systemischem Lupus erythematodes, die trotz niedriger Krankheitsaktivität persistierende Müdigkeit, Funktionsbeeinträchtigung und kognititive Symptome aufweisen.</w:t>
      </w:r>
    </w:p>
    <w:p>
      <w:r>
        <w:rPr>
          <w:b/>
        </w:rPr>
        <w:t xml:space="preserve">Ergebnis: </w:t>
      </w:r>
      <w:r>
        <w:t>Vorgeschlagene SLE-ME/CFS-Forschungsphänotyp kombiniert persistierende funktionslimitierende Symptome trotz Remission oder niedriger Aktivität mit Müdigkeit seit mindestens 6 Monaten, postexertioneller Symptomverschlechterung, unerquicklichem Schlaf und kognitiven Symptomen. Evidenz unterstützt Beteiligung residualer Immunaktivierung, oxidativen Stresses, Mitochondrienstörungen und Endotheldysfunktion.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Literaturanalyse, Konzeptentwicklung; Validierung in Kohortenstudien notwendig, aber Phänotypisierung für Versorgung relevant.</w:t>
      </w:r>
    </w:p>
    <w:p>
      <w:r>
        <w:rPr>
          <w:color w:val="5A7D3A"/>
          <w:sz w:val="18"/>
        </w:rPr>
        <w:t>https://pubmed.ncbi.nlm.nih.gov/42806386/</w:t>
      </w:r>
    </w:p>
    <w:p>
      <w:pPr>
        <w:pStyle w:val="Heading2"/>
      </w:pPr>
      <w:r>
        <w:t>Kollagen-Abbau-Biomarker im Urin erfasst Fibrose über Organgrenzen hinweg</w:t>
      </w:r>
    </w:p>
    <w:p>
      <w:r>
        <w:rPr>
          <w:i/>
          <w:color w:val="666666"/>
          <w:sz w:val="18"/>
        </w:rPr>
        <w:t>Mina IK et al.  ·  Mol Med  ·  23.09.2026  ·  PMID 42778889</w:t>
      </w:r>
    </w:p>
    <w:p>
      <w:r>
        <w:t>Multikohorten-Proteomik-Studie zur Identifikation eines gemeinsamen Signatures von Kollagen-Typ-I-Abbau-Peptiden im Urin, das Leberfibrose, chronische Nierenerkrankung und Herzinsuffizienz charakterisiert.</w:t>
      </w:r>
    </w:p>
    <w:p>
      <w:r>
        <w:rPr>
          <w:b/>
        </w:rPr>
        <w:t xml:space="preserve">Ergebnis: </w:t>
      </w:r>
      <w:r>
        <w:t>50 Kollagen-Typ-I-Abbau-Produkte definierten eine gemeinsame Fibrose-Signatur; Support-Vector-Machine-Modell erreichte AUC 0,935 (95 % KI 0,917–0,953) in externer Validierung über gepoolte Erkrankungsgruppen, erhalten für Leber (AUC 0,917), Niere (0,951) und Herz (0,950). Modellwerte korrelierten mit Fibrosestadium in Leber und interstitieller Fibrose in Niere.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und britische Kohorten, Urindiagnostik universell verfügbar; Fibrose-Screening unabhängig vom Organ übertragbar.</w:t>
      </w:r>
    </w:p>
    <w:p>
      <w:r>
        <w:rPr>
          <w:color w:val="5A7D3A"/>
          <w:sz w:val="18"/>
        </w:rPr>
        <w:t>https://pubmed.ncbi.nlm.nih.gov/42778889/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