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02.09.2026  |  6 Studien  |  ncd.m-vf.de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Albuminoxidation verzögert sich nach Nierentransplantation trotz Funktionsrestitution</w:t>
      </w:r>
    </w:p>
    <w:p>
      <w:r>
        <w:rPr>
          <w:i/>
          <w:color w:val="666666"/>
          <w:sz w:val="18"/>
        </w:rPr>
        <w:t>Berntsen LM et al.  ·  BMC Nephrol  ·  28.08.2026  ·  PMID 42665799</w:t>
      </w:r>
    </w:p>
    <w:p>
      <w:r>
        <w:t>Observationsstudie, die die Albumin-Redoxstatus (ARS) vor und nach Nierentransplantation (KTX) gemessen hat, um zu zeigen, ob die Verbesserung der Nierenfunktion die Oxidation verringert.</w:t>
      </w:r>
    </w:p>
    <w:p>
      <w:r>
        <w:rPr>
          <w:b/>
        </w:rPr>
        <w:t xml:space="preserve">Ergebnis: </w:t>
      </w:r>
      <w:r>
        <w:t>Vor KTX waren HMA-Werte reduziert (Median 63,5%), HNA-1 und HNA-2 erhöht. Eine Woche nach KTX verschlechterte sich HMA weiter (57,9%), HNA-2 stieg auf 9,2%. Trotz rascher Funktionserholung war die ARS-Normalisierung langsam und variabel; 180 Tage post-KTX zeigten 31 % der Patienten noch erhöhte Oxidationssignale, was nahelegt, dass Faktoren jenseits der Nierenfunktion die ARS beeinflussen.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Deutschland/Österreich, vergleichbare Transplantationsverfahren und -strukturen</w:t>
      </w:r>
    </w:p>
    <w:p>
      <w:r>
        <w:rPr>
          <w:color w:val="5A7D3A"/>
          <w:sz w:val="18"/>
        </w:rPr>
        <w:t>https://pubmed.ncbi.nlm.nih.gov/42665799/</w:t>
      </w:r>
    </w:p>
    <w:p>
      <w:pPr>
        <w:pStyle w:val="Heading2"/>
      </w:pPr>
      <w:r>
        <w:t>Muskelzell-Veränderungen bei Long COVID/ME-CFS unterscheiden sich grundlegend von Bettlägerigkeit</w:t>
      </w:r>
    </w:p>
    <w:p>
      <w:r>
        <w:rPr>
          <w:i/>
          <w:color w:val="666666"/>
          <w:sz w:val="18"/>
        </w:rPr>
        <w:t>Charlton BT et al.  ·  Nat Commun  ·  28.07.2026  ·  PMID 42649155</w:t>
      </w:r>
    </w:p>
    <w:p>
      <w:r>
        <w:t>Vergleichende Myofaser-Analyse nach 60-Tage-Bettruhe bei Gesunden versus Long COVID/ME-CFS-Patienten, um zu zeigen, dass Inaktivität allein nicht die Muskeldefekte erklärt.</w:t>
      </w:r>
    </w:p>
    <w:p>
      <w:r>
        <w:rPr>
          <w:b/>
        </w:rPr>
        <w:t xml:space="preserve">Ergebnis: </w:t>
      </w:r>
      <w:r>
        <w:t>Gesunde zeigen nach Bettruhe Muskelatrophie ohne Fasetyp-Verschiebung; beide Patientengruppen haben mehr glykolytische Fasern und ME/CFS-Patienten zeigen zusätzliche Typ-I-spezifische Atrophie. Nur nach Bettruhe war oxidative Phosphorylierungskapazität mit VO₂max korreliert. Die Muskelmerkmale unterscheiden sich fundamental zwischen Patienten und Bettruhe-Kontrollen, was zeigt, dass Inaktivität nicht die metabolischen Abnormitäten erklärt.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 Versorgungsbedingungen für chronische Erkrankungen</w:t>
      </w:r>
    </w:p>
    <w:p>
      <w:r>
        <w:rPr>
          <w:color w:val="5A7D3A"/>
          <w:sz w:val="18"/>
        </w:rPr>
        <w:t>https://pubmed.ncbi.nlm.nih.gov/42649155/</w:t>
      </w:r>
    </w:p>
    <w:p>
      <w:pPr>
        <w:pStyle w:val="Heading2"/>
      </w:pPr>
      <w:r>
        <w:t>Qualitätsindikatoren für Mehrfacherkrankung in der Hausarztpraxis – Protokoll einer partizipativen Entwicklung</w:t>
      </w:r>
    </w:p>
    <w:p>
      <w:r>
        <w:rPr>
          <w:i/>
          <w:color w:val="666666"/>
          <w:sz w:val="18"/>
        </w:rPr>
        <w:t>Tavares S et al.  ·  JMIR Res Protoc  ·  07.08.2026  ·  PMID 42567680</w:t>
      </w:r>
    </w:p>
    <w:p>
      <w:r>
        <w:t>Protokoll einer modifizierten RAND/UCLA-Studie zur Co-Entwicklung von nicht-diagnose-spezifischen Qualitätsindikatoren für Patienten mit Mehrfacherkrankungen (MLTC) mit Patienten, Angehörigen und Fachpersonen in England.</w:t>
      </w:r>
    </w:p>
    <w:p>
      <w:r>
        <w:rPr>
          <w:b/>
        </w:rPr>
        <w:t xml:space="preserve">Ergebnis: </w:t>
      </w:r>
      <w:r>
        <w:t>10 Patienten/Angehörige und 12 Fachpersonen konsentierten bis Juli 2026; 54 Kandidaten-Indikatoren aus Scoping Review und qualitativen Interviews mit 21 Patienten generiert. RAMStudie mit drei Runden geplant (Completion Anfang 2027). Indikatoren in Struktur-Prozess-Ergebnis-Qualitätsrahmen gemappt. Patient und Public Involvement mit vier Community-Partnern laufend. Ziel: umsetzungsorientiertes, primär-versorgungsgerechtes Indikator-Set für Mehrfacherkrankungen.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Großbritannien/NHS, vergleichbarer Versorgungsauftrag und Gate-Keeper-Modell</w:t>
      </w:r>
    </w:p>
    <w:p>
      <w:r>
        <w:rPr>
          <w:color w:val="5A7D3A"/>
          <w:sz w:val="18"/>
        </w:rPr>
        <w:t>https://pubmed.ncbi.nlm.nih.gov/42567680/</w:t>
      </w:r>
    </w:p>
    <w:p>
      <w:pPr>
        <w:pStyle w:val="Heading2"/>
      </w:pPr>
      <w:r>
        <w:t>Migranten-Jugendliche zeigen hohe Mehrfacherkrankung; unbegleitete haben 4-fach erhöhtes Trauma-Risiko</w:t>
      </w:r>
    </w:p>
    <w:p>
      <w:r>
        <w:rPr>
          <w:i/>
          <w:color w:val="666666"/>
          <w:sz w:val="18"/>
        </w:rPr>
        <w:t>Ngom L et al.  ·  J Adolesc Health  ·  04.08.2026  ·  PMID 42554533</w:t>
      </w:r>
    </w:p>
    <w:p>
      <w:r>
        <w:t>Observationskohort von 384 Migranten-Jugendlichen (10–17 J., Ankunft &lt;5 Jahre) in Marseille 2019–2024, die multimorbidität (CIRS) und psychisches Trauma-Risiko (Protect) misst.</w:t>
      </w:r>
    </w:p>
    <w:p>
      <w:r>
        <w:rPr>
          <w:b/>
        </w:rPr>
        <w:t xml:space="preserve">Ergebnis: </w:t>
      </w:r>
      <w:r>
        <w:t>Mittleres CIRS 3,98; 35,4 % hatten ≥3 Organ-System-Beeinträchtigungen. Häufigste: HNO/Zähne (48,7%), Muskel-Skelett (46,4%), psychische Störungen (25,3%). Multimorbidität assoziiert mit chronischer Vorgeschichte vor Migration (adj. OR 1,40; p&lt;0,0005) und während Migration (adj. OR 1,94; p=0,005). Trauma-Risiko erhöht bei unbegleiteten Jugendlichen (adj. OR 4,27; p&lt;0,05) und höherer physischer Morbidität (OR 1,18; p&lt;0,05). ED-Besuche sanken während und nach Versorgung im Unit. Vulnerable Population erfordert umfassenden Versorgungspfad.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EU-Versorgungsstruktur; Übertragbarkeit hängt an kultursensibler Ausgestaltung</w:t>
      </w:r>
    </w:p>
    <w:p>
      <w:r>
        <w:rPr>
          <w:color w:val="5A7D3A"/>
          <w:sz w:val="18"/>
        </w:rPr>
        <w:t>https://pubmed.ncbi.nlm.nih.gov/42554533/</w:t>
      </w:r>
    </w:p>
    <w:p>
      <w:pPr>
        <w:pStyle w:val="Heading2"/>
      </w:pPr>
      <w:r>
        <w:t>Aktualisierte CIDP-Leitlinie (2021) zeigt höhere Spezifität, aber niedrigere Sensitivität</w:t>
      </w:r>
    </w:p>
    <w:p>
      <w:r>
        <w:rPr>
          <w:i/>
          <w:color w:val="666666"/>
          <w:sz w:val="18"/>
        </w:rPr>
        <w:t>van Doorn IN et al.  ·  Eur J Neurol  ·  Aug. 2026  ·  PMID 42549490</w:t>
      </w:r>
    </w:p>
    <w:p>
      <w:r>
        <w:t>Vergleich der diagnostischen Genauigkeit der 2010 EFNS/PNS und der 2021 EAN/PNS Richtlinien für CIDP anhand von 339 Patienten und 339 Kontrollen mit vermuteter chronischer Neuropathie.</w:t>
      </w:r>
    </w:p>
    <w:p>
      <w:r>
        <w:rPr>
          <w:b/>
        </w:rPr>
        <w:t xml:space="preserve">Ergebnis: </w:t>
      </w:r>
      <w:r>
        <w:t>Die 2010-Richtlinie erzielte 92 % Sensitivität und 67 % Spezifität (möglich CIDP) bzw. 91 % und 78 % (wahrscheinlich/definit). Die 2021-Richtlinie zeigte 94 % Sensitivität und 66 % Spezifität (möglich) bzw. 83 % und 86 % (CIDP). Unterschiede entstanden durch geänderte Sensory-Kriterien und Leitfähigkeits-Schwellwerte. Unilaterale NCS hätte 77 mögliche CIDP-Diagnosen übersehen.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europäische Versorgungsstandards und Leitlinienimplement ierung</w:t>
      </w:r>
    </w:p>
    <w:p>
      <w:r>
        <w:rPr>
          <w:color w:val="5A7D3A"/>
          <w:sz w:val="18"/>
        </w:rPr>
        <w:t>https://pubmed.ncbi.nlm.nih.gov/42549490/</w:t>
      </w:r>
    </w:p>
    <w:p>
      <w:pPr>
        <w:pStyle w:val="Heading2"/>
      </w:pPr>
      <w:r>
        <w:t>HDV-Infektionen schwächen Lebensqualität und Fatigue mit Krankheitsprogress massiv</w:t>
      </w:r>
    </w:p>
    <w:p>
      <w:r>
        <w:rPr>
          <w:i/>
          <w:color w:val="666666"/>
          <w:sz w:val="18"/>
        </w:rPr>
        <w:t>Lampertico P et al.  ·  J Viral Hepat  ·  Sept. 2026  ·  PMID 42538645</w:t>
      </w:r>
    </w:p>
    <w:p>
      <w:r>
        <w:t>Internationale Real-World-Querschnittstudie (Deutschland, Italien, Spanien, USA) zu Lebensqualität (EQ-5D-3L, HepQoL v2) und Fatigue (FSS) in verschiedenen HDV-Erkrankungsstadien bei 211 Patienten.</w:t>
      </w:r>
    </w:p>
    <w:p>
      <w:r>
        <w:rPr>
          <w:b/>
        </w:rPr>
        <w:t xml:space="preserve">Ergebnis: </w:t>
      </w:r>
      <w:r>
        <w:t>EQ-5D-VAS-Scores sanken mit höherer Krankheitsschwere signifikant (p&lt;0,0001): von kompensiert zu dekompensiert zu HCC zeigte kontinuierliche Verschlechterung. Alle HepQoL-Domänen verschlechterten sich mit Progression (p≤0,0001). Mittlere FSS-Scores stiegen mit Krankheitsschwere (p&lt;0,0001). HDV belastet Patienten massiv, besonders in fortgeschrittenen Stadien; Therapien zur Krankheitsverzögerung sind dringend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Deutschland/Italien/Spanien, vergleichbare Sozialversicherungssysteme und Versorgungsstrukturen</w:t>
      </w:r>
    </w:p>
    <w:p>
      <w:r>
        <w:rPr>
          <w:color w:val="5A7D3A"/>
          <w:sz w:val="18"/>
        </w:rPr>
        <w:t>https://pubmed.ncbi.nlm.nih.gov/42538645/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2026-09-02T06:00:00Z</dcterms:created>
  <dcterms:modified xsi:type="dcterms:W3CDTF">2026-09-02T06:00:00Z</dcterms:modified>
  <cp:category/>
</cp:coreProperties>
</file>