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12.09.2026  |  6 Studien  |  ncd.m-vf.de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Inflammatorisches Phänotyp bei COPD: erhöhte Neutrophil-Lymphozyten-Ratio zeigt distinkte Immunmuster</w:t>
      </w:r>
    </w:p>
    <w:p>
      <w:r>
        <w:rPr>
          <w:i/>
          <w:color w:val="666666"/>
          <w:sz w:val="18"/>
        </w:rPr>
        <w:t>Colakoglu C et al.  ·  PLoS One  ·  11.09.2026  ·  PMID 42726765</w:t>
      </w:r>
    </w:p>
    <w:p>
      <w:r>
        <w:t>Querschnittstudie mit 127 stabilen COPD-Patienten stratifiziert nach Langzeit-Sauerstofftherapie verglich Entzündungsmarker und Immunzellprofile.</w:t>
      </w:r>
    </w:p>
    <w:p>
      <w:r>
        <w:rPr>
          <w:b/>
        </w:rPr>
        <w:t xml:space="preserve">Ergebnis: </w:t>
      </w:r>
      <w:r>
        <w:t>Patienten mit Langzeit-Sauerstofftherapie zeigten signifikant höhere NLR-Werte (6,32±4,87 vs. 3,68±2,41, p=0,001), aber ähnliche Gesamtleukozyten und CRP. Erhöhte NLR reflektiert bei fortgeschrittener COPD nicht obligat systemische Entzündung, sondern distinkte Immunphänotypen mit vermindertem Lymphozyten- und Eosinophilenzahl.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Querschnittdaten validierbar in europäischen Registern, biologische Logik unabhängig von System</w:t>
      </w:r>
    </w:p>
    <w:p>
      <w:r>
        <w:rPr>
          <w:color w:val="5A7D3A"/>
          <w:sz w:val="18"/>
        </w:rPr>
        <w:t>https://pubmed.ncbi.nlm.nih.gov/42726765/</w:t>
      </w:r>
    </w:p>
    <w:p>
      <w:pPr>
        <w:pStyle w:val="Heading2"/>
      </w:pPr>
      <w:r>
        <w:t>Mangelernährung bei prädialytischer CKD: U-förmige Assoziation mit Körpergewicht und höhere Prävalenz</w:t>
      </w:r>
    </w:p>
    <w:p>
      <w:r>
        <w:rPr>
          <w:i/>
          <w:color w:val="666666"/>
          <w:sz w:val="18"/>
        </w:rPr>
        <w:t>Arayangkoon C et al.  ·  Narra J  ·  07.07.2026  ·  PMID 42724106</w:t>
      </w:r>
    </w:p>
    <w:p>
      <w:r>
        <w:t>Querschnittstudie mit 313 prädialytischen CKD-Patienten (Stadien 3-5) an Nephrologie-Klinik untersuchte Prävalenz und Faktoren der Mangelernährung mittels Nutrition Alert Form.</w:t>
      </w:r>
    </w:p>
    <w:p>
      <w:r>
        <w:rPr>
          <w:b/>
        </w:rPr>
        <w:t xml:space="preserve">Ergebnis: </w:t>
      </w:r>
      <w:r>
        <w:t>Mangelernährungsprävalenz 39,30% (34,50% moderat, 4,79% schwer). Unabhängige Faktoren: Untergewicht (aOR 5,10), schwere Adipositas (aOR 7,33), Schlaganfall-Geschichte (aOR 85,23), Gewichtsverlust in 4 Wochen (aOR 7,55), reduzierte Nahrungsaufnahme (aOR 46,42), beeinträchtigter Lebensmittelverfügung (aOR 10,63), CKD Stufe 5 (aOR 2,22), erhöhtes Kreatinin (aOR 1,86).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Thailand, vergleichbare CKD-Epidemiologie, Screening-Empfehlungen übertragbar</w:t>
      </w:r>
    </w:p>
    <w:p>
      <w:r>
        <w:rPr>
          <w:color w:val="5A7D3A"/>
          <w:sz w:val="18"/>
        </w:rPr>
        <w:t>https://pubmed.ncbi.nlm.nih.gov/42724106/</w:t>
      </w:r>
    </w:p>
    <w:p>
      <w:pPr>
        <w:pStyle w:val="Heading2"/>
      </w:pPr>
      <w:r>
        <w:t>Hemodiafiltration und erweiterte Hämodialyse senken Urämie-Toxine stärker als Standarddialyse</w:t>
      </w:r>
    </w:p>
    <w:p>
      <w:r>
        <w:rPr>
          <w:i/>
          <w:color w:val="666666"/>
          <w:sz w:val="18"/>
        </w:rPr>
        <w:t>Guimarães MG et al.  ·  Contrib Nephrol  ·  10.09.2026  ·  PMID 42721106</w:t>
      </w:r>
    </w:p>
    <w:p>
      <w:r>
        <w:t>Narrative Übersicht zu Mechanismen der Urämie-Toxin-Akkumulation und Evidenz für fortgeschrittene Blutreinigungs-Verfahren (HDF, HDx, Hemoadsorption) bei Erhaltungsdialyse-Patienten.</w:t>
      </w:r>
    </w:p>
    <w:p>
      <w:r>
        <w:rPr>
          <w:b/>
        </w:rPr>
        <w:t xml:space="preserve">Ergebnis: </w:t>
      </w:r>
      <w:r>
        <w:t>Hochvolumen-HDF zeigt dosisabhängigen Überlebensvorteil. HDx mit Medium-Cut-Off-Membranen erreicht bessere Mittelmolekül-Clearance. Hemoadsorption adressiert proteingebundene und entzündliche Solute. Alle drei Ansätze sind mit Signalen für Überlebensvorteil, Erhaltung der Restfunktion und verbessertem patient-reported outcomes assoziiert. Unterschiede im Clearance-Profil übersetzen sich in klinische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Perspektive, biologische Evidenz unabhängig von Versicherungssystem, Anwendbar bei ausreichender technischer Infrastruktur</w:t>
      </w:r>
    </w:p>
    <w:p>
      <w:r>
        <w:rPr>
          <w:color w:val="5A7D3A"/>
          <w:sz w:val="18"/>
        </w:rPr>
        <w:t>https://pubmed.ncbi.nlm.nih.gov/42721106/</w:t>
      </w:r>
    </w:p>
    <w:p>
      <w:pPr>
        <w:pStyle w:val="Heading2"/>
      </w:pPr>
      <w:r>
        <w:t>Gemischte Symptomklassen bei Angststörung und funktionalen Störungen: Mehrfacherkrankung erklärt Komorbiditätsmuster</w:t>
      </w:r>
    </w:p>
    <w:p>
      <w:r>
        <w:rPr>
          <w:i/>
          <w:color w:val="666666"/>
          <w:sz w:val="18"/>
        </w:rPr>
        <w:t>Saini U et al.  ·  Gen Hosp Psychiatry  ·  11.08.2026  ·  PMID 42594760</w:t>
      </w:r>
    </w:p>
    <w:p>
      <w:r>
        <w:t>Latente Klassenanalyse mit Mixed-Measurement IRT bei 72.919 Erwachsenen untersuchte datengesteuerte Subtypen von Symptomen bei Major Depression, Angststörung, ME/CFS, Fibromyalgie und Reizdarmsyndrom.</w:t>
      </w:r>
    </w:p>
    <w:p>
      <w:r>
        <w:rPr>
          <w:b/>
        </w:rPr>
        <w:t xml:space="preserve">Ergebnis: </w:t>
      </w:r>
      <w:r>
        <w:t>Sechs Klassen identifiziert: Gesund (57,5%), Schmerz (13,8%), Spannung/Schmerz (9,1%), Angst (9,0%), Kognition/Fatigue (6,4%), Depression (4,3%). Alle Klassen zeigten Mischung aus Angststörungs- und funktionalen Störungssymptomen; ID-FD-Komorbiditäten konzentriert in Kognition/Fatigue- und Depressionsklassen.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Lifelines-Kohortenstudie, Versorgung sollte symptombasiert strukturiert sein</w:t>
      </w:r>
    </w:p>
    <w:p>
      <w:r>
        <w:rPr>
          <w:color w:val="5A7D3A"/>
          <w:sz w:val="18"/>
        </w:rPr>
        <w:t>https://pubmed.ncbi.nlm.nih.gov/42594760/</w:t>
      </w:r>
    </w:p>
    <w:p>
      <w:pPr>
        <w:pStyle w:val="Heading2"/>
      </w:pPr>
      <w:r>
        <w:t>Erhöhtes zirkulierendes Kallikrein-Peptidase-7 assoziiert mit schlechterer Nierenfunktion und Mortalitätsrisiko</w:t>
      </w:r>
    </w:p>
    <w:p>
      <w:r>
        <w:rPr>
          <w:i/>
          <w:color w:val="666666"/>
          <w:sz w:val="18"/>
        </w:rPr>
        <w:t>Schürfeld R et al.  ·  Front Endocrinol (Lausanne)  ·  07.07.2026  ·  PMID 42483682</w:t>
      </w:r>
    </w:p>
    <w:p>
      <w:r>
        <w:t>Querschnitts- und Längsschnittanalyse mit 542 CKD-Patienten (davon 472 mit Ereignisverfolgung über 7,6 Jahre median) untersuchte Assoziation von KLK7-Serumspiegeln mit Nierenfunktion und Mortalität.</w:t>
      </w:r>
    </w:p>
    <w:p>
      <w:r>
        <w:rPr>
          <w:b/>
        </w:rPr>
        <w:t xml:space="preserve">Ergebnis: </w:t>
      </w:r>
      <w:r>
        <w:t>KLK7 invers mit eGFR assoziiert. Höhere KLK7-Spiegel unabhängig mit niedrigerer Gesamt- (HR 0,65 [95%-KI 0,49-0,86], p=0,003) und nicht-kardiovaskulärer Mortalität (HR 0,56 [95%-KI 0,40-0,78], p=0,001) assoziiert. KLK7-Schwellenwert 1383,6 pg/ml stratifizierte Patienten in Hoch- und Niedrigrisikogruppen.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Leipzig-CKD-Kohortenstudie, deutsche Klinikpopulation direkt untersucht</w:t>
      </w:r>
    </w:p>
    <w:p>
      <w:r>
        <w:rPr>
          <w:color w:val="5A7D3A"/>
          <w:sz w:val="18"/>
        </w:rPr>
        <w:t>https://pubmed.ncbi.nlm.nih.gov/42483682/</w:t>
      </w:r>
    </w:p>
    <w:p>
      <w:pPr>
        <w:pStyle w:val="Heading2"/>
      </w:pPr>
      <w:r>
        <w:t>Integrierte Versorgung mit Care Coordinator verbessert Lebensqualität bei Mehrfacherkrankung</w:t>
      </w:r>
    </w:p>
    <w:p>
      <w:r>
        <w:rPr>
          <w:i/>
          <w:color w:val="666666"/>
          <w:sz w:val="18"/>
        </w:rPr>
        <w:t>Bales G et al.  ·  BMJ Open  ·  21.07.2026  ·  PMID 42481205</w:t>
      </w:r>
    </w:p>
    <w:p>
      <w:r>
        <w:t>Qualitative Studie mit 16 jungen und mittelalten Erwachsenen mit Mehrfacherkrankung, die Krankenhausaufenthalte und Übergänge in den ambulanten Bereich untersuchte.</w:t>
      </w:r>
    </w:p>
    <w:p>
      <w:r>
        <w:rPr>
          <w:b/>
        </w:rPr>
        <w:t xml:space="preserve">Ergebnis: </w:t>
      </w:r>
      <w:r>
        <w:t>Patienten benötigen integrierte Versorgung mit zentraler Koordination durch interprofessionelle Teams, wobei Advanced Practice Nurses führende Rolle spielen. Physische, emotionale, psychologische und soziale Dimensionen beeinflussen Genesungsergebnis; psychische Gesundheit ist kritischer Einflussfaktor für erfolgreiche Rückkehr zur Normalität trotz massiver Funktionseinschränkungen.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vergleichbares Versicherungssystem, Bedarf an strukturierter Koordination übertragbar</w:t>
      </w:r>
    </w:p>
    <w:p>
      <w:r>
        <w:rPr>
          <w:color w:val="5A7D3A"/>
          <w:sz w:val="18"/>
        </w:rPr>
        <w:t>https://pubmed.ncbi.nlm.nih.gov/42481205/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