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05.09.2026  |  7 Studien  |  ncd.m-vf.de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Regionale Benachteiligung (nicht Einzelindividuum) prägte Leberfibrose bei HBV-Infektion</w:t>
      </w:r>
    </w:p>
    <w:p>
      <w:r>
        <w:rPr>
          <w:i/>
          <w:color w:val="666666"/>
          <w:sz w:val="18"/>
        </w:rPr>
        <w:t>Çiçek Y et al.  ·  Infect Dis Poverty  ·  03.09.2026  ·  PMID 42693478</w:t>
      </w:r>
    </w:p>
    <w:p>
      <w:r>
        <w:t>Nationale türkische Multicenterstudie (24 Zentren, n=956) zu Assoziation von Sozioökonomie (Individual- und Gebietsebene) mit Leberfibrosegrad bei CHB.</w:t>
      </w:r>
    </w:p>
    <w:p>
      <w:r>
        <w:rPr>
          <w:b/>
        </w:rPr>
        <w:t xml:space="preserve">Ergebnis: </w:t>
      </w:r>
      <w:r>
        <w:t>Leberfibrosegrad assoziiert mit älterem Alter (aOR 1,12 pro 10 Jahre), längerer Anfahrtszeit zu CHB-Fachzentrum (aOR 1,53 pro Kategorie, p&lt;0,001), aber vor allem mit niedriger Wohngebiets-Sozioökonomie (aOR 1,97 pro Stufe, p&lt;0,001); Vergleich höchste vs. niedrigste Stufe: aOR 26,00 (95%-KI 8,21–82,37).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(vergleichbares Gesundheitswesen); regionale Ungleichheit oft unterschätzt, Koordinationszugang zentral für Prognose.</w:t>
      </w:r>
    </w:p>
    <w:p>
      <w:r>
        <w:rPr>
          <w:color w:val="5A7D3A"/>
          <w:sz w:val="18"/>
        </w:rPr>
        <w:t>https://pubmed.ncbi.nlm.nih.gov/42693478/</w:t>
      </w:r>
    </w:p>
    <w:p>
      <w:pPr>
        <w:pStyle w:val="Heading2"/>
      </w:pPr>
      <w:r>
        <w:t>Extracorporeal CO₂-Elimination verkürzte Beatmungsdauer bei schwerem COPD-Exazerbation</w:t>
      </w:r>
    </w:p>
    <w:p>
      <w:r>
        <w:rPr>
          <w:i/>
          <w:color w:val="666666"/>
          <w:sz w:val="18"/>
        </w:rPr>
        <w:t>Karagiannidis C et al.  ·  Crit Care  ·  03.09.2026  ·  PMID 42693471</w:t>
      </w:r>
    </w:p>
    <w:p>
      <w:r>
        <w:t>Randomisierte Studie zu ECCO₂R-gestützter Früh-Extubation vs. Standard-Beatmung bei invasiv beatmeten COPD-Patienten mit hypercapnischer Ateminsuffizienz.</w:t>
      </w:r>
    </w:p>
    <w:p>
      <w:r>
        <w:rPr>
          <w:b/>
        </w:rPr>
        <w:t xml:space="preserve">Ergebnis: </w:t>
      </w:r>
      <w:r>
        <w:t>ECCO₂R-Gruppe: Beatmungsdauer 7,1±2,0 Tage vs. Kontrolle 24,3±21,4 Tage (p=0,043); 0/8 vs. 3/9 (33 %) mit Tod/schwerer Behinderung; ventilatorassoziierte Pneumonie 0 vs. 37,5 %. Studie vorzeitig beendet (n=18, geplant 192), aber konsistente Trends für ECCO₂R.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Spezialisierte Zentren, technische Verfügbarkeit und Kostenübernahme prüfen.</w:t>
      </w:r>
    </w:p>
    <w:p>
      <w:r>
        <w:rPr>
          <w:color w:val="5A7D3A"/>
          <w:sz w:val="18"/>
        </w:rPr>
        <w:t>https://pubmed.ncbi.nlm.nih.gov/42693471/</w:t>
      </w:r>
    </w:p>
    <w:p>
      <w:pPr>
        <w:pStyle w:val="Heading2"/>
      </w:pPr>
      <w:r>
        <w:t>Metabolisches Syndrom-Scoring sagte Mehrfacherkrankung voraus: 1,35-fache Risikoerhöhung</w:t>
      </w:r>
    </w:p>
    <w:p>
      <w:r>
        <w:rPr>
          <w:i/>
          <w:color w:val="666666"/>
          <w:sz w:val="18"/>
        </w:rPr>
        <w:t>Zhang W et al.  ·  Sci Rep  ·  24.07.2026  ·  PMID 42693153</w:t>
      </w:r>
    </w:p>
    <w:p>
      <w:r>
        <w:t>Prospektive Analyse von 17.894 Teilnehmern (China, USA, UK) zur Vorhersage kardiometabolischer Mehrfacherkrankung durch kontinuierliches Metabolisches-Syndrom-Score.</w:t>
      </w:r>
    </w:p>
    <w:p>
      <w:r>
        <w:rPr>
          <w:b/>
        </w:rPr>
        <w:t xml:space="preserve">Ergebnis: </w:t>
      </w:r>
      <w:r>
        <w:t>Über Medianfolgeup 4–7 Jahre: 1.061 Fälle kardiometabolischer Mehrfacherkrankung. Höchstes vs. niedriges Tertil des Score assoziiert mit HR 1,77–4,27 je nach Kohorte. Gepoolte HR pro 1-SD-Anstieg: 1,35 (95%-KI 1,17–1,56). Dosis-Wirkungs-Beziehung dosisabhängig oder linear.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USA, UK; Risikostratifizierungsmodell universal anwendbar, aber externe Validierung ausstehend.</w:t>
      </w:r>
    </w:p>
    <w:p>
      <w:r>
        <w:rPr>
          <w:color w:val="5A7D3A"/>
          <w:sz w:val="18"/>
        </w:rPr>
        <w:t>https://pubmed.ncbi.nlm.nih.gov/42693153/</w:t>
      </w:r>
    </w:p>
    <w:p>
      <w:pPr>
        <w:pStyle w:val="Heading2"/>
      </w:pPr>
      <w:r>
        <w:t>ESA- und Eisenmanagement erforderte 1.093 Monats-Arbeitsstunden in französischen Dialysezentren</w:t>
      </w:r>
    </w:p>
    <w:p>
      <w:r>
        <w:rPr>
          <w:i/>
          <w:color w:val="666666"/>
          <w:sz w:val="18"/>
        </w:rPr>
        <w:t>El-Haik Y et al.  ·  Nephrol Ther  ·  01.08.2026  ·  PMID 42684151</w:t>
      </w:r>
    </w:p>
    <w:p>
      <w:r>
        <w:t>Organisatorische Belastungsanalyse von Erythropoese-Stimulatoren und intravenösem Eisen in 12 französischen Dialyseeinrichtungen.</w:t>
      </w:r>
    </w:p>
    <w:p>
      <w:r>
        <w:rPr>
          <w:b/>
        </w:rPr>
        <w:t xml:space="preserve">Ergebnis: </w:t>
      </w:r>
      <w:r>
        <w:t>ESA-Management 313,9 h/Monat pro Zentrum (davon 285,3 h Vorbereitung/Verabreichung/Monitoring); IV-Eisen-Management 779,3 h/Monat (664 h Verabreichung/Monitoring). 74,2 % der Kühllagerfläche für ESAs.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Frankreich; direkte Übertragbarkeit auf deutsches Dialysesystem (DMP-ähnliche Strukturen, vergleichbare Dokumentation).</w:t>
      </w:r>
    </w:p>
    <w:p>
      <w:r>
        <w:rPr>
          <w:color w:val="5A7D3A"/>
          <w:sz w:val="18"/>
        </w:rPr>
        <w:t>https://pubmed.ncbi.nlm.nih.gov/42684151/</w:t>
      </w:r>
    </w:p>
    <w:p>
      <w:pPr>
        <w:pStyle w:val="Heading2"/>
      </w:pPr>
      <w:r>
        <w:t>Isoliert reduzierte Diffusionskapazität korrelierte mit Emphysem und Rauchen</w:t>
      </w:r>
    </w:p>
    <w:p>
      <w:r>
        <w:rPr>
          <w:i/>
          <w:color w:val="666666"/>
          <w:sz w:val="18"/>
        </w:rPr>
        <w:t>Hamrefors V et al.  ·  BMC Pulm Med  ·  31.08.2026  ·  PMID 42675482</w:t>
      </w:r>
    </w:p>
    <w:p>
      <w:r>
        <w:t>Große schwedische Querschnittsstudie (SCAPIS) zu Determinanten isoliert verminderter DLCO bei 24.261 Patienten mit normalen Spirometrieparametern.</w:t>
      </w:r>
    </w:p>
    <w:p>
      <w:r>
        <w:rPr>
          <w:b/>
        </w:rPr>
        <w:t xml:space="preserve">Ergebnis: </w:t>
      </w:r>
      <w:r>
        <w:t>DLCO unterhalb LLN (n=1.472; 6,1 %): unabhängig assoziiert mit Emphysem (OR 2,6), Lungenerkrankung außer Asthma/COPD (OR 1,8), Rauchen pro 10-Pack-Jahre (OR 1,6), interstitielle Lungenabnormitäten (OR 1,4), Belastungsbrust­schmerz (OR 1,6).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bevölkerungsbasiert, Screening-konzept übertragbar auf deutsches Präventiossystem.</w:t>
      </w:r>
    </w:p>
    <w:p>
      <w:r>
        <w:rPr>
          <w:color w:val="5A7D3A"/>
          <w:sz w:val="18"/>
        </w:rPr>
        <w:t>https://pubmed.ncbi.nlm.nih.gov/42675482/</w:t>
      </w:r>
    </w:p>
    <w:p>
      <w:pPr>
        <w:pStyle w:val="Heading2"/>
      </w:pPr>
      <w:r>
        <w:t>HBV-Genotyp-E-Infektionen: Resistenzmutationen unter Migration und schlechter Adhärenz</w:t>
      </w:r>
    </w:p>
    <w:p>
      <w:r>
        <w:rPr>
          <w:i/>
          <w:color w:val="666666"/>
          <w:sz w:val="18"/>
        </w:rPr>
        <w:t>Tiecco G et al.  ·  Infect Dis (Lond)  ·  03.08.2026  ·  PMID 42547309</w:t>
      </w:r>
    </w:p>
    <w:p>
      <w:r>
        <w:t>Retrospektive Fallserie (2015–2023) von 8 Patienten mit dokumentiertem HBV-Genotyp E und Resistenztest-Ergebnissen.</w:t>
      </w:r>
    </w:p>
    <w:p>
      <w:r>
        <w:rPr>
          <w:b/>
        </w:rPr>
        <w:t xml:space="preserve">Ergebnis: </w:t>
      </w:r>
      <w:r>
        <w:t>8 Patienten (62,5 % männlich, 87,5 % afrikanischer Herkunft); 75 % mit persistierender Virämie trotz Therapie; Lamivudin-Resistenz 12,5 %, Tenofovir-Resistenzmutationen 25 %, Immun-Escape-Mutationen 37,5 %; virologische Suppression nach Therapie­anpassung nur in 37,5 %.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(reales Patientenkollektiv); strukturelle Herausforderungen (Adhärenz, Migranten) in Deutschland ähnlich.</w:t>
      </w:r>
    </w:p>
    <w:p>
      <w:r>
        <w:rPr>
          <w:color w:val="5A7D3A"/>
          <w:sz w:val="18"/>
        </w:rPr>
        <w:t>https://pubmed.ncbi.nlm.nih.gov/42547309/</w:t>
      </w:r>
    </w:p>
    <w:p>
      <w:pPr>
        <w:pStyle w:val="Heading2"/>
      </w:pPr>
      <w:r>
        <w:t>HBV-assoziierte Stigmatisierung beeinträchtigte alle Lebensqualitäts-Domänen</w:t>
      </w:r>
    </w:p>
    <w:p>
      <w:r>
        <w:rPr>
          <w:i/>
          <w:color w:val="666666"/>
          <w:sz w:val="18"/>
        </w:rPr>
        <w:t>Smith V et al.  ·  J Viral Hepat  ·  Aug. 2026  ·  PMID 42499137</w:t>
      </w:r>
    </w:p>
    <w:p>
      <w:r>
        <w:t>Qualitative Studie (Concept-Elicitation-Interviews) mit 28 HBV-Patienten aus USA, China und Polen zur Erfahrung von Stigma.</w:t>
      </w:r>
    </w:p>
    <w:p>
      <w:r>
        <w:rPr>
          <w:b/>
        </w:rPr>
        <w:t xml:space="preserve">Ergebnis: </w:t>
      </w:r>
      <w:r>
        <w:t>Internalisiertes Stigma 100 %, soziales Stigma 79 %, institutionelles Stigma 57 %. Sieben Domänen identifiziert: soziale Funktion (100 %), emotionales Wohlbefinden (96 %), HBV-Transmission (96 %), körperliche Symptome, Arbeit, Beziehungen, Zugang zu Versorgung. Stigma stark mit Lebensqualitäts-Einschränkungen verwoben.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 (aber gering-Einkommens- und Mitteleinkommensländer überrepräsentiert); psychosoziale Versorgung in Deutschland unterbewertet.</w:t>
      </w:r>
    </w:p>
    <w:p>
      <w:r>
        <w:rPr>
          <w:color w:val="5A7D3A"/>
          <w:sz w:val="18"/>
        </w:rPr>
        <w:t>https://pubmed.ncbi.nlm.nih.gov/42499137/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