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Nicht uebertragbare Krankheiten</w:t>
      </w:r>
    </w:p>
    <w:p>
      <w:r>
        <w:rPr>
          <w:i/>
          <w:color w:val="666666"/>
          <w:sz w:val="18"/>
        </w:rPr>
        <w:t>Stand: 05.09.2026  |  80 Studien  |  ncd.m-vf.de</w:t>
      </w:r>
    </w:p>
    <w:p>
      <w:pPr>
        <w:pStyle w:val="Heading1"/>
      </w:pPr>
      <w:r>
        <w:t>Aufgenommen am 05.09.2026</w:t>
      </w:r>
    </w:p>
    <w:p>
      <w:pPr>
        <w:pStyle w:val="Heading2"/>
      </w:pPr>
      <w:r>
        <w:t>Regionale Benachteiligung (nicht Einzelindividuum) prägte Leberfibrose bei HBV-Infektion</w:t>
      </w:r>
    </w:p>
    <w:p>
      <w:r>
        <w:rPr>
          <w:i/>
          <w:color w:val="666666"/>
          <w:sz w:val="18"/>
        </w:rPr>
        <w:t>Çiçek Y et al.  ·  Infect Dis Poverty  ·  03.09.2026  ·  PMID 42693478</w:t>
      </w:r>
    </w:p>
    <w:p>
      <w:r>
        <w:t>Nationale türkische Multicenterstudie (24 Zentren, n=956) zu Assoziation von Sozioökonomie (Individual- und Gebietsebene) mit Leberfibrosegrad bei CHB.</w:t>
      </w:r>
    </w:p>
    <w:p>
      <w:r>
        <w:rPr>
          <w:b/>
        </w:rPr>
        <w:t xml:space="preserve">Ergebnis: </w:t>
      </w:r>
      <w:r>
        <w:t>Leberfibrosegrad assoziiert mit älterem Alter (aOR 1,12 pro 10 Jahre), längerer Anfahrtszeit zu CHB-Fachzentrum (aOR 1,53 pro Kategorie, p&lt;0,001), aber vor allem mit niedriger Wohngebiets-Sozioökonomie (aOR 1,97 pro Stufe, p&lt;0,001); Vergleich höchste vs. niedrigste Stufe: aOR 26,00 (95%-KI 8,21–82,37).</w:t>
      </w:r>
    </w:p>
    <w:p>
      <w:r>
        <w:rPr>
          <w:b/>
          <w:sz w:val="19"/>
        </w:rPr>
        <w:t xml:space="preserve">Übertragbarkeit: </w:t>
      </w:r>
      <w:r>
        <w:rPr>
          <w:sz w:val="19"/>
        </w:rPr>
        <w:t>Türkei (vergleichbares Gesundheitswesen); regionale Ungleichheit oft unterschätzt, Koordinationszugang zentral für Prognose.</w:t>
      </w:r>
    </w:p>
    <w:p>
      <w:r>
        <w:rPr>
          <w:color w:val="5A7D3A"/>
          <w:sz w:val="18"/>
        </w:rPr>
        <w:t>https://pubmed.ncbi.nlm.nih.gov/42693478/</w:t>
      </w:r>
    </w:p>
    <w:p>
      <w:pPr>
        <w:pStyle w:val="Heading2"/>
      </w:pPr>
      <w:r>
        <w:t>Extracorporeal CO₂-Elimination verkürzte Beatmungsdauer bei schwerem COPD-Exazerbation</w:t>
      </w:r>
    </w:p>
    <w:p>
      <w:r>
        <w:rPr>
          <w:i/>
          <w:color w:val="666666"/>
          <w:sz w:val="18"/>
        </w:rPr>
        <w:t>Karagiannidis C et al.  ·  Crit Care  ·  03.09.2026  ·  PMID 42693471</w:t>
      </w:r>
    </w:p>
    <w:p>
      <w:r>
        <w:t>Randomisierte Studie zu ECCO₂R-gestützter Früh-Extubation vs. Standard-Beatmung bei invasiv beatmeten COPD-Patienten mit hypercapnischer Ateminsuffizienz.</w:t>
      </w:r>
    </w:p>
    <w:p>
      <w:r>
        <w:rPr>
          <w:b/>
        </w:rPr>
        <w:t xml:space="preserve">Ergebnis: </w:t>
      </w:r>
      <w:r>
        <w:t>ECCO₂R-Gruppe: Beatmungsdauer 7,1±2,0 Tage vs. Kontrolle 24,3±21,4 Tage (p=0,043); 0/8 vs. 3/9 (33 %) mit Tod/schwerer Behinderung; ventilatorassoziierte Pneumonie 0 vs. 37,5 %. Studie vorzeitig beendet (n=18, geplant 192), aber konsistente Trends für ECCO₂R.</w:t>
      </w:r>
    </w:p>
    <w:p>
      <w:r>
        <w:rPr>
          <w:b/>
          <w:sz w:val="19"/>
        </w:rPr>
        <w:t xml:space="preserve">Übertragbarkeit: </w:t>
      </w:r>
      <w:r>
        <w:rPr>
          <w:sz w:val="19"/>
        </w:rPr>
        <w:t>Deutschland: Spezialisierte Zentren, technische Verfügbarkeit und Kostenübernahme prüfen.</w:t>
      </w:r>
    </w:p>
    <w:p>
      <w:r>
        <w:rPr>
          <w:color w:val="5A7D3A"/>
          <w:sz w:val="18"/>
        </w:rPr>
        <w:t>https://pubmed.ncbi.nlm.nih.gov/42693471/</w:t>
      </w:r>
    </w:p>
    <w:p>
      <w:pPr>
        <w:pStyle w:val="Heading2"/>
      </w:pPr>
      <w:r>
        <w:t>Metabolisches Syndrom-Scoring sagte Mehrfacherkrankung voraus: 1,35-fache Risikoerhöhung</w:t>
      </w:r>
    </w:p>
    <w:p>
      <w:r>
        <w:rPr>
          <w:i/>
          <w:color w:val="666666"/>
          <w:sz w:val="18"/>
        </w:rPr>
        <w:t>Zhang W et al.  ·  Sci Rep  ·  24.07.2026  ·  PMID 42693153</w:t>
      </w:r>
    </w:p>
    <w:p>
      <w:r>
        <w:t>Prospektive Analyse von 17.894 Teilnehmern (China, USA, UK) zur Vorhersage kardiometabolischer Mehrfacherkrankung durch kontinuierliches Metabolisches-Syndrom-Score.</w:t>
      </w:r>
    </w:p>
    <w:p>
      <w:r>
        <w:rPr>
          <w:b/>
        </w:rPr>
        <w:t xml:space="preserve">Ergebnis: </w:t>
      </w:r>
      <w:r>
        <w:t>Über Medianfolgeup 4–7 Jahre: 1.061 Fälle kardiometabolischer Mehrfacherkrankung. Höchstes vs. niedriges Tertil des Score assoziiert mit HR 1,77–4,27 je nach Kohorte. Gepoolte HR pro 1-SD-Anstieg: 1,35 (95%-KI 1,17–1,56). Dosis-Wirkungs-Beziehung dosisabhängig oder linear.</w:t>
      </w:r>
    </w:p>
    <w:p>
      <w:r>
        <w:rPr>
          <w:b/>
          <w:sz w:val="19"/>
        </w:rPr>
        <w:t xml:space="preserve">Übertragbarkeit: </w:t>
      </w:r>
      <w:r>
        <w:rPr>
          <w:sz w:val="19"/>
        </w:rPr>
        <w:t>China, USA, UK; Risikostratifizierungsmodell universal anwendbar, aber externe Validierung ausstehend.</w:t>
      </w:r>
    </w:p>
    <w:p>
      <w:r>
        <w:rPr>
          <w:color w:val="5A7D3A"/>
          <w:sz w:val="18"/>
        </w:rPr>
        <w:t>https://pubmed.ncbi.nlm.nih.gov/42693153/</w:t>
      </w:r>
    </w:p>
    <w:p>
      <w:pPr>
        <w:pStyle w:val="Heading2"/>
      </w:pPr>
      <w:r>
        <w:t>ESA- und Eisenmanagement erforderte 1.093 Monats-Arbeitsstunden in französischen Dialysezentren</w:t>
      </w:r>
    </w:p>
    <w:p>
      <w:r>
        <w:rPr>
          <w:i/>
          <w:color w:val="666666"/>
          <w:sz w:val="18"/>
        </w:rPr>
        <w:t>El-Haik Y et al.  ·  Nephrol Ther  ·  01.08.2026  ·  PMID 42684151</w:t>
      </w:r>
    </w:p>
    <w:p>
      <w:r>
        <w:t>Organisatorische Belastungsanalyse von Erythropoese-Stimulatoren und intravenösem Eisen in 12 französischen Dialyseeinrichtungen.</w:t>
      </w:r>
    </w:p>
    <w:p>
      <w:r>
        <w:rPr>
          <w:b/>
        </w:rPr>
        <w:t xml:space="preserve">Ergebnis: </w:t>
      </w:r>
      <w:r>
        <w:t>ESA-Management 313,9 h/Monat pro Zentrum (davon 285,3 h Vorbereitung/Verabreichung/Monitoring); IV-Eisen-Management 779,3 h/Monat (664 h Verabreichung/Monitoring). 74,2 % der Kühllagerfläche für ESAs.</w:t>
      </w:r>
    </w:p>
    <w:p>
      <w:r>
        <w:rPr>
          <w:b/>
          <w:sz w:val="19"/>
        </w:rPr>
        <w:t xml:space="preserve">Übertragbarkeit: </w:t>
      </w:r>
      <w:r>
        <w:rPr>
          <w:sz w:val="19"/>
        </w:rPr>
        <w:t>Frankreich; direkte Übertragbarkeit auf deutsches Dialysesystem (DMP-ähnliche Strukturen, vergleichbare Dokumentation).</w:t>
      </w:r>
    </w:p>
    <w:p>
      <w:r>
        <w:rPr>
          <w:color w:val="5A7D3A"/>
          <w:sz w:val="18"/>
        </w:rPr>
        <w:t>https://pubmed.ncbi.nlm.nih.gov/42684151/</w:t>
      </w:r>
    </w:p>
    <w:p>
      <w:pPr>
        <w:pStyle w:val="Heading2"/>
      </w:pPr>
      <w:r>
        <w:t>Isoliert reduzierte Diffusionskapazität korrelierte mit Emphysem und Rauchen</w:t>
      </w:r>
    </w:p>
    <w:p>
      <w:r>
        <w:rPr>
          <w:i/>
          <w:color w:val="666666"/>
          <w:sz w:val="18"/>
        </w:rPr>
        <w:t>Hamrefors V et al.  ·  BMC Pulm Med  ·  31.08.2026  ·  PMID 42675482</w:t>
      </w:r>
    </w:p>
    <w:p>
      <w:r>
        <w:t>Große schwedische Querschnittsstudie (SCAPIS) zu Determinanten isoliert verminderter DLCO bei 24.261 Patienten mit normalen Spirometrieparametern.</w:t>
      </w:r>
    </w:p>
    <w:p>
      <w:r>
        <w:rPr>
          <w:b/>
        </w:rPr>
        <w:t xml:space="preserve">Ergebnis: </w:t>
      </w:r>
      <w:r>
        <w:t>DLCO unterhalb LLN (n=1.472; 6,1 %): unabhängig assoziiert mit Emphysem (OR 2,6), Lungenerkrankung außer Asthma/COPD (OR 1,8), Rauchen pro 10-Pack-Jahre (OR 1,6), interstitielle Lungenabnormitäten (OR 1,4), Belastungsbrust­schmerz (OR 1,6).</w:t>
      </w:r>
    </w:p>
    <w:p>
      <w:r>
        <w:rPr>
          <w:b/>
          <w:sz w:val="19"/>
        </w:rPr>
        <w:t xml:space="preserve">Übertragbarkeit: </w:t>
      </w:r>
      <w:r>
        <w:rPr>
          <w:sz w:val="19"/>
        </w:rPr>
        <w:t>Schweden; bevölkerungsbasiert, Screening-konzept übertragbar auf deutsches Präventiossystem.</w:t>
      </w:r>
    </w:p>
    <w:p>
      <w:r>
        <w:rPr>
          <w:color w:val="5A7D3A"/>
          <w:sz w:val="18"/>
        </w:rPr>
        <w:t>https://pubmed.ncbi.nlm.nih.gov/42675482/</w:t>
      </w:r>
    </w:p>
    <w:p>
      <w:pPr>
        <w:pStyle w:val="Heading2"/>
      </w:pPr>
      <w:r>
        <w:t>HBV-Genotyp-E-Infektionen: Resistenzmutationen unter Migration und schlechter Adhärenz</w:t>
      </w:r>
    </w:p>
    <w:p>
      <w:r>
        <w:rPr>
          <w:i/>
          <w:color w:val="666666"/>
          <w:sz w:val="18"/>
        </w:rPr>
        <w:t>Tiecco G et al.  ·  Infect Dis (Lond)  ·  03.08.2026  ·  PMID 42547309</w:t>
      </w:r>
    </w:p>
    <w:p>
      <w:r>
        <w:t>Retrospektive Fallserie (2015–2023) von 8 Patienten mit dokumentiertem HBV-Genotyp E und Resistenztest-Ergebnissen.</w:t>
      </w:r>
    </w:p>
    <w:p>
      <w:r>
        <w:rPr>
          <w:b/>
        </w:rPr>
        <w:t xml:space="preserve">Ergebnis: </w:t>
      </w:r>
      <w:r>
        <w:t>8 Patienten (62,5 % männlich, 87,5 % afrikanischer Herkunft); 75 % mit persistierender Virämie trotz Therapie; Lamivudin-Resistenz 12,5 %, Tenofovir-Resistenzmutationen 25 %, Immun-Escape-Mutationen 37,5 %; virologische Suppression nach Therapie­anpassung nur in 37,5 %.</w:t>
      </w:r>
    </w:p>
    <w:p>
      <w:r>
        <w:rPr>
          <w:b/>
          <w:sz w:val="19"/>
        </w:rPr>
        <w:t xml:space="preserve">Übertragbarkeit: </w:t>
      </w:r>
      <w:r>
        <w:rPr>
          <w:sz w:val="19"/>
        </w:rPr>
        <w:t>Italien (reales Patientenkollektiv); strukturelle Herausforderungen (Adhärenz, Migranten) in Deutschland ähnlich.</w:t>
      </w:r>
    </w:p>
    <w:p>
      <w:r>
        <w:rPr>
          <w:color w:val="5A7D3A"/>
          <w:sz w:val="18"/>
        </w:rPr>
        <w:t>https://pubmed.ncbi.nlm.nih.gov/42547309/</w:t>
      </w:r>
    </w:p>
    <w:p>
      <w:pPr>
        <w:pStyle w:val="Heading2"/>
      </w:pPr>
      <w:r>
        <w:t>HBV-assoziierte Stigmatisierung beeinträchtigte alle Lebensqualitäts-Domänen</w:t>
      </w:r>
    </w:p>
    <w:p>
      <w:r>
        <w:rPr>
          <w:i/>
          <w:color w:val="666666"/>
          <w:sz w:val="18"/>
        </w:rPr>
        <w:t>Smith V et al.  ·  J Viral Hepat  ·  Aug. 2026  ·  PMID 42499137</w:t>
      </w:r>
    </w:p>
    <w:p>
      <w:r>
        <w:t>Qualitative Studie (Concept-Elicitation-Interviews) mit 28 HBV-Patienten aus USA, China und Polen zur Erfahrung von Stigma.</w:t>
      </w:r>
    </w:p>
    <w:p>
      <w:r>
        <w:rPr>
          <w:b/>
        </w:rPr>
        <w:t xml:space="preserve">Ergebnis: </w:t>
      </w:r>
      <w:r>
        <w:t>Internalisiertes Stigma 100 %, soziales Stigma 79 %, institutionelles Stigma 57 %. Sieben Domänen identifiziert: soziale Funktion (100 %), emotionales Wohlbefinden (96 %), HBV-Transmission (96 %), körperliche Symptome, Arbeit, Beziehungen, Zugang zu Versorgung. Stigma stark mit Lebensqualitäts-Einschränkungen verwoben.</w:t>
      </w:r>
    </w:p>
    <w:p>
      <w:r>
        <w:rPr>
          <w:b/>
          <w:sz w:val="19"/>
        </w:rPr>
        <w:t xml:space="preserve">Übertragbarkeit: </w:t>
      </w:r>
      <w:r>
        <w:rPr>
          <w:sz w:val="19"/>
        </w:rPr>
        <w:t>Multinational (aber gering-Einkommens- und Mitteleinkommensländer überrepräsentiert); psychosoziale Versorgung in Deutschland unterbewertet.</w:t>
      </w:r>
    </w:p>
    <w:p>
      <w:r>
        <w:rPr>
          <w:color w:val="5A7D3A"/>
          <w:sz w:val="18"/>
        </w:rPr>
        <w:t>https://pubmed.ncbi.nlm.nih.gov/42499137/</w:t>
      </w:r>
    </w:p>
    <w:p>
      <w:pPr>
        <w:pStyle w:val="Heading1"/>
      </w:pPr>
      <w:r>
        <w:t>Aufgenommen am 04.09.2026</w:t>
      </w:r>
    </w:p>
    <w:p>
      <w:pPr>
        <w:pStyle w:val="Heading2"/>
      </w:pPr>
      <w:r>
        <w:t>Systemischer Immunentzündungs-Index sagte COPD-Wiederaufnahmen zu 90 Tagen voraus</w:t>
      </w:r>
    </w:p>
    <w:p>
      <w:r>
        <w:rPr>
          <w:i/>
          <w:color w:val="666666"/>
          <w:sz w:val="18"/>
        </w:rPr>
        <w:t>Chen Q et al.  ·  Int J Chron Obstruct Pulmon Dis  ·  28.08.2026  ·  PMID 42683431</w:t>
      </w:r>
    </w:p>
    <w:p>
      <w:r>
        <w:t>Chinesische Kohortenstudie mit 207 Patienten mit akuter COPD-Exazerbation zur prädiktiven Wertigkeit des systemischen Immunentzündungs-Index (SII) für ungeplante Wiederaufnahmen innerhalb von 90 Tagen.</w:t>
      </w:r>
    </w:p>
    <w:p>
      <w:r>
        <w:rPr>
          <w:b/>
        </w:rPr>
        <w:t xml:space="preserve">Ergebnis: </w:t>
      </w:r>
      <w:r>
        <w:t>37,7 % (78/207) erlebten Wiederaufnahmen; jede 500er-Steigerung des SII war mit erhöhtem Wiederaufnahmerisiko assoziiert (aOR 1,329, 95%-KI 1,153-1,530; p &lt; 0,001). Integriertes Modell mit SII erreichte AUC 0,809 (95%-KI 0,742-0,869) versus 0,752 für reines klinisches Modell. Nach Bootstrap-Validierung: optimismuskorrigiert 0,785; verbesserte Modellpassung (Likelihood-Ratio p &lt; 0,001).</w:t>
      </w:r>
    </w:p>
    <w:p>
      <w:r>
        <w:rPr>
          <w:b/>
          <w:sz w:val="19"/>
        </w:rPr>
        <w:t xml:space="preserve">Übertragbarkeit: </w:t>
      </w:r>
      <w:r>
        <w:rPr>
          <w:sz w:val="19"/>
        </w:rPr>
        <w:t>Chinesische Klinikdaten, Konzept übertragbar, externe Validierung erforderlich</w:t>
      </w:r>
    </w:p>
    <w:p>
      <w:r>
        <w:rPr>
          <w:color w:val="5A7D3A"/>
          <w:sz w:val="18"/>
        </w:rPr>
        <w:t>https://pubmed.ncbi.nlm.nih.gov/42683431/</w:t>
      </w:r>
    </w:p>
    <w:p>
      <w:pPr>
        <w:pStyle w:val="Heading2"/>
      </w:pPr>
      <w:r>
        <w:t>Schlechter Schlaf erhöhte Komplikationsrisiko bei chronischer Nierenkrankheit um 19-54 %</w:t>
      </w:r>
    </w:p>
    <w:p>
      <w:r>
        <w:rPr>
          <w:i/>
          <w:color w:val="666666"/>
          <w:sz w:val="18"/>
        </w:rPr>
        <w:t>Lei K et al.  ·  Front Public Health  ·  18.08.2026  ·  PMID 42682672</w:t>
      </w:r>
    </w:p>
    <w:p>
      <w:r>
        <w:t>Kohortenstudie mit 15.809 CKD-Patienten aus UK Biobank (2006-2010, Nachverfolgung bis 2022) zur Assoziation von multidimensionalen Schlafmustern mit Anämie, kardiovaskulären Ereignissen, kognitiven Beeinträchtigungen und Nebenschilddrüsenüberfunktion.</w:t>
      </w:r>
    </w:p>
    <w:p>
      <w:r>
        <w:rPr>
          <w:b/>
        </w:rPr>
        <w:t xml:space="preserve">Ergebnis: </w:t>
      </w:r>
      <w:r>
        <w:t>Schwere Insomnie mit kurzer oder langer Schlafdauer und schwer gestörter Schlaf waren mit 19-54 % höheren Risiken für Anämie, kardiovaskuläre Erkrankungen und Nebenschilddrüsenüberfunktion assoziiert (alle p &lt; 0,05). Höhere Schlafqualität war unabhängig mit reduzierten Risiken dieser Komplikationen verbunden. Schlafprofile zeigten Heterogenität in Assoziation mit Ergebnissen je nach Geschlecht und Nierenfunktion.</w:t>
      </w:r>
    </w:p>
    <w:p>
      <w:r>
        <w:rPr>
          <w:b/>
          <w:sz w:val="19"/>
        </w:rPr>
        <w:t xml:space="preserve">Übertragbarkeit: </w:t>
      </w:r>
      <w:r>
        <w:rPr>
          <w:sz w:val="19"/>
        </w:rPr>
        <w:t>UK-Biobank, vergleichbare europäische Systeme und Datenqualität</w:t>
      </w:r>
    </w:p>
    <w:p>
      <w:r>
        <w:rPr>
          <w:color w:val="5A7D3A"/>
          <w:sz w:val="18"/>
        </w:rPr>
        <w:t>https://pubmed.ncbi.nlm.nih.gov/42682672/</w:t>
      </w:r>
    </w:p>
    <w:p>
      <w:pPr>
        <w:pStyle w:val="Heading2"/>
      </w:pPr>
      <w:r>
        <w:t>Quantitative Hepatitis-B-Oberflächenantigen-Tests: nur 37,4 % spanischer Labore implementiert</w:t>
      </w:r>
    </w:p>
    <w:p>
      <w:r>
        <w:rPr>
          <w:i/>
          <w:color w:val="666666"/>
          <w:sz w:val="18"/>
        </w:rPr>
        <w:t>Chaves-Blanco L et al.  ·  Enferm Infecc Microbiol Clin (Engl Ed)  ·  Aug. 2026  ·  PMID 42542350</w:t>
      </w:r>
    </w:p>
    <w:p>
      <w:r>
        <w:t>Nationale spanische Querschnittsstudie von 91 klinisch-mikrobiologischen Laboren zur Implementierung und Praktiken von quantitativem HBsAg-Testing (qHBsAg) für das Chronic-Hepatitis-B-Management.</w:t>
      </w:r>
    </w:p>
    <w:p>
      <w:r>
        <w:rPr>
          <w:b/>
        </w:rPr>
        <w:t xml:space="preserve">Ergebnis: </w:t>
      </w:r>
      <w:r>
        <w:t>37,4 % (34/91) führten qHBsAg durch; 86 % der Nicht-Durchführer verwiesen Proben nicht wegen wahrgenommener geringer klinischer Nachfrage (57,1 %). Implementierung korrelierte mit Krankenhausgröße (p = 0,041): 0 % bei &lt;200 Betten, 23,3 % bei 200-500, 44,9 % bei 500-1000, 62,5 % bei ≥1000. Unter durchführenden Labs: 57,6 % quantifizierten nach positivem qualitativem Test, 27,3 % auf Anforderung, 15,2 % als initiales Screening. Heterogene Meldepraxis.</w:t>
      </w:r>
    </w:p>
    <w:p>
      <w:r>
        <w:rPr>
          <w:b/>
          <w:sz w:val="19"/>
        </w:rPr>
        <w:t xml:space="preserve">Übertragbarkeit: </w:t>
      </w:r>
      <w:r>
        <w:rPr>
          <w:sz w:val="19"/>
        </w:rPr>
        <w:t>Spanien, direkt auf Deutschland übertragbar für Implementierungs-Gaps</w:t>
      </w:r>
    </w:p>
    <w:p>
      <w:r>
        <w:rPr>
          <w:color w:val="5A7D3A"/>
          <w:sz w:val="18"/>
        </w:rPr>
        <w:t>https://pubmed.ncbi.nlm.nih.gov/42542350/</w:t>
      </w:r>
    </w:p>
    <w:p>
      <w:pPr>
        <w:pStyle w:val="Heading2"/>
      </w:pPr>
      <w:r>
        <w:t>Finerenone reduzierte Albuminurie bei Typ-2-Diabetes und CKD um 34,5 % in Routineversorgung</w:t>
      </w:r>
    </w:p>
    <w:p>
      <w:r>
        <w:rPr>
          <w:i/>
          <w:color w:val="666666"/>
          <w:sz w:val="18"/>
        </w:rPr>
        <w:t>Moreno-Pérez O et al.  ·  Diabetes Obes Metab  ·  30.07.2026  ·  PMID 42533276</w:t>
      </w:r>
    </w:p>
    <w:p>
      <w:r>
        <w:t>Spanische Multicenterstudie zur Effektivität und Sicherheit von Finerenon bei Patienten mit Typ-2-Diabetes und chronischer Nierenerkrankung in der Routineversorgung.</w:t>
      </w:r>
    </w:p>
    <w:p>
      <w:r>
        <w:rPr>
          <w:b/>
        </w:rPr>
        <w:t xml:space="preserve">Ergebnis: </w:t>
      </w:r>
      <w:r>
        <w:t>Bei 844 Patienten (Medianalter 72 Jahre, Median eGFR 49 mL/min/1,73 m²) reduzierte Finerenon die Albuminurie-zu-Kreatinin-Ratio (UACR) um Medianalter 34,5 % nach 6 Monaten (p &lt; 0,001), unabhängig von Hintergrundnephroprotektiva. 52,7 % erreichten die primäre Zielmarke von ≥30 % UACR-Reduktion; 89,5 % Persistenz der Therapie; Hyperkaliämie 4,8 %, Herz-Kreislauf-Ereignisse 1,1 %. Finerenon verbesserte albuminurische Marker auch bei intensiver Vormedikation.</w:t>
      </w:r>
    </w:p>
    <w:p>
      <w:r>
        <w:rPr>
          <w:b/>
          <w:sz w:val="19"/>
        </w:rPr>
        <w:t xml:space="preserve">Übertragbarkeit: </w:t>
      </w:r>
      <w:r>
        <w:rPr>
          <w:sz w:val="19"/>
        </w:rPr>
        <w:t>Spanische Routinedaten, vergleichbares Sozialversicherungssystem</w:t>
      </w:r>
    </w:p>
    <w:p>
      <w:r>
        <w:rPr>
          <w:color w:val="5A7D3A"/>
          <w:sz w:val="18"/>
        </w:rPr>
        <w:t>https://pubmed.ncbi.nlm.nih.gov/42533276/</w:t>
      </w:r>
    </w:p>
    <w:p>
      <w:pPr>
        <w:pStyle w:val="Heading2"/>
      </w:pPr>
      <w:r>
        <w:t>Integrierter Versorgungspfad bei Long COVID: alle Interventionen erzielten Fatigue-Reduktion</w:t>
      </w:r>
    </w:p>
    <w:p>
      <w:r>
        <w:rPr>
          <w:i/>
          <w:color w:val="666666"/>
          <w:sz w:val="18"/>
        </w:rPr>
        <w:t>STIMULATE-ICP Consortium  ·  Nat Med  ·  28.07.2026  ·  PMID 42521821</w:t>
      </w:r>
    </w:p>
    <w:p>
      <w:r>
        <w:t>Phase-3-Cluster-RCT mit 1.152 Teilnehmern aus 122 englischen Primary-Care-Netzwerken zum Effekt von Multi-Organ-MRI und/oder digitaler Rehabilitation im Rahmen strukturierter ICP-Interventionen auf Fatigue-Assessment-Scale nach 12 und 24 Wochen.</w:t>
      </w:r>
    </w:p>
    <w:p>
      <w:r>
        <w:rPr>
          <w:b/>
        </w:rPr>
        <w:t xml:space="preserve">Ergebnis: </w:t>
      </w:r>
      <w:r>
        <w:t>Fatigue-Assessment-Scale verbesserte sich in allen Armen um 4,5 Punkte von 35,8 auf 31,3 (nach 12 Wochen); zusätzliche Multi-Organ-MRI zeigte 0,18-Punkte-Vorteil (95%-KI -0,72 bis 1,09; p = 0,69), digitale Rehabilitation -0,53 Punkte (95%-KI -1,42 bis 0,36; p = 0,25). Multidisziplinäre holistische Versorgung allein war mit Verbesserungen verbunden. Keine schwerwiegenden unerwünschten Ereignisse.</w:t>
      </w:r>
    </w:p>
    <w:p>
      <w:r>
        <w:rPr>
          <w:b/>
          <w:sz w:val="19"/>
        </w:rPr>
        <w:t xml:space="preserve">Übertragbarkeit: </w:t>
      </w:r>
      <w:r>
        <w:rPr>
          <w:sz w:val="19"/>
        </w:rPr>
        <w:t>Englische NHS-Daten, vergleichbares Versicherungssystem und Zugangswege</w:t>
      </w:r>
    </w:p>
    <w:p>
      <w:r>
        <w:rPr>
          <w:color w:val="5A7D3A"/>
          <w:sz w:val="18"/>
        </w:rPr>
        <w:t>https://pubmed.ncbi.nlm.nih.gov/42521821/</w:t>
      </w:r>
    </w:p>
    <w:p>
      <w:pPr>
        <w:pStyle w:val="Heading1"/>
      </w:pPr>
      <w:r>
        <w:t>Aufgenommen am 03.09.2026</w:t>
      </w:r>
    </w:p>
    <w:p>
      <w:pPr>
        <w:pStyle w:val="Heading2"/>
      </w:pPr>
      <w:r>
        <w:t>Dysbiose und Obstipation bei Dialysepatienten: Mikrobiotargetierende Interventionen versprechen, aber evidenzlimitiert</w:t>
      </w:r>
    </w:p>
    <w:p>
      <w:r>
        <w:rPr>
          <w:i/>
          <w:color w:val="666666"/>
          <w:sz w:val="18"/>
        </w:rPr>
        <w:t>Shen Z et al.  ·  Front Cell Infect Microbiol  ·  18.08.2026  ·  PMID 42683184</w:t>
      </w:r>
    </w:p>
    <w:p>
      <w:r>
        <w:t>Narrativer Übersichtsartikel, der Veränderungen der Darmflora bei Patienten mit Nierenersatztherapie (ESRD) und Obstipation, ihre pathogenen Mechanismen und Therapieoptionen (Probiotika, Präbiotika, Ernährung) systematisch zusammenfasst.</w:t>
      </w:r>
    </w:p>
    <w:p>
      <w:r>
        <w:rPr>
          <w:b/>
        </w:rPr>
        <w:t xml:space="preserve">Ergebnis: </w:t>
      </w:r>
      <w:r>
        <w:t>Kernbefund: Dysbiose mit reduzierter kurzkettigen-Fettsäure-produzierenden Bakterien und erhöhten urease-positiven Spezies; bidirektionaler Mikrobiotagutkidney-Teufelskreis mit erhöhter intestinaler Permeabilität und Nierenschaden. Evidenz für Interventionen vorhanden, aber Sicherheitsaspekte und klinische Praktikabilität unklar.</w:t>
      </w:r>
    </w:p>
    <w:p>
      <w:r>
        <w:rPr>
          <w:b/>
          <w:sz w:val="19"/>
        </w:rPr>
        <w:t xml:space="preserve">Übertragbarkeit: </w:t>
      </w:r>
      <w:r>
        <w:rPr>
          <w:sz w:val="19"/>
        </w:rPr>
        <w:t>Pathophysiologie-Fokus, Interventionsevidenz zu fragmentarisch für direkte deutsche Implementierung</w:t>
      </w:r>
    </w:p>
    <w:p>
      <w:r>
        <w:rPr>
          <w:color w:val="5A7D3A"/>
          <w:sz w:val="18"/>
        </w:rPr>
        <w:t>https://pubmed.ncbi.nlm.nih.gov/42683184/</w:t>
      </w:r>
    </w:p>
    <w:p>
      <w:pPr>
        <w:pStyle w:val="Heading2"/>
      </w:pPr>
      <w:r>
        <w:t>Dapagliflozin und CKD-Progression: Effekt auf eGFR-Rückgang inkonsistent, aber Reduktion klinischer Nierenendpunkte</w:t>
      </w:r>
    </w:p>
    <w:p>
      <w:r>
        <w:rPr>
          <w:i/>
          <w:color w:val="666666"/>
          <w:sz w:val="18"/>
        </w:rPr>
        <w:t>Shadravan S et al.  ·  Iran J Kidney Dis  ·  31.07.2026  ·  PMID 42679368</w:t>
      </w:r>
    </w:p>
    <w:p>
      <w:r>
        <w:t>Systematische Übersicht von 15 Studien zur Wirkung von Dapagliflozin auf chronische Nierenerkrankung; 11 waren Sekundäranalysen der DAPA-CKD-Studie mit 4.304 Teilnehmern; nur vier unabhängige Studien nach Ausschluss von Doppeltgennung verfügbar.</w:t>
      </w:r>
    </w:p>
    <w:p>
      <w:r>
        <w:rPr>
          <w:b/>
        </w:rPr>
        <w:t xml:space="preserve">Ergebnis: </w:t>
      </w:r>
      <w:r>
        <w:t>eGFR-Effekte hochgradig heterogen (-6,6 bis +0,93 mL/min/1,73m²; I²=93,7 %); DAPA-CKD zeigte Reduktion ungünstiger klinischer renaler Ergebnisse. Heterogenität und begrenzte unabhängige Evidenz verhindern Metaanalyse; dapagliflozin erscheint nierenschützend und sicher für CKD.</w:t>
      </w:r>
    </w:p>
    <w:p>
      <w:r>
        <w:rPr>
          <w:b/>
          <w:sz w:val="19"/>
        </w:rPr>
        <w:t xml:space="preserve">Übertragbarkeit: </w:t>
      </w:r>
      <w:r>
        <w:rPr>
          <w:sz w:val="19"/>
        </w:rPr>
        <w:t>Internationale Evidenz, kardiorenales Konzept übertragbar; Datenstabilität limitiert</w:t>
      </w:r>
    </w:p>
    <w:p>
      <w:r>
        <w:rPr>
          <w:color w:val="5A7D3A"/>
          <w:sz w:val="18"/>
        </w:rPr>
        <w:t>https://pubmed.ncbi.nlm.nih.gov/42679368/</w:t>
      </w:r>
    </w:p>
    <w:p>
      <w:pPr>
        <w:pStyle w:val="Heading2"/>
      </w:pPr>
      <w:r>
        <w:t>COPD-Therapietreue: Nur 30–50 % erreichen optimale Adhärenz; COM-B-Modell identifiziert veränderbare Faktoren</w:t>
      </w:r>
    </w:p>
    <w:p>
      <w:r>
        <w:rPr>
          <w:i/>
          <w:color w:val="666666"/>
          <w:sz w:val="18"/>
        </w:rPr>
        <w:t>Zhang Y et al.  ·  Int J Chron Obstruct Pulmon Dis  ·  27.08.2026  ·  PMID 42677250</w:t>
      </w:r>
    </w:p>
    <w:p>
      <w:r>
        <w:t>Narrative Übersichtsarbeit, die Literatur zu Adhärenz-Messverfahren, Prävalenz (MPR ≥80 % bei nur 30–50 % der Patienten), Einflussfaktoren und Interventionsstrategien anhand des Capability-Opportunity-Motivation-Behaviour-Modells systematisiert.</w:t>
      </w:r>
    </w:p>
    <w:p>
      <w:r>
        <w:rPr>
          <w:b/>
        </w:rPr>
        <w:t xml:space="preserve">Ergebnis: </w:t>
      </w:r>
      <w:r>
        <w:t>Inhalationstechnikfehler 30–50 %, therapieverweigerung bei Depression/Angststörung ca. 20–25 % niedriger; Single-Inhaler-Triple-Therapie versus Multiple-Inhaler zeigte 18-Monats-Persistenz 16,5 % vs. 2,3 %. Höhere Adhärenz assoziiert mit 51 % Reduktion exazerbationsbedingter Hospitalisierung und Attenuation des FEV1-Rückgangs um ca. 21 mL/Jahr.</w:t>
      </w:r>
    </w:p>
    <w:p>
      <w:r>
        <w:rPr>
          <w:b/>
          <w:sz w:val="19"/>
        </w:rPr>
        <w:t xml:space="preserve">Übertragbarkeit: </w:t>
      </w:r>
      <w:r>
        <w:rPr>
          <w:sz w:val="19"/>
        </w:rPr>
        <w:t>Internationale Literatur, Adhärenz-Muster ähnlich wie Deutschland; länderspezifische Zahlen begrenzt</w:t>
      </w:r>
    </w:p>
    <w:p>
      <w:r>
        <w:rPr>
          <w:color w:val="5A7D3A"/>
          <w:sz w:val="18"/>
        </w:rPr>
        <w:t>https://pubmed.ncbi.nlm.nih.gov/42677250/</w:t>
      </w:r>
    </w:p>
    <w:p>
      <w:pPr>
        <w:pStyle w:val="Heading2"/>
      </w:pPr>
      <w:r>
        <w:t>COPD-Verhalten: Vier Phänotypen kombinieren Inhalationstechnik und Adhärenz; Wissenslücken zielbar</w:t>
      </w:r>
    </w:p>
    <w:p>
      <w:r>
        <w:rPr>
          <w:i/>
          <w:color w:val="666666"/>
          <w:sz w:val="18"/>
        </w:rPr>
        <w:t>Xiang J et al.  ·  Int J Chron Obstruct Pulmon Dis  ·  27.08.2026  ·  PMID 42677230</w:t>
      </w:r>
    </w:p>
    <w:p>
      <w:r>
        <w:t>Querschnittsstudie mit 700 COPD-Patienten in Peking 2025, die kombinierte Inhalationstechnik und Therapietreue zur Klassifizierung in vier Verhaltenphänotypen nutzten; Assoziationen mit Patientenmerkmalen berechnet.</w:t>
      </w:r>
    </w:p>
    <w:p>
      <w:r>
        <w:rPr>
          <w:b/>
        </w:rPr>
        <w:t xml:space="preserve">Ergebnis: </w:t>
      </w:r>
      <w:r>
        <w:t>Nur 25,3 % zeigten perfekte Inhalationstechnik, 59,0 % gute Adhärenz. Vier Phänotypen: Standard+Adhärent (20,7 %), Nicht-adhärent+Standard (4,6 %), Adhärent+Nicht-standard (38,3 %), Nicht-standard+Nicht-adhärent (36,4 %). Krankheitswissen stärkster Prädiktor: korrekte vs. fehlerhafte Technik OR 0,30–0,35 (p&lt;0,001). Krankheitsdauer assoziiert mit unterschiedlichen Adhärenzmustern.</w:t>
      </w:r>
    </w:p>
    <w:p>
      <w:r>
        <w:rPr>
          <w:b/>
          <w:sz w:val="19"/>
        </w:rPr>
        <w:t xml:space="preserve">Übertragbarkeit: </w:t>
      </w:r>
      <w:r>
        <w:rPr>
          <w:sz w:val="19"/>
        </w:rPr>
        <w:t>China, hoher Techniktransferpotential, Wissenslückenmodell auch für Deutschland prädiktiv</w:t>
      </w:r>
    </w:p>
    <w:p>
      <w:r>
        <w:rPr>
          <w:color w:val="5A7D3A"/>
          <w:sz w:val="18"/>
        </w:rPr>
        <w:t>https://pubmed.ncbi.nlm.nih.gov/42677230/</w:t>
      </w:r>
    </w:p>
    <w:p>
      <w:pPr>
        <w:pStyle w:val="Heading2"/>
      </w:pPr>
      <w:r>
        <w:t>Pädiatrische Notfallverstärkung bei komplexen Erkrankungen: Zentrale Konzentration in Seoul, Reisedistanz erhöht Mortalität</w:t>
      </w:r>
    </w:p>
    <w:p>
      <w:r>
        <w:rPr>
          <w:i/>
          <w:color w:val="666666"/>
          <w:sz w:val="18"/>
        </w:rPr>
        <w:t>Choi YY et al.  ·  J Korean Med Sci  ·  31.08.2026  ·  PMID 42676071</w:t>
      </w:r>
    </w:p>
    <w:p>
      <w:r>
        <w:t>Nationale Analyse südkoreanischer Notfallbesuche 2016–2022 (7,76 Millionen Fälle), davon 149.306 (1,9 %) mit komplexen chronischen Erkrankungen (CCCs); Reisedistanz und regionale Unterschiede in Versorgungsergebnissen untersucht.</w:t>
      </w:r>
    </w:p>
    <w:p>
      <w:r>
        <w:rPr>
          <w:b/>
        </w:rPr>
        <w:t xml:space="preserve">Ergebnis: </w:t>
      </w:r>
      <w:r>
        <w:t>CCC-Patienten: höhere Akuität (16,5 % vs. 3,1 %), längere Anfahrt (11,2 vs. 6,2 km), ICU-Admission 4,4 % vs. 0,3 %, ED-Todesfälle 0,2 % vs. 0,04 %. 47,9 % aller CCC-Fälle in Seoul; längere Reise unabhängig mit Mortalität assoziiert: OR 1,3 (15–59,9 km), 1,6 (60–99,9 km), 1,3 (≥100 km). Zentrale Konzentration (40,7 % in 5 Krankenhäusern) zeigt Gesamtfehler in Ressourcenallokation.</w:t>
      </w:r>
    </w:p>
    <w:p>
      <w:r>
        <w:rPr>
          <w:b/>
          <w:sz w:val="19"/>
        </w:rPr>
        <w:t xml:space="preserve">Übertragbarkeit: </w:t>
      </w:r>
      <w:r>
        <w:rPr>
          <w:sz w:val="19"/>
        </w:rPr>
        <w:t>Südkorea, Zentrailisierungsproblem relevant für deutsche Flächenländer; Mortalitäts-Distanz-Beziehung übertragbar</w:t>
      </w:r>
    </w:p>
    <w:p>
      <w:r>
        <w:rPr>
          <w:color w:val="5A7D3A"/>
          <w:sz w:val="18"/>
        </w:rPr>
        <w:t>https://pubmed.ncbi.nlm.nih.gov/42676071/</w:t>
      </w:r>
    </w:p>
    <w:p>
      <w:pPr>
        <w:pStyle w:val="Heading2"/>
      </w:pPr>
      <w:r>
        <w:t>Lebensbedrohliche Erkrankungen bei Kindern in Irland: Prävalenz 34,8–50,0 pro 10.000; Datendefizite erfordern sichere ID</w:t>
      </w:r>
    </w:p>
    <w:p>
      <w:r>
        <w:rPr>
          <w:i/>
          <w:color w:val="666666"/>
          <w:sz w:val="18"/>
        </w:rPr>
        <w:t>Smith S et al.  ·  BMC Pediatr  ·  28.07.2026  ·  PMID 42509542</w:t>
      </w:r>
    </w:p>
    <w:p>
      <w:r>
        <w:t>Querschnittsanalyse irischer Spitaldaten 2019 und 2024, um Prävalenz lebensbedrohlicher Zustände bei 0–19-Jährigen unter fehlender eindeutiger Patientenkennung zu schätzen; drei Schätzszenarien mit Sensitivitätsanalysen.</w:t>
      </w:r>
    </w:p>
    <w:p>
      <w:r>
        <w:rPr>
          <w:b/>
        </w:rPr>
        <w:t xml:space="preserve">Ergebnis: </w:t>
      </w:r>
      <w:r>
        <w:t>Baseline-Prävalenz 34,8–50,0 pro 10.000 (2019) und 32,3–44,5 pro 10.000 (2024); mit Adjustierung für Untererfassung: 46,4–66,6 (2019) und 43,0–59,3 pro 10.000 (2024). Höher bei Männern, größte Gruppe &lt;1 Jahr. Schätzungen konsistent mit ähnlich-wohlhabenden Ländern; Methodentransparenz ermöglicht Vergleiche trotz Datenlimitationen.</w:t>
      </w:r>
    </w:p>
    <w:p>
      <w:r>
        <w:rPr>
          <w:b/>
          <w:sz w:val="19"/>
        </w:rPr>
        <w:t xml:space="preserve">Übertragbarkeit: </w:t>
      </w:r>
      <w:r>
        <w:rPr>
          <w:sz w:val="19"/>
        </w:rPr>
        <w:t>Irland, administratives Datensystem ohne eindeutige ID vergleichbar mit Teilen deutscher Krankenhauslandschaft</w:t>
      </w:r>
    </w:p>
    <w:p>
      <w:r>
        <w:rPr>
          <w:color w:val="5A7D3A"/>
          <w:sz w:val="18"/>
        </w:rPr>
        <w:t>https://pubmed.ncbi.nlm.nih.gov/42509542/</w:t>
      </w:r>
    </w:p>
    <w:p>
      <w:pPr>
        <w:pStyle w:val="Heading2"/>
      </w:pPr>
      <w:r>
        <w:t>Sarcoidosis-Trajektorien: Chronische Erkrankung tritt bei 28,5 % auf, mit erhöhtem Infekt- und Depressionsrisiko</w:t>
      </w:r>
    </w:p>
    <w:p>
      <w:r>
        <w:rPr>
          <w:i/>
          <w:color w:val="666666"/>
          <w:sz w:val="18"/>
        </w:rPr>
        <w:t>Rossides M et al.  ·  Respir Res  ·  24.07.2026  ·  PMID 42498935</w:t>
      </w:r>
    </w:p>
    <w:p>
      <w:r>
        <w:t>Prospektive Kohortenstudie mit 9.665 Patienten, die neue Sarcoidose-Diagnosen zwischen 2006 und 2018 im schwedischen Register identifizierte und über fünf Jahre verfolgte; zwei längerfristige Verlaufsmuster wurden mittels statistischer Modellierung der Arztbesuche ermittelt.</w:t>
      </w:r>
    </w:p>
    <w:p>
      <w:r>
        <w:rPr>
          <w:b/>
        </w:rPr>
        <w:t xml:space="preserve">Ergebnis: </w:t>
      </w:r>
      <w:r>
        <w:t>71,5 % zeigten selbstlimitierten Verlauf mit Remission in zwei Jahren, 28,5 % chronischen Verlauf mit persistenten Besuchen; chronisches Sarcoidosis war assoziiert mit: eGFR Krankheit (Hoehn und Yahr ≥ 2 vs. 1), erhöhtem Infektrisiko, Herzinsuffizienz, Diabetes, Depression, Angststörung und früherem Tod. Immunosuppressive Therapie bei Diagnose erhöhte Chronizitätsrisiko um Faktor 2,18 (95%-KI 2,04–2,33).</w:t>
      </w:r>
    </w:p>
    <w:p>
      <w:r>
        <w:rPr>
          <w:b/>
          <w:sz w:val="19"/>
        </w:rPr>
        <w:t xml:space="preserve">Übertragbarkeit: </w:t>
      </w:r>
      <w:r>
        <w:rPr>
          <w:sz w:val="19"/>
        </w:rPr>
        <w:t>Schweden, nationale Patientenregister, vergleichbare Gesundheitssysteme</w:t>
      </w:r>
    </w:p>
    <w:p>
      <w:r>
        <w:rPr>
          <w:color w:val="5A7D3A"/>
          <w:sz w:val="18"/>
        </w:rPr>
        <w:t>https://pubmed.ncbi.nlm.nih.gov/42498935/</w:t>
      </w:r>
    </w:p>
    <w:p>
      <w:pPr>
        <w:pStyle w:val="Heading1"/>
      </w:pPr>
      <w:r>
        <w:t>Aufgenommen am 02.09.2026</w:t>
      </w:r>
    </w:p>
    <w:p>
      <w:pPr>
        <w:pStyle w:val="Heading2"/>
      </w:pPr>
      <w:r>
        <w:t>Albuminoxidation verzögert sich nach Nierentransplantation trotz Funktionsrestitution</w:t>
      </w:r>
    </w:p>
    <w:p>
      <w:r>
        <w:rPr>
          <w:i/>
          <w:color w:val="666666"/>
          <w:sz w:val="18"/>
        </w:rPr>
        <w:t>Berntsen LM et al.  ·  BMC Nephrol  ·  28.08.2026  ·  PMID 42665799</w:t>
      </w:r>
    </w:p>
    <w:p>
      <w:r>
        <w:t>Observationsstudie, die die Albumin-Redoxstatus (ARS) vor und nach Nierentransplantation (KTX) gemessen hat, um zu zeigen, ob die Verbesserung der Nierenfunktion die Oxidation verringert.</w:t>
      </w:r>
    </w:p>
    <w:p>
      <w:r>
        <w:rPr>
          <w:b/>
        </w:rPr>
        <w:t xml:space="preserve">Ergebnis: </w:t>
      </w:r>
      <w:r>
        <w:t>Vor KTX waren HMA-Werte reduziert (Median 63,5%), HNA-1 und HNA-2 erhöht. Eine Woche nach KTX verschlechterte sich HMA weiter (57,9%), HNA-2 stieg auf 9,2%. Trotz rascher Funktionserholung war die ARS-Normalisierung langsam und variabel; 180 Tage post-KTX zeigten 31 % der Patienten noch erhöhte Oxidationssignale, was nahelegt, dass Faktoren jenseits der Nierenfunktion die ARS beeinflussen.</w:t>
      </w:r>
    </w:p>
    <w:p>
      <w:r>
        <w:rPr>
          <w:b/>
          <w:sz w:val="19"/>
        </w:rPr>
        <w:t xml:space="preserve">Übertragbarkeit: </w:t>
      </w:r>
      <w:r>
        <w:rPr>
          <w:sz w:val="19"/>
        </w:rPr>
        <w:t>Deutschland/Österreich, vergleichbare Transplantationsverfahren und -strukturen</w:t>
      </w:r>
    </w:p>
    <w:p>
      <w:r>
        <w:rPr>
          <w:color w:val="5A7D3A"/>
          <w:sz w:val="18"/>
        </w:rPr>
        <w:t>https://pubmed.ncbi.nlm.nih.gov/42665799/</w:t>
      </w:r>
    </w:p>
    <w:p>
      <w:pPr>
        <w:pStyle w:val="Heading2"/>
      </w:pPr>
      <w:r>
        <w:t>Muskelzell-Veränderungen bei Long COVID/ME-CFS unterscheiden sich grundlegend von Bettlägerigkeit</w:t>
      </w:r>
    </w:p>
    <w:p>
      <w:r>
        <w:rPr>
          <w:i/>
          <w:color w:val="666666"/>
          <w:sz w:val="18"/>
        </w:rPr>
        <w:t>Charlton BT et al.  ·  Nat Commun  ·  28.07.2026  ·  PMID 42649155</w:t>
      </w:r>
    </w:p>
    <w:p>
      <w:r>
        <w:t>Vergleichende Myofaser-Analyse nach 60-Tage-Bettruhe bei Gesunden versus Long COVID/ME-CFS-Patienten, um zu zeigen, dass Inaktivität allein nicht die Muskeldefekte erklärt.</w:t>
      </w:r>
    </w:p>
    <w:p>
      <w:r>
        <w:rPr>
          <w:b/>
        </w:rPr>
        <w:t xml:space="preserve">Ergebnis: </w:t>
      </w:r>
      <w:r>
        <w:t>Gesunde zeigen nach Bettruhe Muskelatrophie ohne Fasetyp-Verschiebung; beide Patientengruppen haben mehr glykolytische Fasern und ME/CFS-Patienten zeigen zusätzliche Typ-I-spezifische Atrophie. Nur nach Bettruhe war oxidative Phosphorylierungskapazität mit VO₂max korreliert. Die Muskelmerkmale unterscheiden sich fundamental zwischen Patienten und Bettruhe-Kontrollen, was zeigt, dass Inaktivität nicht die metabolischen Abnormitäten erklärt.</w:t>
      </w:r>
    </w:p>
    <w:p>
      <w:r>
        <w:rPr>
          <w:b/>
          <w:sz w:val="19"/>
        </w:rPr>
        <w:t xml:space="preserve">Übertragbarkeit: </w:t>
      </w:r>
      <w:r>
        <w:rPr>
          <w:sz w:val="19"/>
        </w:rPr>
        <w:t>Niederlande, vergleichbare Versorgungsbedingungen für chronische Erkrankungen</w:t>
      </w:r>
    </w:p>
    <w:p>
      <w:r>
        <w:rPr>
          <w:color w:val="5A7D3A"/>
          <w:sz w:val="18"/>
        </w:rPr>
        <w:t>https://pubmed.ncbi.nlm.nih.gov/42649155/</w:t>
      </w:r>
    </w:p>
    <w:p>
      <w:pPr>
        <w:pStyle w:val="Heading2"/>
      </w:pPr>
      <w:r>
        <w:t>Qualitätsindikatoren für Mehrfacherkrankung in der Hausarztpraxis – Protokoll einer partizipativen Entwicklung</w:t>
      </w:r>
    </w:p>
    <w:p>
      <w:r>
        <w:rPr>
          <w:i/>
          <w:color w:val="666666"/>
          <w:sz w:val="18"/>
        </w:rPr>
        <w:t>Tavares S et al.  ·  JMIR Res Protoc  ·  07.08.2026  ·  PMID 42567680</w:t>
      </w:r>
    </w:p>
    <w:p>
      <w:r>
        <w:t>Protokoll einer modifizierten RAND/UCLA-Studie zur Co-Entwicklung von nicht-diagnose-spezifischen Qualitätsindikatoren für Patienten mit Mehrfacherkrankungen (MLTC) mit Patienten, Angehörigen und Fachpersonen in England.</w:t>
      </w:r>
    </w:p>
    <w:p>
      <w:r>
        <w:rPr>
          <w:b/>
        </w:rPr>
        <w:t xml:space="preserve">Ergebnis: </w:t>
      </w:r>
      <w:r>
        <w:t>10 Patienten/Angehörige und 12 Fachpersonen konsentierten bis Juli 2026; 54 Kandidaten-Indikatoren aus Scoping Review und qualitativen Interviews mit 21 Patienten generiert. RAMStudie mit drei Runden geplant (Completion Anfang 2027). Indikatoren in Struktur-Prozess-Ergebnis-Qualitätsrahmen gemappt. Patient und Public Involvement mit vier Community-Partnern laufend. Ziel: umsetzungsorientiertes, primär-versorgungsgerechtes Indikator-Set für Mehrfacherkrankungen.</w:t>
      </w:r>
    </w:p>
    <w:p>
      <w:r>
        <w:rPr>
          <w:b/>
          <w:sz w:val="19"/>
        </w:rPr>
        <w:t xml:space="preserve">Übertragbarkeit: </w:t>
      </w:r>
      <w:r>
        <w:rPr>
          <w:sz w:val="19"/>
        </w:rPr>
        <w:t>Großbritannien/NHS, vergleichbarer Versorgungsauftrag und Gate-Keeper-Modell</w:t>
      </w:r>
    </w:p>
    <w:p>
      <w:r>
        <w:rPr>
          <w:color w:val="5A7D3A"/>
          <w:sz w:val="18"/>
        </w:rPr>
        <w:t>https://pubmed.ncbi.nlm.nih.gov/42567680/</w:t>
      </w:r>
    </w:p>
    <w:p>
      <w:pPr>
        <w:pStyle w:val="Heading2"/>
      </w:pPr>
      <w:r>
        <w:t>Migranten-Jugendliche zeigen hohe Mehrfacherkrankung; unbegleitete haben 4-fach erhöhtes Trauma-Risiko</w:t>
      </w:r>
    </w:p>
    <w:p>
      <w:r>
        <w:rPr>
          <w:i/>
          <w:color w:val="666666"/>
          <w:sz w:val="18"/>
        </w:rPr>
        <w:t>Ngom L et al.  ·  J Adolesc Health  ·  04.08.2026  ·  PMID 42554533</w:t>
      </w:r>
    </w:p>
    <w:p>
      <w:r>
        <w:t>Observationskohort von 384 Migranten-Jugendlichen (10–17 J., Ankunft &lt;5 Jahre) in Marseille 2019–2024, die multimorbidität (CIRS) und psychisches Trauma-Risiko (Protect) misst.</w:t>
      </w:r>
    </w:p>
    <w:p>
      <w:r>
        <w:rPr>
          <w:b/>
        </w:rPr>
        <w:t xml:space="preserve">Ergebnis: </w:t>
      </w:r>
      <w:r>
        <w:t>Mittleres CIRS 3,98; 35,4 % hatten ≥3 Organ-System-Beeinträchtigungen. Häufigste: HNO/Zähne (48,7%), Muskel-Skelett (46,4%), psychische Störungen (25,3%). Multimorbidität assoziiert mit chronischer Vorgeschichte vor Migration (adj. OR 1,40; p&lt;0,0005) und während Migration (adj. OR 1,94; p=0,005). Trauma-Risiko erhöht bei unbegleiteten Jugendlichen (adj. OR 4,27; p&lt;0,05) und höherer physischer Morbidität (OR 1,18; p&lt;0,05). ED-Besuche sanken während und nach Versorgung im Unit. Vulnerable Population erfordert umfassenden Versorgungspfad.</w:t>
      </w:r>
    </w:p>
    <w:p>
      <w:r>
        <w:rPr>
          <w:b/>
          <w:sz w:val="19"/>
        </w:rPr>
        <w:t xml:space="preserve">Übertragbarkeit: </w:t>
      </w:r>
      <w:r>
        <w:rPr>
          <w:sz w:val="19"/>
        </w:rPr>
        <w:t>Frankreich, vergleichbare EU-Versorgungsstruktur; Übertragbarkeit hängt an kultursensibler Ausgestaltung</w:t>
      </w:r>
    </w:p>
    <w:p>
      <w:r>
        <w:rPr>
          <w:color w:val="5A7D3A"/>
          <w:sz w:val="18"/>
        </w:rPr>
        <w:t>https://pubmed.ncbi.nlm.nih.gov/42554533/</w:t>
      </w:r>
    </w:p>
    <w:p>
      <w:pPr>
        <w:pStyle w:val="Heading2"/>
      </w:pPr>
      <w:r>
        <w:t>Aktualisierte CIDP-Leitlinie (2021) zeigt höhere Spezifität, aber niedrigere Sensitivität</w:t>
      </w:r>
    </w:p>
    <w:p>
      <w:r>
        <w:rPr>
          <w:i/>
          <w:color w:val="666666"/>
          <w:sz w:val="18"/>
        </w:rPr>
        <w:t>van Doorn IN et al.  ·  Eur J Neurol  ·  Aug. 2026  ·  PMID 42549490</w:t>
      </w:r>
    </w:p>
    <w:p>
      <w:r>
        <w:t>Vergleich der diagnostischen Genauigkeit der 2010 EFNS/PNS und der 2021 EAN/PNS Richtlinien für CIDP anhand von 339 Patienten und 339 Kontrollen mit vermuteter chronischer Neuropathie.</w:t>
      </w:r>
    </w:p>
    <w:p>
      <w:r>
        <w:rPr>
          <w:b/>
        </w:rPr>
        <w:t xml:space="preserve">Ergebnis: </w:t>
      </w:r>
      <w:r>
        <w:t>Die 2010-Richtlinie erzielte 92 % Sensitivität und 67 % Spezifität (möglich CIDP) bzw. 91 % und 78 % (wahrscheinlich/definit). Die 2021-Richtlinie zeigte 94 % Sensitivität und 66 % Spezifität (möglich) bzw. 83 % und 86 % (CIDP). Unterschiede entstanden durch geänderte Sensory-Kriterien und Leitfähigkeits-Schwellwerte. Unilaterale NCS hätte 77 mögliche CIDP-Diagnosen übersehen.</w:t>
      </w:r>
    </w:p>
    <w:p>
      <w:r>
        <w:rPr>
          <w:b/>
          <w:sz w:val="19"/>
        </w:rPr>
        <w:t xml:space="preserve">Übertragbarkeit: </w:t>
      </w:r>
      <w:r>
        <w:rPr>
          <w:sz w:val="19"/>
        </w:rPr>
        <w:t>Niederlande, europäische Versorgungsstandards und Leitlinienimplement ierung</w:t>
      </w:r>
    </w:p>
    <w:p>
      <w:r>
        <w:rPr>
          <w:color w:val="5A7D3A"/>
          <w:sz w:val="18"/>
        </w:rPr>
        <w:t>https://pubmed.ncbi.nlm.nih.gov/42549490/</w:t>
      </w:r>
    </w:p>
    <w:p>
      <w:pPr>
        <w:pStyle w:val="Heading2"/>
      </w:pPr>
      <w:r>
        <w:t>HDV-Infektionen schwächen Lebensqualität und Fatigue mit Krankheitsprogress massiv</w:t>
      </w:r>
    </w:p>
    <w:p>
      <w:r>
        <w:rPr>
          <w:i/>
          <w:color w:val="666666"/>
          <w:sz w:val="18"/>
        </w:rPr>
        <w:t>Lampertico P et al.  ·  J Viral Hepat  ·  Sept. 2026  ·  PMID 42538645</w:t>
      </w:r>
    </w:p>
    <w:p>
      <w:r>
        <w:t>Internationale Real-World-Querschnittstudie (Deutschland, Italien, Spanien, USA) zu Lebensqualität (EQ-5D-3L, HepQoL v2) und Fatigue (FSS) in verschiedenen HDV-Erkrankungsstadien bei 211 Patienten.</w:t>
      </w:r>
    </w:p>
    <w:p>
      <w:r>
        <w:rPr>
          <w:b/>
        </w:rPr>
        <w:t xml:space="preserve">Ergebnis: </w:t>
      </w:r>
      <w:r>
        <w:t>EQ-5D-VAS-Scores sanken mit höherer Krankheitsschwere signifikant (p&lt;0,0001): von kompensiert zu dekompensiert zu HCC zeigte kontinuierliche Verschlechterung. Alle HepQoL-Domänen verschlechterten sich mit Progression (p≤0,0001). Mittlere FSS-Scores stiegen mit Krankheitsschwere (p&lt;0,0001). HDV belastet Patienten massiv, besonders in fortgeschrittenen Stadien; Therapien zur Krankheitsverzögerung sind dringend erforderlich.</w:t>
      </w:r>
    </w:p>
    <w:p>
      <w:r>
        <w:rPr>
          <w:b/>
          <w:sz w:val="19"/>
        </w:rPr>
        <w:t xml:space="preserve">Übertragbarkeit: </w:t>
      </w:r>
      <w:r>
        <w:rPr>
          <w:sz w:val="19"/>
        </w:rPr>
        <w:t>Deutschland/Italien/Spanien, vergleichbare Sozialversicherungssysteme und Versorgungsstrukturen</w:t>
      </w:r>
    </w:p>
    <w:p>
      <w:r>
        <w:rPr>
          <w:color w:val="5A7D3A"/>
          <w:sz w:val="18"/>
        </w:rPr>
        <w:t>https://pubmed.ncbi.nlm.nih.gov/42538645/</w:t>
      </w:r>
    </w:p>
    <w:p>
      <w:pPr>
        <w:pStyle w:val="Heading1"/>
      </w:pPr>
      <w:r>
        <w:t>Aufgenommen am 01.09.2026</w:t>
      </w:r>
    </w:p>
    <w:p>
      <w:pPr>
        <w:pStyle w:val="Heading2"/>
      </w:pPr>
      <w:r>
        <w:t>ICS/LAMA/LABA senkte kardiovaskuläre Ereignisse bei COPD um 52 % gegenüber LAMA/LABA</w:t>
      </w:r>
    </w:p>
    <w:p>
      <w:r>
        <w:rPr>
          <w:i/>
          <w:color w:val="666666"/>
          <w:sz w:val="18"/>
        </w:rPr>
        <w:t>Wang YQ et al.  ·  Int J Chron Obstruct Pulmon Dis  ·  26.08.2026  ·  PMID 42670477</w:t>
      </w:r>
    </w:p>
    <w:p>
      <w:r>
        <w:t>Retrospektive Kohortenstudie mit deutschen Krankenkassendaten untersuchte, ob Triple-Therapie (ICS/LAMA/LABA) gegenüber Doppel-Therapie (LAMA/LABA) bei COPD-Patienten major adverse cardiovascular events (MACEs) reduziert.</w:t>
      </w:r>
    </w:p>
    <w:p>
      <w:r>
        <w:rPr>
          <w:b/>
        </w:rPr>
        <w:t xml:space="preserve">Ergebnis: </w:t>
      </w:r>
      <w:r>
        <w:t>Über 20,5 Monate: 102 MACEs insgesamt (19,2 %); LAMA/LABA 22 % vs. ICS/LAMA/LABA 17 % (adjustierte HR 0,481; 95%-KI 0,302–0,766; p=0,002). Bei hohem kardiovaskulärem Risiko war die Risikoreduktion noch stärker (HR 0,435; p&lt;0,001). Das Ergebnis unterstreicht den kardioprotektiven Zusatzeffekt von ICS in der Erhaltungstherapie.</w:t>
      </w:r>
    </w:p>
    <w:p>
      <w:r>
        <w:rPr>
          <w:b/>
          <w:sz w:val="19"/>
        </w:rPr>
        <w:t xml:space="preserve">Übertragbarkeit: </w:t>
      </w:r>
      <w:r>
        <w:rPr>
          <w:sz w:val="19"/>
        </w:rPr>
        <w:t>Deutsche Routinedaten, Versicherungssystem und COPD-Patient:innen vergleichbar mit Gesundheitssystem</w:t>
      </w:r>
    </w:p>
    <w:p>
      <w:r>
        <w:rPr>
          <w:color w:val="5A7D3A"/>
          <w:sz w:val="18"/>
        </w:rPr>
        <w:t>https://pubmed.ncbi.nlm.nih.gov/42670477/</w:t>
      </w:r>
    </w:p>
    <w:p>
      <w:pPr>
        <w:pStyle w:val="Heading2"/>
      </w:pPr>
      <w:r>
        <w:t>GLP-1-Rezeptoragonisten senken kardiovaskuläre Ereignisse bei Dialysepatienten mit Herzinsuffizienz um 28 %</w:t>
      </w:r>
    </w:p>
    <w:p>
      <w:r>
        <w:rPr>
          <w:i/>
          <w:color w:val="666666"/>
          <w:sz w:val="18"/>
        </w:rPr>
        <w:t>Liu PY et al.  ·  Nat Commun  ·  30.07.2026  ·  PMID 42669711</w:t>
      </w:r>
    </w:p>
    <w:p>
      <w:r>
        <w:t>Emulierte Zielstudie mit US-amerikanischem elektronischem Gesundheitsaktenverbund (TriNetX) verglich GLP-1-Rezeptoragonisten (GLP-1RA) versus DPP-4-Inhibitoren (DPP-4i) bei dialysepflichtigen Diabetespatienten mit Herzinsuffizienz hinsichtlich ischämischer kardiovaskulärer Ereignisse und Herzinsuffizienzexazerbationen.</w:t>
      </w:r>
    </w:p>
    <w:p>
      <w:r>
        <w:rPr>
          <w:b/>
        </w:rPr>
        <w:t xml:space="preserve">Ergebnis: </w:t>
      </w:r>
      <w:r>
        <w:t>GLP-1RA vs. DPP-4i: Primärer kombinierter Outcome (ischämische Events + HF-Exazerbationen) 31,7 % vs. 41,4 % (HR 0,72; 95%-KI 0,64–0,82; p&lt;0,0001). Konsistente Reduktionen bei ischämischen Events (HR 0,74), HF-Exazerbationen (HR 0,76), Gesamtmortalität (HR 0,68). Ergebnis in Sensitivitätsanalysen und Subgruppen stabil.</w:t>
      </w:r>
    </w:p>
    <w:p>
      <w:r>
        <w:rPr>
          <w:b/>
          <w:sz w:val="19"/>
        </w:rPr>
        <w:t xml:space="preserve">Übertragbarkeit: </w:t>
      </w:r>
      <w:r>
        <w:rPr>
          <w:sz w:val="19"/>
        </w:rPr>
        <w:t>USA-Daten aus elektronischen Akten; Übertragbarkeit auf Deutschland begrenzt durch andere Versorgungsstrukturen</w:t>
      </w:r>
    </w:p>
    <w:p>
      <w:r>
        <w:rPr>
          <w:color w:val="5A7D3A"/>
          <w:sz w:val="18"/>
        </w:rPr>
        <w:t>https://pubmed.ncbi.nlm.nih.gov/42669711/</w:t>
      </w:r>
    </w:p>
    <w:p>
      <w:pPr>
        <w:pStyle w:val="Heading2"/>
      </w:pPr>
      <w:r>
        <w:t>FGF-23 als Prognosemarker für CKD-Progression und kardiovaskuläre Ereignisse validiert</w:t>
      </w:r>
    </w:p>
    <w:p>
      <w:r>
        <w:rPr>
          <w:i/>
          <w:color w:val="666666"/>
          <w:sz w:val="18"/>
        </w:rPr>
        <w:t>Hsu JW et al.  ·  PeerJ  ·  24.08.2026  ·  PMID 42668972</w:t>
      </w:r>
    </w:p>
    <w:p>
      <w:r>
        <w:t>Systematische Übersichtsarbeit und Metaanalyse von 12 prospektiven Kohortenstudien (21.042 Patienten mit CKD Stadium 1–5) untersuchte die Vorhersagekraft von Fibroblast-Growth-Factor-23 (FGF-23) für Nierenfunktionsverschlechterung, Nierenversagen, kardiovaskuläre Ereignisse und Sterblichkeit.</w:t>
      </w:r>
    </w:p>
    <w:p>
      <w:r>
        <w:rPr>
          <w:b/>
        </w:rPr>
        <w:t xml:space="preserve">Ergebnis: </w:t>
      </w:r>
      <w:r>
        <w:t>Erhöhte FGF-23-Spiegel assoziiert mit eGFR-Rückgang (Mittelwertdifferenz −17,83 mL/min/1,73m²). Bei leichter bis mittelschwerer CKD: Jede 10 RU/mL FGF-23-Steigerung erhöhte Nierenversagensrisiko um 1,7 % (HR 1,01; 95%-KI 1,01–1,02). Bei fortgeschrittener CKD (höchstes vs. niedrigstes Quartil): 2,32-fach erhöhtes Nierenversagensrisiko (95%-KI 1,80–2,98). Kardiovaskuläre Events (HR 1,72), Herzinsuffizienz (HR 2,14), Gesamtmortalität (HR 1,61) signifikant erhöht.</w:t>
      </w:r>
    </w:p>
    <w:p>
      <w:r>
        <w:rPr>
          <w:b/>
          <w:sz w:val="19"/>
        </w:rPr>
        <w:t xml:space="preserve">Übertragbarkeit: </w:t>
      </w:r>
      <w:r>
        <w:rPr>
          <w:sz w:val="19"/>
        </w:rPr>
        <w:t>Metaanalyse mit internationalen Studien; Biomarker-Stratifizierung ist international anwendbar</w:t>
      </w:r>
    </w:p>
    <w:p>
      <w:r>
        <w:rPr>
          <w:color w:val="5A7D3A"/>
          <w:sz w:val="18"/>
        </w:rPr>
        <w:t>https://pubmed.ncbi.nlm.nih.gov/42668972/</w:t>
      </w:r>
    </w:p>
    <w:p>
      <w:pPr>
        <w:pStyle w:val="Heading2"/>
      </w:pPr>
      <w:r>
        <w:t>Bessere Schlafqualität assoziiert mit 36 % weniger Müdigkeit bei Hämodialysepatienten</w:t>
      </w:r>
    </w:p>
    <w:p>
      <w:r>
        <w:rPr>
          <w:i/>
          <w:color w:val="666666"/>
          <w:sz w:val="18"/>
        </w:rPr>
        <w:t>Chen G et al.  ·  Sleep Breath  ·  29.08.2026  ·  PMID 42667469</w:t>
      </w:r>
    </w:p>
    <w:p>
      <w:r>
        <w:t>Querschnittstudie bei 249 Hämodialysepatienten in China untersuchte die Assoziation multidimensionaler Schlafgesundheit (RU_SATED 2.0) mit Müdigkeit (Fatigue Scale-14) unter Adjustierung für Alter, Lebensstil und laborchemische Marker.</w:t>
      </w:r>
    </w:p>
    <w:p>
      <w:r>
        <w:rPr>
          <w:b/>
        </w:rPr>
        <w:t xml:space="preserve">Ergebnis: </w:t>
      </w:r>
      <w:r>
        <w:t>Multidimensionale Schlafgesundheit signifikant assoziiert mit Gesamtmüdigkeit (B = −0,36; 95%-KI −0,50 bis −0,21; p&lt;0,001), körperliche Müdigkeit (B = −0,22; p&lt;0,001), mentale Müdigkeit (B = −0,13; p&lt;0,001). Altersmoderation signifikant (B = 0,02; p=0,017). Bessere Schlafgesundheit war mit niedrigeren Müdigkeitswerten assoziiert; älter Patienten zeigten schwächere Assoziationen.</w:t>
      </w:r>
    </w:p>
    <w:p>
      <w:r>
        <w:rPr>
          <w:b/>
          <w:sz w:val="19"/>
        </w:rPr>
        <w:t xml:space="preserve">Übertragbarkeit: </w:t>
      </w:r>
      <w:r>
        <w:rPr>
          <w:sz w:val="19"/>
        </w:rPr>
        <w:t>China-Daten; Schlaf-Müdigkeit-Assoziation dialysepflicht-spezifisch, international relevant für Patient:innen-zentierte Ergebnisse</w:t>
      </w:r>
    </w:p>
    <w:p>
      <w:r>
        <w:rPr>
          <w:color w:val="5A7D3A"/>
          <w:sz w:val="18"/>
        </w:rPr>
        <w:t>https://pubmed.ncbi.nlm.nih.gov/42667469/</w:t>
      </w:r>
    </w:p>
    <w:p>
      <w:pPr>
        <w:pStyle w:val="Heading2"/>
      </w:pPr>
      <w:r>
        <w:t>Pharmakogenetisches Tacrolimus-Dosierungsmanagement bei Nierenhochrisikopatienten im Spanienverfügbar (TRANSPGx-Studie)</w:t>
      </w:r>
    </w:p>
    <w:p>
      <w:r>
        <w:rPr>
          <w:i/>
          <w:color w:val="666666"/>
          <w:sz w:val="18"/>
        </w:rPr>
        <w:t>Seco-Meseguer E et al.  ·  BMJ Open  ·  03.08.2026  ·  PMID 42547238</w:t>
      </w:r>
    </w:p>
    <w:p>
      <w:r>
        <w:t>Multizentrisches, adaptives Phase-IV-Protokoll in Spanien prüft, ob präemptive Genotypisierung für Tacrolimus-Dosierung versus Standardversorgung bei Patienten mit chronischer Nierenerkrankung vor Nierentransplantation die Erreichung von Tacrolimus-Zielplasmakonzentrationen verbessert.</w:t>
      </w:r>
    </w:p>
    <w:p>
      <w:r>
        <w:rPr>
          <w:b/>
        </w:rPr>
        <w:t xml:space="preserve">Ergebnis: </w:t>
      </w:r>
      <w:r>
        <w:t>Laufendes RCT mit Zielgröße 114 Patienten; Primärer Endpunkt: Erreichen von Tacrolimus-Zielkonzentrationen nach Transplantation. Rekrutierung geplant über 12 Monate mit 6-monatiger Nachverfolgung. Studie ist ethisch genehmigt (La Paz 2024.740) und registriert (EU CT 2024-516596-32-00).</w:t>
      </w:r>
    </w:p>
    <w:p>
      <w:r>
        <w:rPr>
          <w:b/>
          <w:sz w:val="19"/>
        </w:rPr>
        <w:t xml:space="preserve">Übertragbarkeit: </w:t>
      </w:r>
      <w:r>
        <w:rPr>
          <w:sz w:val="19"/>
        </w:rPr>
        <w:t>Spanisches Gesundheitssystem, vergleichbar mit Deutschland in Koordination und sozialer Krankenversicherung</w:t>
      </w:r>
    </w:p>
    <w:p>
      <w:r>
        <w:rPr>
          <w:color w:val="5A7D3A"/>
          <w:sz w:val="18"/>
        </w:rPr>
        <w:t>https://pubmed.ncbi.nlm.nih.gov/42547238/</w:t>
      </w:r>
    </w:p>
    <w:p>
      <w:pPr>
        <w:pStyle w:val="Heading2"/>
      </w:pPr>
      <w:r>
        <w:t>ME/CFS zeigt geschlechtsspezifische Unterschiede in Immun- und Darmsymptomen, Menopause moduliert Immunantwort</w:t>
      </w:r>
    </w:p>
    <w:p>
      <w:r>
        <w:rPr>
          <w:i/>
          <w:color w:val="666666"/>
          <w:sz w:val="18"/>
        </w:rPr>
        <w:t>Habermann-Horstmeier L et al.  ·  J Transl Med  ·  27.07.2026  ·  PMID 42522006</w:t>
      </w:r>
    </w:p>
    <w:p>
      <w:r>
        <w:t>Querschnittsstudie mit 748 Erwachsenen (608 Frauen, 137 Männer) mit medizinischer ME/CFS-Diagnose untersuchte mittels Faktorenanalyse und Strukturgleichungsmodellierung die Latentstruktur von Immun- und Darmsymptomen nach Geschlecht und Menopausenstatus.</w:t>
      </w:r>
    </w:p>
    <w:p>
      <w:r>
        <w:rPr>
          <w:b/>
        </w:rPr>
        <w:t xml:space="preserve">Ergebnis: </w:t>
      </w:r>
      <w:r>
        <w:t>Frauen: Immun- und Darmsymptome bilden zwei distinkte aber korrelierte Cluster (tetrachorische ρ = 0,47–0,60), EFA unterstützt Zwei-Faktor-Lösung. Männer: Alle vier Symptome laden auf einen integrierten Gut/Immun-Faktor (ρ = 0,43–0,68; one-factor-Modell CFI = 0,981, RMSEA = 0,074). Frauen: Prämenopausale berichten häufiger Grippesymptome als postmenopausale (Unterschied signifikant); Darmsymptome und Lebensmittelintoleranzen bleiben stabil. Empfinden von Infektionsanfälligkeit dominantester Prädiktor.</w:t>
      </w:r>
    </w:p>
    <w:p>
      <w:r>
        <w:rPr>
          <w:b/>
          <w:sz w:val="19"/>
        </w:rPr>
        <w:t xml:space="preserve">Übertragbarkeit: </w:t>
      </w:r>
      <w:r>
        <w:rPr>
          <w:sz w:val="19"/>
        </w:rPr>
        <w:t>Deutsche und internationale Patient:innen; Geschlechtsabhängige Phänotypisierung relevant für ME/CFS-Management</w:t>
      </w:r>
    </w:p>
    <w:p>
      <w:r>
        <w:rPr>
          <w:color w:val="5A7D3A"/>
          <w:sz w:val="18"/>
        </w:rPr>
        <w:t>https://pubmed.ncbi.nlm.nih.gov/42522006/</w:t>
      </w:r>
    </w:p>
    <w:p>
      <w:pPr>
        <w:pStyle w:val="Heading1"/>
      </w:pPr>
      <w:r>
        <w:t>Aufgenommen am 31.08.2026</w:t>
      </w:r>
    </w:p>
    <w:p>
      <w:pPr>
        <w:pStyle w:val="Heading2"/>
      </w:pPr>
      <w:r>
        <w:t>Inhalationstechnik bei COPD: 96% der Patienten könnten DPIs nutzen</w:t>
      </w:r>
    </w:p>
    <w:p>
      <w:r>
        <w:rPr>
          <w:i/>
          <w:color w:val="666666"/>
          <w:sz w:val="18"/>
        </w:rPr>
        <w:t>Bravo Quiroga L et al.  ·  Int J Chron Obstruct Pulmon Dis  ·  25.08.2026  ·  PMID 42668822</w:t>
      </w:r>
    </w:p>
    <w:p>
      <w:r>
        <w:t>Querschnittstudie an 273 stabilen COPD-Patienten mit pMDI+Spacer in 70 spanischen Zentren zur Messung der Inspirationskraft und Eignung für Pulvertrockner.</w:t>
      </w:r>
    </w:p>
    <w:p>
      <w:r>
        <w:rPr>
          <w:b/>
        </w:rPr>
        <w:t xml:space="preserve">Ergebnis: </w:t>
      </w:r>
      <w:r>
        <w:t>96% erreichten PIF ≥30 L/min bei mittlerer-hoher Resistance, 61,9% ≥60 L/min. Unvollständige Exhalation hatte nur begrenzte Auswirkungen. Spacer-Verschreibung erfolgte selten auf Basis objektiver PIF-Messung.</w:t>
      </w:r>
    </w:p>
    <w:p>
      <w:r>
        <w:rPr>
          <w:b/>
          <w:sz w:val="19"/>
        </w:rPr>
        <w:t xml:space="preserve">Übertragbarkeit: </w:t>
      </w:r>
      <w:r>
        <w:rPr>
          <w:sz w:val="19"/>
        </w:rPr>
        <w:t>Spanien, vergleichbares Gesundheitssystem, direkt anwendbar für deutsche COPD-Versorgung.</w:t>
      </w:r>
    </w:p>
    <w:p>
      <w:r>
        <w:rPr>
          <w:color w:val="5A7D3A"/>
          <w:sz w:val="18"/>
        </w:rPr>
        <w:t>https://pubmed.ncbi.nlm.nih.gov/42668822/</w:t>
      </w:r>
    </w:p>
    <w:p>
      <w:pPr>
        <w:pStyle w:val="Heading2"/>
      </w:pPr>
      <w:r>
        <w:t>Soziales Kapital und Selbstwirksamkeit verbessern Lebensqualität älterer chronisch Kranker</w:t>
      </w:r>
    </w:p>
    <w:p>
      <w:r>
        <w:rPr>
          <w:i/>
          <w:color w:val="666666"/>
          <w:sz w:val="18"/>
        </w:rPr>
        <w:t>Wang Y et al.  ·  Front Public Health  ·  21.08.2026  ·  PMID 42666637</w:t>
      </w:r>
    </w:p>
    <w:p>
      <w:r>
        <w:t>Latente Profilanalyse an 425 ländlichen älteren Erwachsenen mit chronischen Erkrankungen (Ningxia, China) zu Effekt von Sozialkapital auf Lebensqualität via Selbstwirksamkeit.</w:t>
      </w:r>
    </w:p>
    <w:p>
      <w:r>
        <w:rPr>
          <w:b/>
        </w:rPr>
        <w:t xml:space="preserve">Ergebnis: </w:t>
      </w:r>
      <w:r>
        <w:t>Drei Profile: niedrig (29,9%), moderat (49,4%), hoch (20,7%). Lebensqualität und Selbstwirksamkeit unterschieden sich signifikant (p&lt;0,001). Indirekter Effekt via Selbstwirksamkeit nur im hohen Profil signifikant (21,2% des Gesamteffekts), nicht im moderaten.</w:t>
      </w:r>
    </w:p>
    <w:p>
      <w:r>
        <w:rPr>
          <w:b/>
          <w:sz w:val="19"/>
        </w:rPr>
        <w:t xml:space="preserve">Übertragbarkeit: </w:t>
      </w:r>
      <w:r>
        <w:rPr>
          <w:sz w:val="19"/>
        </w:rPr>
        <w:t>China, aber Mehrfacherkrankung und psycho-soziale Mechanismen generalisierbar auf deutsche vulnerable Populationen.</w:t>
      </w:r>
    </w:p>
    <w:p>
      <w:r>
        <w:rPr>
          <w:color w:val="5A7D3A"/>
          <w:sz w:val="18"/>
        </w:rPr>
        <w:t>https://pubmed.ncbi.nlm.nih.gov/42666637/</w:t>
      </w:r>
    </w:p>
    <w:p>
      <w:pPr>
        <w:pStyle w:val="Heading2"/>
      </w:pPr>
      <w:r>
        <w:t>Kombinierte Inflammations- und Adipositäts-Indizes zeigen erhöhtes Multimorbidität-Risiko</w:t>
      </w:r>
    </w:p>
    <w:p>
      <w:r>
        <w:rPr>
          <w:i/>
          <w:color w:val="666666"/>
          <w:sz w:val="18"/>
        </w:rPr>
        <w:t>Chen J et al.  ·  Cardiovasc Diabetol  ·  26.08.2026  ·  PMID 42665793</w:t>
      </w:r>
    </w:p>
    <w:p>
      <w:r>
        <w:t>Prospektive Kohorte (n=6534, China Health and Retirement Longitudinal Study) zu Assoziation von CTI-Adipositäts-Indizes mit kardiovaskulär-hepatischen-metabolischen Multimorbidität über 4 Jahre.</w:t>
      </w:r>
    </w:p>
    <w:p>
      <w:r>
        <w:rPr>
          <w:b/>
        </w:rPr>
        <w:t xml:space="preserve">Ergebnis: </w:t>
      </w:r>
      <w:r>
        <w:t>CTI-BMI zeigte stärkste Assoziation (OR 3,46 in Quartil 4, p&lt;0,001), aber nur modest Diskriminationsfähigkeit (AUC 0,638). Effekt modifiziert durch Geschlecht und Raucherstatus, keine signifikante Interaktion zwischen CTI und BMI.</w:t>
      </w:r>
    </w:p>
    <w:p>
      <w:r>
        <w:rPr>
          <w:b/>
          <w:sz w:val="19"/>
        </w:rPr>
        <w:t xml:space="preserve">Übertragbarkeit: </w:t>
      </w:r>
      <w:r>
        <w:rPr>
          <w:sz w:val="19"/>
        </w:rPr>
        <w:t>China, aber Multimorbidität-Fokus und Methodologie relevant für deutsches Versorgungssetting mit mehreren Erkrankungen.</w:t>
      </w:r>
    </w:p>
    <w:p>
      <w:r>
        <w:rPr>
          <w:color w:val="5A7D3A"/>
          <w:sz w:val="18"/>
        </w:rPr>
        <w:t>https://pubmed.ncbi.nlm.nih.gov/42665793/</w:t>
      </w:r>
    </w:p>
    <w:p>
      <w:pPr>
        <w:pStyle w:val="Heading2"/>
      </w:pPr>
      <w:r>
        <w:t>CKD-assoziierter Pruritus bei 60,3% der Dialysepatienten, wenig Behandlung</w:t>
      </w:r>
    </w:p>
    <w:p>
      <w:r>
        <w:rPr>
          <w:i/>
          <w:color w:val="666666"/>
          <w:sz w:val="18"/>
        </w:rPr>
        <w:t>Yao X et al.  ·  Ren Fail  ·  27.08.2026  ·  PMID 42661327</w:t>
      </w:r>
    </w:p>
    <w:p>
      <w:r>
        <w:t>Multizentrisches Cross-sectional-Screening an 9.589 chinesischen Dialysepatienten (Mai–Dezember 2022) zur Prävalenz und Risikofaktoren von CKD-Pruritus.</w:t>
      </w:r>
    </w:p>
    <w:p>
      <w:r>
        <w:rPr>
          <w:b/>
        </w:rPr>
        <w:t xml:space="preserve">Ergebnis: </w:t>
      </w:r>
      <w:r>
        <w:t>Pruritus-Prävalenz 60,3% (mild 44,4%, moderat 12,5%, schwer 3,3%), HD vs. PD ähnlich (59,9% vs. 61,8%). Nur 2,9% erhielten potenziell wirksame Therapie (Gabapentinoide 2,8%). Assoziierte Faktoren: Rauchen, diabetische Nephropathie, kardiovaskuläre Erkrankung, Dialysedauer, Eosinophile, Kalzium, Phosphor.</w:t>
      </w:r>
    </w:p>
    <w:p>
      <w:r>
        <w:rPr>
          <w:b/>
          <w:sz w:val="19"/>
        </w:rPr>
        <w:t xml:space="preserve">Übertragbarkeit: </w:t>
      </w:r>
      <w:r>
        <w:rPr>
          <w:sz w:val="19"/>
        </w:rPr>
        <w:t>China, aber großes Problem auch in Deutschland; Versorgungsqualität und Symptommanagement messbar.</w:t>
      </w:r>
    </w:p>
    <w:p>
      <w:r>
        <w:rPr>
          <w:color w:val="5A7D3A"/>
          <w:sz w:val="18"/>
        </w:rPr>
        <w:t>https://pubmed.ncbi.nlm.nih.gov/42661327/</w:t>
      </w:r>
    </w:p>
    <w:p>
      <w:pPr>
        <w:pStyle w:val="Heading2"/>
      </w:pPr>
      <w:r>
        <w:t>Rauchen vor Alter 24 verdoppelt COPD-Risiko und Multimorbidität</w:t>
      </w:r>
    </w:p>
    <w:p>
      <w:r>
        <w:rPr>
          <w:i/>
          <w:color w:val="666666"/>
          <w:sz w:val="18"/>
        </w:rPr>
        <w:t>Liu Z et al.  ·  J Glob Health  ·  28.08.2026  ·  PMID 42659031</w:t>
      </w:r>
    </w:p>
    <w:p>
      <w:r>
        <w:t>Analyse von 15.077 US-Teilnehmern und zwei UK Biobank-Kohorten (n=258.380) zu Effekt des Rauchbeginns während Alveolus-Reifung (≤24 Jahre) auf Cardiopulmonal-Erkrankung.</w:t>
      </w:r>
    </w:p>
    <w:p>
      <w:r>
        <w:rPr>
          <w:b/>
        </w:rPr>
        <w:t xml:space="preserve">Ergebnis: </w:t>
      </w:r>
      <w:r>
        <w:t>Frühe Raucher mit hohem Konsum: COPD HR 3,45 (95% KI 3,29–3,62) vs. spät Raucher 2,33 (1,91–2,83, p&lt;0,001). Multimorbidität-freie Wahrscheinlichkeit 0,55 vs. 0,65. Rauchentwöhnung zeigte stärkere relative Risikoreduktion bei frühen Rauchern.</w:t>
      </w:r>
    </w:p>
    <w:p>
      <w:r>
        <w:rPr>
          <w:b/>
          <w:sz w:val="19"/>
        </w:rPr>
        <w:t xml:space="preserve">Übertragbarkeit: </w:t>
      </w:r>
      <w:r>
        <w:rPr>
          <w:sz w:val="19"/>
        </w:rPr>
        <w:t>USA und UK, Präventions-fokussiert; Altersabhängigkeit relevant für deutsches Screening und Aufklärung.</w:t>
      </w:r>
    </w:p>
    <w:p>
      <w:r>
        <w:rPr>
          <w:color w:val="5A7D3A"/>
          <w:sz w:val="18"/>
        </w:rPr>
        <w:t>https://pubmed.ncbi.nlm.nih.gov/42659031/</w:t>
      </w:r>
    </w:p>
    <w:p>
      <w:pPr>
        <w:pStyle w:val="Heading2"/>
      </w:pPr>
      <w:r>
        <w:t>Neue Risikogene für Emphysem in Rauchern identifiziert</w:t>
      </w:r>
    </w:p>
    <w:p>
      <w:r>
        <w:rPr>
          <w:i/>
          <w:color w:val="666666"/>
          <w:sz w:val="18"/>
        </w:rPr>
        <w:t>Nyberg F et al.  ·  Respir Res  ·  08.08.2026  ·  PMID 42634071</w:t>
      </w:r>
    </w:p>
    <w:p>
      <w:r>
        <w:t>Genomweite Assoziationsstudie an 25.639 schwedischen Erwachsenen zur Identifikation genetischer Faktoren für Emphysem.</w:t>
      </w:r>
    </w:p>
    <w:p>
      <w:r>
        <w:rPr>
          <w:b/>
        </w:rPr>
        <w:t xml:space="preserve">Ergebnis: </w:t>
      </w:r>
      <w:r>
        <w:t>Bei Rauchern wurden drei unabhängige genetische Loci identifiziert (CHRNA5-A3-B4, DYSF, Chromosom 3), bei Nichtrauchern trotz großer Stichprobe keine Signale (niedriges Emphysemprävalenz 2,0% vs. 18,2% bei aktiven Rauchern).</w:t>
      </w:r>
    </w:p>
    <w:p>
      <w:r>
        <w:rPr>
          <w:b/>
          <w:sz w:val="19"/>
        </w:rPr>
        <w:t xml:space="preserve">Übertragbarkeit: </w:t>
      </w:r>
      <w:r>
        <w:rPr>
          <w:sz w:val="19"/>
        </w:rPr>
        <w:t>Schweden, populationsbasierte Studie, vergleichbar mit deutschem Versorgungskontext für Risikoidentifikation.</w:t>
      </w:r>
    </w:p>
    <w:p>
      <w:r>
        <w:rPr>
          <w:color w:val="5A7D3A"/>
          <w:sz w:val="18"/>
        </w:rPr>
        <w:t>https://pubmed.ncbi.nlm.nih.gov/42634071/</w:t>
      </w:r>
    </w:p>
    <w:p>
      <w:pPr>
        <w:pStyle w:val="Heading1"/>
      </w:pPr>
      <w:r>
        <w:t>Aufgenommen am 30.08.2026</w:t>
      </w:r>
    </w:p>
    <w:p>
      <w:pPr>
        <w:pStyle w:val="Heading2"/>
      </w:pPr>
      <w:r>
        <w:t>Eosinophil-gesteuerte COPD-Therapie: Guideline-Adherence fehlt bei 86% der Patienten</w:t>
      </w:r>
    </w:p>
    <w:p>
      <w:r>
        <w:rPr>
          <w:i/>
          <w:color w:val="666666"/>
          <w:sz w:val="18"/>
        </w:rPr>
        <w:t>Hester J et al.  ·  Lung  ·  29.08.2026  ·  PMID 42667442</w:t>
      </w:r>
    </w:p>
    <w:p>
      <w:r>
        <w:t>Retrospektive Kohortenstudie mit 688 COPD-Patienten in Cleveland-Kliniken evaluierte die Einhaltung GOLD-basierter Eosinophil-Kriterien für Inhalative Steroide (ICS) und klinische Ergebnisse.</w:t>
      </w:r>
    </w:p>
    <w:p>
      <w:r>
        <w:rPr>
          <w:b/>
        </w:rPr>
        <w:t xml:space="preserve">Ergebnis: </w:t>
      </w:r>
      <w:r>
        <w:t>589 von 688 Patienten (86%) erhielten ICS außerhalb von GOLD-Empfehlungen. Baseline-Eosinophil-Testing wurde nur in 15% durchgeführt. Pneumonie-Inzidenz war identisch (15% vs. 16%, p=0,686); ICS-Deeskalation erfolgte selten (7%) und gleichmäßig in beiden Gruppen. Exazerbation-Anamnese assoziiert mit guideline-konformer Verordnung.</w:t>
      </w:r>
    </w:p>
    <w:p>
      <w:r>
        <w:rPr>
          <w:b/>
          <w:sz w:val="19"/>
        </w:rPr>
        <w:t xml:space="preserve">Übertragbarkeit: </w:t>
      </w:r>
      <w:r>
        <w:rPr>
          <w:sz w:val="19"/>
        </w:rPr>
        <w:t>USA-basiert; Befund zur Guideline-Adherence ist übertragbar unabhängig vom Finanzierungssystem</w:t>
      </w:r>
    </w:p>
    <w:p>
      <w:r>
        <w:rPr>
          <w:color w:val="5A7D3A"/>
          <w:sz w:val="18"/>
        </w:rPr>
        <w:t>https://pubmed.ncbi.nlm.nih.gov/42667442/</w:t>
      </w:r>
    </w:p>
    <w:p>
      <w:pPr>
        <w:pStyle w:val="Heading2"/>
      </w:pPr>
      <w:r>
        <w:t>Triple-Therapie bei COPD: minimale Lebensqualitäts-Verbesserung, erhöhtes Pneumonie-Risiko</w:t>
      </w:r>
    </w:p>
    <w:p>
      <w:r>
        <w:rPr>
          <w:i/>
          <w:color w:val="666666"/>
          <w:sz w:val="18"/>
        </w:rPr>
        <w:t>Jiang J et al.  ·  Int J Chron Obstruct Pulmon Dis  ·  24.08.2026  ·  PMID 42666989</w:t>
      </w:r>
    </w:p>
    <w:p>
      <w:r>
        <w:t>Bayesian Network Meta-Analyse von 14 randomisierten Studien zu inhalativen Erhaltungstherapien und Auswirkungen auf St. George's Respiratory Questionnaire (SGRQ)-Scores bei stabiler COPD.</w:t>
      </w:r>
    </w:p>
    <w:p>
      <w:r>
        <w:rPr>
          <w:b/>
        </w:rPr>
        <w:t xml:space="preserve">Ergebnis: </w:t>
      </w:r>
      <w:r>
        <w:t>Triple-Therapie zeigte größte SGRQ-Verbesserung vs. Placebo (MD -3,99; 95% CrI -5,86 bis -2,16). Verglichen mit LABA+LAMA war triple Therapie marginal besser (MD -1,42; CrI -2,62 bis -0,16), unter minimaler klinisch bedeutsamer Differenz. Pneumonie-Risiko erhöht (OR 1,50; 95% CI 1,16-1,93). Andere aktive Regime unterschieden sich gering voneinander.</w:t>
      </w:r>
    </w:p>
    <w:p>
      <w:r>
        <w:rPr>
          <w:b/>
          <w:sz w:val="19"/>
        </w:rPr>
        <w:t xml:space="preserve">Übertragbarkeit: </w:t>
      </w:r>
      <w:r>
        <w:rPr>
          <w:sz w:val="19"/>
        </w:rPr>
        <w:t>Internationale RCT-Daten, Ergebnisse gelten für COPD-Management in Deutschland unabhängig vom System</w:t>
      </w:r>
    </w:p>
    <w:p>
      <w:r>
        <w:rPr>
          <w:color w:val="5A7D3A"/>
          <w:sz w:val="18"/>
        </w:rPr>
        <w:t>https://pubmed.ncbi.nlm.nih.gov/42666989/</w:t>
      </w:r>
    </w:p>
    <w:p>
      <w:pPr>
        <w:pStyle w:val="Heading2"/>
      </w:pPr>
      <w:r>
        <w:t>Geschlechts-Disparitäten in der Nierenkranken-Versorgung: Frauen unterdiagnostiziert und unterbehandelt</w:t>
      </w:r>
    </w:p>
    <w:p>
      <w:r>
        <w:rPr>
          <w:i/>
          <w:color w:val="666666"/>
          <w:sz w:val="18"/>
        </w:rPr>
        <w:t>Vidanapathirana M et al.  ·  BMC Nephrol  ·  19.08.2026  ·  PMID 42665802</w:t>
      </w:r>
    </w:p>
    <w:p>
      <w:r>
        <w:t>Systematische Übersichtsarbeit von 35 Studien (2000-Juli 2026) zu geschlechtsspezifischen Ungleichheiten im Versorgungszugang entlang der gesamten CKD-Betreuungskontinuum.</w:t>
      </w:r>
    </w:p>
    <w:p>
      <w:r>
        <w:rPr>
          <w:b/>
        </w:rPr>
        <w:t xml:space="preserve">Ergebnis: </w:t>
      </w:r>
      <w:r>
        <w:t>Frauen hatten niedrigere Chancen für CKD-Diagnose und Nephologie-Überweisung, weniger häufige Nierenfunktions-Kontrollen und niedrigere Verschreibungsraten guideline-empfohlener Medikamente. Unter Dialysepatienten: Frauen 38-41% Anteil mit späterem eGFR-Start (8,1-10,1 vs. 10,6 mL/min/1,73m²). Weniger Hämodialyse mit arteriovenöser Fistel; weniger Transplantationsreferral/-Evaluation/-Wartelisting. Systemische und sozioökonomische Mechanismen identifiziert.</w:t>
      </w:r>
    </w:p>
    <w:p>
      <w:r>
        <w:rPr>
          <w:b/>
          <w:sz w:val="19"/>
        </w:rPr>
        <w:t xml:space="preserve">Übertragbarkeit: </w:t>
      </w:r>
      <w:r>
        <w:rPr>
          <w:sz w:val="19"/>
        </w:rPr>
        <w:t>Globale Evidenz; Muster geschlechtsbasierter Ungleichheit ist kontextübergreifend relevant</w:t>
      </w:r>
    </w:p>
    <w:p>
      <w:r>
        <w:rPr>
          <w:color w:val="5A7D3A"/>
          <w:sz w:val="18"/>
        </w:rPr>
        <w:t>https://pubmed.ncbi.nlm.nih.gov/42665802/</w:t>
      </w:r>
    </w:p>
    <w:p>
      <w:pPr>
        <w:pStyle w:val="Heading2"/>
      </w:pPr>
      <w:r>
        <w:t>Hemodiafiltration versus Hemodialysis: Mortalität und Hospitalisierungsrisiko</w:t>
      </w:r>
    </w:p>
    <w:p>
      <w:r>
        <w:rPr>
          <w:i/>
          <w:color w:val="666666"/>
          <w:sz w:val="18"/>
        </w:rPr>
        <w:t>Roos S et al.  ·  BMC Nephrol  ·  28.08.2026  ·  PMID 42665796</w:t>
      </w:r>
    </w:p>
    <w:p>
      <w:r>
        <w:t>Zielgerichtete Studienprotokolle analysieren Routinedaten von über 1000 Dialysepatienten in Europa, um Unterschiede in Mortalität und Krankenhausaufenthalten zwischen Hemodiafiltration und konventionellem Hemodialysis zu untersuchen.</w:t>
      </w:r>
    </w:p>
    <w:p>
      <w:r>
        <w:rPr>
          <w:b/>
        </w:rPr>
        <w:t xml:space="preserve">Ergebnis: </w:t>
      </w:r>
      <w:r>
        <w:t>Geplante Erhebung mit Fokus auf Gesamtsterblichkeit und ursachenspezifische Hospitalisierungen; Hochvolumen-Hemodiafiltration (≥23 L Konvektionsvolumen) wird analysiert als primärer Vergleich. Randomisierte Studien zeigten bereits Mortalitätsvorteil; diese Realweltdaten sollen Generalisierbarkeit klären.</w:t>
      </w:r>
    </w:p>
    <w:p>
      <w:r>
        <w:rPr>
          <w:b/>
          <w:sz w:val="19"/>
        </w:rPr>
        <w:t xml:space="preserve">Übertragbarkeit: </w:t>
      </w:r>
      <w:r>
        <w:rPr>
          <w:sz w:val="19"/>
        </w:rPr>
        <w:t>Europäische Kohorte, deutsche Zentren beteiligt, vergleichbar mit deutschem Versorgungssystem</w:t>
      </w:r>
    </w:p>
    <w:p>
      <w:r>
        <w:rPr>
          <w:color w:val="5A7D3A"/>
          <w:sz w:val="18"/>
        </w:rPr>
        <w:t>https://pubmed.ncbi.nlm.nih.gov/42665796/</w:t>
      </w:r>
    </w:p>
    <w:p>
      <w:pPr>
        <w:pStyle w:val="Heading2"/>
      </w:pPr>
      <w:r>
        <w:t>Cardiometabolic Profile bei Diabetes und BMI: Adipositas erhöht Herzinsuffizienz und CKD-Risiko</w:t>
      </w:r>
    </w:p>
    <w:p>
      <w:r>
        <w:rPr>
          <w:i/>
          <w:color w:val="666666"/>
          <w:sz w:val="18"/>
        </w:rPr>
        <w:t>Ponzani P et al.  ·  Diabetes Res Clin Pract  ·  29.07.2026  ·  PMID 42526840</w:t>
      </w:r>
    </w:p>
    <w:p>
      <w:r>
        <w:t>Querschnittsanalyse von über 500.000 Patienten mit Typ-2-Diabetes aus 296 italienischen Diabeteszentren untersuchte Cardiometabolische Profile und Komplikationen über BMI-Kategorien.</w:t>
      </w:r>
    </w:p>
    <w:p>
      <w:r>
        <w:rPr>
          <w:b/>
        </w:rPr>
        <w:t xml:space="preserve">Ergebnis: </w:t>
      </w:r>
      <w:r>
        <w:t>Herzinsuffizienz-Prävalenzrate: PR 1,41 (p&lt;0,001) bei Adipositas vs. Normalgewicht; CKD: PR 1,13 (p&lt;0,001). Trotz ähnlicher HbA1c-Werte verschlechterten sich Risikofaktoren progressiv mit BMI. Adipöse Patienten waren jünger, mit kürzerer Diabetesdauer und niedrigeren Atherosklerose-Raten.</w:t>
      </w:r>
    </w:p>
    <w:p>
      <w:r>
        <w:rPr>
          <w:b/>
          <w:sz w:val="19"/>
        </w:rPr>
        <w:t xml:space="preserve">Übertragbarkeit: </w:t>
      </w:r>
      <w:r>
        <w:rPr>
          <w:sz w:val="19"/>
        </w:rPr>
        <w:t>Italienische Routinedaten vergleichbar mit deutschem ambulanten Diabetesmanagement in der Primärversorgung</w:t>
      </w:r>
    </w:p>
    <w:p>
      <w:r>
        <w:rPr>
          <w:color w:val="5A7D3A"/>
          <w:sz w:val="18"/>
        </w:rPr>
        <w:t>https://pubmed.ncbi.nlm.nih.gov/42526840/</w:t>
      </w:r>
    </w:p>
    <w:p>
      <w:pPr>
        <w:pStyle w:val="Heading2"/>
      </w:pPr>
      <w:r>
        <w:t>Inhalative Steroide bei COPD senken Lungenkrebsrisiko um 23-39% trotz Immortal-Time-Bias</w:t>
      </w:r>
    </w:p>
    <w:p>
      <w:r>
        <w:rPr>
          <w:i/>
          <w:color w:val="666666"/>
          <w:sz w:val="18"/>
        </w:rPr>
        <w:t>Santa B et al.  ·  Int J Chron Obstruct Pulmon Dis  ·  14.07.2026  ·  PMID 42518632</w:t>
      </w:r>
    </w:p>
    <w:p>
      <w:r>
        <w:t>Retrospektive Analyse von 96.686 bis 196.560 COPD-Patienten aus der ungarischen Nationalen Krankenversicherungsdatenbank (2009-2019) reproduzierte widersprechende frühere Studien zu ICS und Lungenkrebsinzidenz.</w:t>
      </w:r>
    </w:p>
    <w:p>
      <w:r>
        <w:rPr>
          <w:b/>
        </w:rPr>
        <w:t xml:space="preserve">Ergebnis: </w:t>
      </w:r>
      <w:r>
        <w:t>ICS-Nutzer &gt;1 Jahr: 26,2-60,8% der Population. Lungenkrebsfälle: 4.941-8.969 Fälle. Adjustierte Cox-Modelle zeigten konsistent protective effect: HR 0,77 (0,63-0,94) bzw. 0,61 (0,53-0,70). Trend trotz beider methodologischer Ansätze konsistent. Limitation: Rauchen nicht im Datensatz enthalten; höherer Asthma-Code-Anteil in ICS-Gruppe Cohort 2.</w:t>
      </w:r>
    </w:p>
    <w:p>
      <w:r>
        <w:rPr>
          <w:b/>
          <w:sz w:val="19"/>
        </w:rPr>
        <w:t xml:space="preserve">Übertragbarkeit: </w:t>
      </w:r>
      <w:r>
        <w:rPr>
          <w:sz w:val="19"/>
        </w:rPr>
        <w:t>Ungarische Routinedaten mit vergleichbarem Sozialversicherungssystem wie Deutschland</w:t>
      </w:r>
    </w:p>
    <w:p>
      <w:r>
        <w:rPr>
          <w:color w:val="5A7D3A"/>
          <w:sz w:val="18"/>
        </w:rPr>
        <w:t>https://pubmed.ncbi.nlm.nih.gov/42518632/</w:t>
      </w:r>
    </w:p>
    <w:p>
      <w:pPr>
        <w:pStyle w:val="Heading1"/>
      </w:pPr>
      <w:r>
        <w:t>Aufgenommen am 29.08.2026</w:t>
      </w:r>
    </w:p>
    <w:p>
      <w:pPr>
        <w:pStyle w:val="Heading2"/>
      </w:pPr>
      <w:r>
        <w:t>Rassen-freie Nierenfunktionsformel ändert Risikostratifizierung nicht</w:t>
      </w:r>
    </w:p>
    <w:p>
      <w:r>
        <w:rPr>
          <w:i/>
          <w:color w:val="666666"/>
          <w:sz w:val="18"/>
        </w:rPr>
        <w:t>Huisman BJMV et al.  ·  Glob Heart  ·  21.08.2026  ·  PMID 42631246</w:t>
      </w:r>
    </w:p>
    <w:p>
      <w:r>
        <w:t>HELIUS-Studie mit 21.617 Erwachsenen aus Amsterdam vergleicht alte (2009) und neue rassen-freie (2021) CKD-EPI-Formeln zur Nierenfunktion und kardiovaskulärem Risiko.</w:t>
      </w:r>
    </w:p>
    <w:p>
      <w:r>
        <w:rPr>
          <w:b/>
        </w:rPr>
        <w:t xml:space="preserve">Ergebnis: </w:t>
      </w:r>
      <w:r>
        <w:t>Die neue Formel zeigte bei Afrikanern leicht niedrigere eGFR-Werte, aber CKD-Klassifikation (κ=0,94-0,99) und kardiovaskuläre Risikostratifizierung waren nahezu identisch; Befund bestätigt klinische Austauschbarkeit.</w:t>
      </w:r>
    </w:p>
    <w:p>
      <w:r>
        <w:rPr>
          <w:b/>
          <w:sz w:val="19"/>
        </w:rPr>
        <w:t xml:space="preserve">Übertragbarkeit: </w:t>
      </w:r>
      <w:r>
        <w:rPr>
          <w:sz w:val="19"/>
        </w:rPr>
        <w:t>Niederlande, vergleichbares europäisches Sozialversicherungssystem</w:t>
      </w:r>
    </w:p>
    <w:p>
      <w:r>
        <w:rPr>
          <w:color w:val="5A7D3A"/>
          <w:sz w:val="18"/>
        </w:rPr>
        <w:t>https://pubmed.ncbi.nlm.nih.gov/42631246/</w:t>
      </w:r>
    </w:p>
    <w:p>
      <w:pPr>
        <w:pStyle w:val="Heading2"/>
      </w:pPr>
      <w:r>
        <w:t>Chronisches Pruritus bei Dialysepatienten: Häufigkeit und Belastung deutlich unterschätzt</w:t>
      </w:r>
    </w:p>
    <w:p>
      <w:r>
        <w:rPr>
          <w:i/>
          <w:color w:val="666666"/>
          <w:sz w:val="18"/>
        </w:rPr>
        <w:t>Downey C et al.  ·  J Ren Care  ·  Sept. 2026  ·  PMID 42554232</w:t>
      </w:r>
    </w:p>
    <w:p>
      <w:r>
        <w:t>Nationale Umfrage an 689 irischen Dialysepatienten zur Häufigkeit, Schweregrad und Erlebnis von dialyse-assoziiertem Juckreiz.</w:t>
      </w:r>
    </w:p>
    <w:p>
      <w:r>
        <w:rPr>
          <w:b/>
        </w:rPr>
        <w:t xml:space="preserve">Ergebnis: </w:t>
      </w:r>
      <w:r>
        <w:t>62% erlebten Pruritus, 66% davon moderat-schwer; Kopf/Gesicht am stärksten assoziiert mit Schweregrad (OR 2,08). Psychische Belastung erheblich: Schlafstörungen, Infektionsrisiko. Nur wenig Behandlung.</w:t>
      </w:r>
    </w:p>
    <w:p>
      <w:r>
        <w:rPr>
          <w:b/>
          <w:sz w:val="19"/>
        </w:rPr>
        <w:t xml:space="preserve">Übertragbarkeit: </w:t>
      </w:r>
      <w:r>
        <w:rPr>
          <w:sz w:val="19"/>
        </w:rPr>
        <w:t>Irland, NHS-Dialysezentren, europäische Strukturen</w:t>
      </w:r>
    </w:p>
    <w:p>
      <w:r>
        <w:rPr>
          <w:color w:val="5A7D3A"/>
          <w:sz w:val="18"/>
        </w:rPr>
        <w:t>https://pubmed.ncbi.nlm.nih.gov/42554232/</w:t>
      </w:r>
    </w:p>
    <w:p>
      <w:pPr>
        <w:pStyle w:val="Heading2"/>
      </w:pPr>
      <w:r>
        <w:t>Aminosäure-Dialysatlösungen verbessern Ernährungsstatus bei Peritonealdialyse</w:t>
      </w:r>
    </w:p>
    <w:p>
      <w:r>
        <w:rPr>
          <w:i/>
          <w:color w:val="666666"/>
          <w:sz w:val="18"/>
        </w:rPr>
        <w:t>Lindholm B et al.  ·  BMC Nephrol  ·  30.07.2026  ·  PMID 42538540</w:t>
      </w:r>
    </w:p>
    <w:p>
      <w:r>
        <w:t>Systematischer Review zu klinischen Studien mit 1,1%-Aminosäure-basierten Peritonealdialysatlösungen statt Glucose zur Reduktion der Glukoseexposition.</w:t>
      </w:r>
    </w:p>
    <w:p>
      <w:r>
        <w:rPr>
          <w:b/>
        </w:rPr>
        <w:t xml:space="preserve">Ergebnis: </w:t>
      </w:r>
      <w:r>
        <w:t>Aminosäure-Lösungen verbessern Serumalbumin und Stickstoffbilanz bei tolerabler Verträglichkeit; reduzieren Glukosebelastung. Langzeitdaten zu Technik-Überleben und Mortalität fehlen noch, aber Evidenz unterstützt gezielten Einsatz bei mangelernährten Hochrisikopatienten.</w:t>
      </w:r>
    </w:p>
    <w:p>
      <w:r>
        <w:rPr>
          <w:b/>
          <w:sz w:val="19"/>
        </w:rPr>
        <w:t xml:space="preserve">Übertragbarkeit: </w:t>
      </w:r>
      <w:r>
        <w:rPr>
          <w:sz w:val="19"/>
        </w:rPr>
        <w:t>Schweden, Europa, Peritonealdialyse-Standard</w:t>
      </w:r>
    </w:p>
    <w:p>
      <w:r>
        <w:rPr>
          <w:color w:val="5A7D3A"/>
          <w:sz w:val="18"/>
        </w:rPr>
        <w:t>https://pubmed.ncbi.nlm.nih.gov/42538540/</w:t>
      </w:r>
    </w:p>
    <w:p>
      <w:pPr>
        <w:pStyle w:val="Heading2"/>
      </w:pPr>
      <w:r>
        <w:t>Long COVID erhöht Risiko für neue chronische Erkrankungen deutlich</w:t>
      </w:r>
    </w:p>
    <w:p>
      <w:r>
        <w:rPr>
          <w:i/>
          <w:color w:val="666666"/>
          <w:sz w:val="18"/>
        </w:rPr>
        <w:t>Sõnajalg H et al.  ·  Front Public Health  ·  16.07.2026  ·  PMID 42534966</w:t>
      </w:r>
    </w:p>
    <w:p>
      <w:r>
        <w:t>Bevölkerungsbasierte estnische Kohorte (N=2.639 Long-COVID-Patienten, 199.171 Kontrollen) zur Assoziation zwischen Long COVID und Neuauftreten chronischer Erkrankungen.</w:t>
      </w:r>
    </w:p>
    <w:p>
      <w:r>
        <w:rPr>
          <w:b/>
        </w:rPr>
        <w:t xml:space="preserve">Ergebnis: </w:t>
      </w:r>
      <w:r>
        <w:t>Long COVID assoziiert mit erhöhtem Risiko für Asthma (OR 5,12), COPD (OR 4,08), Schlafapnoe (OR 3,05). Type-2-Diabetes-Inzidenz stieg nach März 2020 über erwartete Trends (p=1,84×10-80).</w:t>
      </w:r>
    </w:p>
    <w:p>
      <w:r>
        <w:rPr>
          <w:b/>
          <w:sz w:val="19"/>
        </w:rPr>
        <w:t xml:space="preserve">Übertragbarkeit: </w:t>
      </w:r>
      <w:r>
        <w:rPr>
          <w:sz w:val="19"/>
        </w:rPr>
        <w:t>Estland, nationale Gesundheitsdaten, europäisches System</w:t>
      </w:r>
    </w:p>
    <w:p>
      <w:r>
        <w:rPr>
          <w:color w:val="5A7D3A"/>
          <w:sz w:val="18"/>
        </w:rPr>
        <w:t>https://pubmed.ncbi.nlm.nih.gov/42534966/</w:t>
      </w:r>
    </w:p>
    <w:p>
      <w:pPr>
        <w:pStyle w:val="Heading2"/>
      </w:pPr>
      <w:r>
        <w:t>Endostatin zeigt Anämierisiko bei älteren Nierenpatienten an</w:t>
      </w:r>
    </w:p>
    <w:p>
      <w:r>
        <w:rPr>
          <w:i/>
          <w:color w:val="666666"/>
          <w:sz w:val="18"/>
        </w:rPr>
        <w:t>Corsonello A et al.  ·  J Transl Med  ·  24.07.2026  ·  PMID 42533353</w:t>
      </w:r>
    </w:p>
    <w:p>
      <w:r>
        <w:t>SCOPE-Studie (2.008 Erwachsene ≥75 Jahre) zur Assoziation zwischen zirkulierendem Endostatin und prävalenter/inzidenter Anämie bei CKD.</w:t>
      </w:r>
    </w:p>
    <w:p>
      <w:r>
        <w:rPr>
          <w:b/>
        </w:rPr>
        <w:t xml:space="preserve">Ergebnis: </w:t>
      </w:r>
      <w:r>
        <w:t>Höhere Endostatin-Level unabhängig assoziiert mit niedrigerem Hämoglobin (β -0,21) und prävalenter Anämie (OR 1,38). Bei Zwei-Jahres-Nachverfolgung: 11,4% Neuauftreten von Anämie, höhere Endostatin-Level erhöhten Risiko (sHR 1,40); Assoziation stärker bei CKD.</w:t>
      </w:r>
    </w:p>
    <w:p>
      <w:r>
        <w:rPr>
          <w:b/>
          <w:sz w:val="19"/>
        </w:rPr>
        <w:t xml:space="preserve">Übertragbarkeit: </w:t>
      </w:r>
      <w:r>
        <w:rPr>
          <w:sz w:val="19"/>
        </w:rPr>
        <w:t>Europäische Multizenterstudie (Schweden, Österreich, Niederlande, Spanien, Polen)</w:t>
      </w:r>
    </w:p>
    <w:p>
      <w:r>
        <w:rPr>
          <w:color w:val="5A7D3A"/>
          <w:sz w:val="18"/>
        </w:rPr>
        <w:t>https://pubmed.ncbi.nlm.nih.gov/42533353/</w:t>
      </w:r>
    </w:p>
    <w:p>
      <w:pPr>
        <w:pStyle w:val="Heading2"/>
      </w:pPr>
      <w:r>
        <w:t>Inhaled corticosteroids senken kardiovaskuläres Risiko bei COPD nicht</w:t>
      </w:r>
    </w:p>
    <w:p>
      <w:r>
        <w:rPr>
          <w:i/>
          <w:color w:val="666666"/>
          <w:sz w:val="18"/>
        </w:rPr>
        <w:t>Nielsen MRI et al.  ·  BMJ Open  ·  29.07.2026  ·  PMID 42526931</w:t>
      </w:r>
    </w:p>
    <w:p>
      <w:r>
        <w:t>Registerbasierte Kohortenstudie mit 82.327 COPD-Patienten in Dänemark zu kardiovaskulären Ereignissen unter ICS-Therapie in verschiedenen Dosen.</w:t>
      </w:r>
    </w:p>
    <w:p>
      <w:r>
        <w:rPr>
          <w:b/>
        </w:rPr>
        <w:t xml:space="preserve">Ergebnis: </w:t>
      </w:r>
      <w:r>
        <w:t>ICS waren bei keiner Dosis mit erhöhtem kardiovaskulärem Risiko assoziiert; moderate Dosen zeigten sogar modeste Risikoreduktion (HR 0,89, p&lt;0,05). Befund widerlegt Safety-Bedenken gegen ICS.</w:t>
      </w:r>
    </w:p>
    <w:p>
      <w:r>
        <w:rPr>
          <w:b/>
          <w:sz w:val="19"/>
        </w:rPr>
        <w:t xml:space="preserve">Übertragbarkeit: </w:t>
      </w:r>
      <w:r>
        <w:rPr>
          <w:sz w:val="19"/>
        </w:rPr>
        <w:t>Dänemark, nationale Registerdaten, vergleichbares Nordeuropa-System</w:t>
      </w:r>
    </w:p>
    <w:p>
      <w:r>
        <w:rPr>
          <w:color w:val="5A7D3A"/>
          <w:sz w:val="18"/>
        </w:rPr>
        <w:t>https://pubmed.ncbi.nlm.nih.gov/42526931/</w:t>
      </w:r>
    </w:p>
    <w:p>
      <w:pPr>
        <w:pStyle w:val="Heading1"/>
      </w:pPr>
      <w:r>
        <w:t>Aufgenommen am 28.08.2026</w:t>
      </w:r>
    </w:p>
    <w:p>
      <w:pPr>
        <w:pStyle w:val="Heading2"/>
      </w:pPr>
      <w:r>
        <w:t>Berufliche Expositionen und COPD-Neuerkrankungen: Exposom-Analyse in zwei europäischen Kohorten</w:t>
      </w:r>
    </w:p>
    <w:p>
      <w:r>
        <w:rPr>
          <w:i/>
          <w:color w:val="666666"/>
          <w:sz w:val="18"/>
        </w:rPr>
        <w:t>Kynde T et al.  ·  Ann Work Expo Health  ·  26.08.2026  ·  PMID 42658646</w:t>
      </w:r>
    </w:p>
    <w:p>
      <w:r>
        <w:t>Die Studie untersuchte in zwei europäischen Bevölkerungskohorten (ECRHS, CONSTANCES), welche beruflichen Expositionen mit Neuauftreten von COPD assoziiert sind – über Job-Expositions-Matrizen und moderne statistische Methoden (ExWAS, LASSO, Boruta Random Forest).</w:t>
      </w:r>
    </w:p>
    <w:p>
      <w:r>
        <w:rPr>
          <w:b/>
        </w:rPr>
        <w:t xml:space="preserve">Ergebnis: </w:t>
      </w:r>
      <w:r>
        <w:t>Wichtigste Risiko-Expositionen variieren zwischen Kohorten: In ECRHS waren Heben, Vorneigebewegungen, Gase/Dämpfe und Mineralstaub prädiktiv; in CONSTANCES Dieselabgase, kristallines Quarzmehl und Lösungsmittel. Beide Kohorten bestätigen bekannte chemische Gefahrstoffe und identifizieren neue Assoziationen zwischen ergonomischen/physischen Belastungen und COPD-Risiko.</w:t>
      </w:r>
    </w:p>
    <w:p>
      <w:r>
        <w:rPr>
          <w:b/>
          <w:sz w:val="19"/>
        </w:rPr>
        <w:t xml:space="preserve">Übertragbarkeit: </w:t>
      </w:r>
      <w:r>
        <w:rPr>
          <w:sz w:val="19"/>
        </w:rPr>
        <w:t>Europäische Kohorten mit strukturierter Expositionserfassung; Ergebnisse direkt auf deutsche Berufsgruppen übertragbar.</w:t>
      </w:r>
    </w:p>
    <w:p>
      <w:r>
        <w:rPr>
          <w:color w:val="5A7D3A"/>
          <w:sz w:val="18"/>
        </w:rPr>
        <w:t>https://pubmed.ncbi.nlm.nih.gov/42658646/</w:t>
      </w:r>
    </w:p>
    <w:p>
      <w:pPr>
        <w:pStyle w:val="Heading2"/>
      </w:pPr>
      <w:r>
        <w:t>Transdisziplinäres Rahmenwerk für chronische Erkrankung und chronischen Schmerz aus qualitativer Synthese</w:t>
      </w:r>
    </w:p>
    <w:p>
      <w:r>
        <w:rPr>
          <w:i/>
          <w:color w:val="666666"/>
          <w:sz w:val="18"/>
        </w:rPr>
        <w:t>Safavi-Abbasi S et al.  ·  Front Public Health  ·  12.08.2026  ·  PMID 42656526</w:t>
      </w:r>
    </w:p>
    <w:p>
      <w:r>
        <w:t>Systematische qualitative Metasynopse von 104 Primärstudien (2009–2025) zu Patientenerfahrungen chronischer Erkrankung und Schmerz; Integration von 52 weiteren Studien zu transdisziplinären Prinzipien zur Entwicklung eines klinisch anwendbaren Rahmenwerks.</w:t>
      </w:r>
    </w:p>
    <w:p>
      <w:r>
        <w:rPr>
          <w:b/>
        </w:rPr>
        <w:t xml:space="preserve">Ergebnis: </w:t>
      </w:r>
      <w:r>
        <w:t>Identifiziert sieben zentrale Erfahrungsdomänen (soziale Isolation, Identitätsverlust, körperliche Debilitation, emotionale Belastung, kognitive Überlastung, Unsicherheit, Kampf um Legitimität im System) und verknüpft sie mit fünf transdisziplinären Prinzipien (Kommunikation, Zusammenarbeit, Partizipation, Reflexivität, Systemdenken). Das Rahmenwerk strukturiert personenzentrierte Versorgung, interdisziplinäre Kooperation und koordiniertes Management.</w:t>
      </w:r>
    </w:p>
    <w:p>
      <w:r>
        <w:rPr>
          <w:b/>
          <w:sz w:val="19"/>
        </w:rPr>
        <w:t xml:space="preserve">Übertragbarkeit: </w:t>
      </w:r>
      <w:r>
        <w:rPr>
          <w:sz w:val="19"/>
        </w:rPr>
        <w:t>Qualitative Synthese aus international vergleichbaren Studien; Versorgungsansätze gelten über Grenzen hinweg.</w:t>
      </w:r>
    </w:p>
    <w:p>
      <w:r>
        <w:rPr>
          <w:color w:val="5A7D3A"/>
          <w:sz w:val="18"/>
        </w:rPr>
        <w:t>https://pubmed.ncbi.nlm.nih.gov/42656526/</w:t>
      </w:r>
    </w:p>
    <w:p>
      <w:pPr>
        <w:pStyle w:val="Heading2"/>
      </w:pPr>
      <w:r>
        <w:t>Ländliche Versorgung chronischer Erkrankungen: Von Gesundheitssystem zu gesellschaftlichen Determinanten</w:t>
      </w:r>
    </w:p>
    <w:p>
      <w:r>
        <w:rPr>
          <w:i/>
          <w:color w:val="666666"/>
          <w:sz w:val="18"/>
        </w:rPr>
        <w:t>Kuwayama T et al.  ·  Int J Environ Res Public Health  ·  27.07.2026  ·  PMID 42652287</w:t>
      </w:r>
    </w:p>
    <w:p>
      <w:r>
        <w:t>Scoping Review (23 Studien: 12 vor, 11 nach COVID-19) zu Themen ländlicher Versorgungsprobleme bei chronischen Krankheiten; thematischer Vergleich prä- und post-pandemisch.</w:t>
      </w:r>
    </w:p>
    <w:p>
      <w:r>
        <w:rPr>
          <w:b/>
        </w:rPr>
        <w:t xml:space="preserve">Ergebnis: </w:t>
      </w:r>
      <w:r>
        <w:t>Vor Pandemie dominierten Themen: niedrige Managementraten (Hypertonie, Diabetes), Arzneimittelversorgung, unzureichendes Fachpersonal (Thema: Gesundheitssystem). Nach Pandemie zusätzlich: psychische Gesundheit, Ernährung, Mehrfacherkrankung, sozioökonomische Disparitäten (Thema: Gesellschaft). Verschiebung zeigt: Pandemie hat Debatte von technischen auf ganzheitliche Determinanten ausgeweitet.</w:t>
      </w:r>
    </w:p>
    <w:p>
      <w:r>
        <w:rPr>
          <w:b/>
          <w:sz w:val="19"/>
        </w:rPr>
        <w:t xml:space="preserve">Übertragbarkeit: </w:t>
      </w:r>
      <w:r>
        <w:rPr>
          <w:sz w:val="19"/>
        </w:rPr>
        <w:t>Japan/Ländervergleich; Systematik der ländlichen Versorgungshürden auch für deutsche Flächenländer relevant.</w:t>
      </w:r>
    </w:p>
    <w:p>
      <w:r>
        <w:rPr>
          <w:color w:val="5A7D3A"/>
          <w:sz w:val="18"/>
        </w:rPr>
        <w:t>https://pubmed.ncbi.nlm.nih.gov/42652287/</w:t>
      </w:r>
    </w:p>
    <w:p>
      <w:pPr>
        <w:pStyle w:val="Heading2"/>
      </w:pPr>
      <w:r>
        <w:t>Funktionale Lungen-MRT zeigt Verbesserung der Hyperinflation nach Doppel-Bronchodilator bei COPD</w:t>
      </w:r>
    </w:p>
    <w:p>
      <w:r>
        <w:rPr>
          <w:i/>
          <w:color w:val="666666"/>
          <w:sz w:val="18"/>
        </w:rPr>
        <w:t>Müller RA et al.  ·  COPD  ·  12.08.2026  ·  PMID 42584170</w:t>
      </w:r>
    </w:p>
    <w:p>
      <w:r>
        <w:t>Randomisierte Crossover-Studie (n=29 COPD-Patienten) zur Wirkung einer Einzeldosis Doppel-Bronchodilator auf ventilationsdynamische Parameter mittels funktioneller Lungen-MRT während kontrollierter schneller Atmung (Metronom-gesteuert).</w:t>
      </w:r>
    </w:p>
    <w:p>
      <w:r>
        <w:rPr>
          <w:b/>
        </w:rPr>
        <w:t xml:space="preserve">Ergebnis: </w:t>
      </w:r>
      <w:r>
        <w:t>In Ruhe keine signifikanten FEV1-Verbesserungen; unter beschleunigter Atmung jedoch signifikante Reduktion der Funktionalen Residualkapazität (FRC: Kontrollgruppe −0,1 L vs. Interventionsgruppe −0,4 L, p&lt;0,05), verbesserte Ventilationshomogenität und Durchfluss-Volumen-Korrelation. Nach Mehrfach-Dosierung zeigten 5 von 6 Parametern Besserungen (alle p&lt;0,03).</w:t>
      </w:r>
    </w:p>
    <w:p>
      <w:r>
        <w:rPr>
          <w:b/>
          <w:sz w:val="19"/>
        </w:rPr>
        <w:t xml:space="preserve">Übertragbarkeit: </w:t>
      </w:r>
      <w:r>
        <w:rPr>
          <w:sz w:val="19"/>
        </w:rPr>
        <w:t>Deutsche Klinikdaten verfügbar; Methode für Monitoring strukturierter COPD-Programme geeignet.</w:t>
      </w:r>
    </w:p>
    <w:p>
      <w:r>
        <w:rPr>
          <w:color w:val="5A7D3A"/>
          <w:sz w:val="18"/>
        </w:rPr>
        <w:t>https://pubmed.ncbi.nlm.nih.gov/42584170/</w:t>
      </w:r>
    </w:p>
    <w:p>
      <w:pPr>
        <w:pStyle w:val="Heading2"/>
      </w:pPr>
      <w:r>
        <w:t>Nicht-Teilnahme an Hepatitis-B-Versorgung: Barrieren und Interventionen in UK-Sekundärversorgung</w:t>
      </w:r>
    </w:p>
    <w:p>
      <w:r>
        <w:rPr>
          <w:i/>
          <w:color w:val="666666"/>
          <w:sz w:val="18"/>
        </w:rPr>
        <w:t>Shiel EV et al.  ·  J Viral Hepat  ·  Sept. 2026  ·  PMID 42583956</w:t>
      </w:r>
    </w:p>
    <w:p>
      <w:r>
        <w:t>Scoping Review von 11 Studien zu Faktoren, die Nicht-Teilnahme an Sekundärversorgung-Terminen bei chronischer Hepatitis B in Großbritannien erklären, und identifizierten Strategien zur Verbesserung der Adhärenz.</w:t>
      </w:r>
    </w:p>
    <w:p>
      <w:r>
        <w:rPr>
          <w:b/>
        </w:rPr>
        <w:t xml:space="preserve">Ergebnis: </w:t>
      </w:r>
      <w:r>
        <w:t>Barrieren: patientenseitig (Gesundheitskompetenz, Stigma, konkurrierende Prioritäten), systemisch (Terminvergabe, Erreichbarkeit), psychologisch (Angst vor Diagnose, Nebenwirkungen); kulturelle und Sprachbarrieren. Wirksame Interventionen: Patienten-Edukation, kulturell angepasste Ansätze, Erinnerungssysteme (SMS, Telefon), integrierte Care-Modelle mit Community Outreach.</w:t>
      </w:r>
    </w:p>
    <w:p>
      <w:r>
        <w:rPr>
          <w:b/>
          <w:sz w:val="19"/>
        </w:rPr>
        <w:t xml:space="preserve">Übertragbarkeit: </w:t>
      </w:r>
      <w:r>
        <w:rPr>
          <w:sz w:val="19"/>
        </w:rPr>
        <w:t>Britisches Versorgungssystem mit vergleichbarem NHS-Zugang; Interventionsdesign auf deutsche Sprechstunden-Logistik adaptierbar.</w:t>
      </w:r>
    </w:p>
    <w:p>
      <w:r>
        <w:rPr>
          <w:color w:val="5A7D3A"/>
          <w:sz w:val="18"/>
        </w:rPr>
        <w:t>https://pubmed.ncbi.nlm.nih.gov/42583956/</w:t>
      </w:r>
    </w:p>
    <w:p>
      <w:pPr>
        <w:pStyle w:val="Heading2"/>
      </w:pPr>
      <w:r>
        <w:t>Vegetarische Ernährung reduziert CKD-Risiko: Prospektive UK-Biobank-Kohorte</w:t>
      </w:r>
    </w:p>
    <w:p>
      <w:r>
        <w:rPr>
          <w:i/>
          <w:color w:val="666666"/>
          <w:sz w:val="18"/>
        </w:rPr>
        <w:t>Candussi CJ et al.  ·  Sci Rep  ·  03.08.2026  ·  PMID 42547796</w:t>
      </w:r>
    </w:p>
    <w:p>
      <w:r>
        <w:t>Prospektive Kohortenstudie (n=416.584, Alter 40–69 Jahre) zur Assoziation fünf verschiedener Ernährungsmuster (hochfleischreich bis vegetarisch) mit chronischer Nierenerkrankung (CKD) über 12,9 Jahre Follow-up.</w:t>
      </w:r>
    </w:p>
    <w:p>
      <w:r>
        <w:rPr>
          <w:b/>
        </w:rPr>
        <w:t xml:space="preserve">Ergebnis: </w:t>
      </w:r>
      <w:r>
        <w:t>Bei 23.084 CKD-Neuerkrankungen zeigte sich: Vegetarier hatten das niedrigste Risiko im Vergleich zu hochfleischessern (HR=0,81, 95%-KI 0,71–0,93). Risikoreduktion war statistisch signifikant und konsistent über verschiedene Analysen; die Effektstärke ist klinisch bedeutsam für Prävention.</w:t>
      </w:r>
    </w:p>
    <w:p>
      <w:r>
        <w:rPr>
          <w:b/>
          <w:sz w:val="19"/>
        </w:rPr>
        <w:t xml:space="preserve">Übertragbarkeit: </w:t>
      </w:r>
      <w:r>
        <w:rPr>
          <w:sz w:val="19"/>
        </w:rPr>
        <w:t>UK-Biobank mit vergleichbarer Dokumentation; Präventionsempfehlung auf Deutschland übertragbar.</w:t>
      </w:r>
    </w:p>
    <w:p>
      <w:r>
        <w:rPr>
          <w:color w:val="5A7D3A"/>
          <w:sz w:val="18"/>
        </w:rPr>
        <w:t>https://pubmed.ncbi.nlm.nih.gov/42547796/</w:t>
      </w:r>
    </w:p>
    <w:p>
      <w:pPr>
        <w:pStyle w:val="Heading1"/>
      </w:pPr>
      <w:r>
        <w:t>Aufgenommen am 27.08.2026</w:t>
      </w:r>
    </w:p>
    <w:p>
      <w:pPr>
        <w:pStyle w:val="Heading2"/>
      </w:pPr>
      <w:r>
        <w:t>Mehrfacherkrankung und Krankenhausaufenthalt bei Herzinsuffizienz in Indonesien</w:t>
      </w:r>
    </w:p>
    <w:p>
      <w:r>
        <w:rPr>
          <w:i/>
          <w:color w:val="666666"/>
          <w:sz w:val="18"/>
        </w:rPr>
        <w:t>Yolanda G et al.  ·  Open Heart  ·  26.08.2026  ·  PMID 42648742</w:t>
      </w:r>
    </w:p>
    <w:p>
      <w:r>
        <w:t>Bevölkerungsbasierte retrospektive Kohorte von 9.018 Patienten (12.461 Aufenthalte) mit Herzinsuffizienz aus indonesischer Krankenversicherung zu Einfluss von Mehrfacherkrankung auf Liegedauer und Wiederaufnahme.</w:t>
      </w:r>
    </w:p>
    <w:p>
      <w:r>
        <w:rPr>
          <w:b/>
        </w:rPr>
        <w:t xml:space="preserve">Ergebnis: </w:t>
      </w:r>
      <w:r>
        <w:t>Mehrfacherkrankung in 72,4%, jede zusätzliche Komorbidität assoziiert mit: längerer Liegedauer (+0,13 Tage), höherer 30-Tage-Wiederaufnahmequote (OR 1,22) und höherer 90-Tage-Wiederaufnahme (OR 1,27). Spezifische Muster: Anämie stärkste Assoziation mit Liegedauer, ischämische Herzerkrankung, CKD, COPD und Klappenvitium mit Wiederaufnahme.</w:t>
      </w:r>
    </w:p>
    <w:p>
      <w:r>
        <w:rPr>
          <w:b/>
          <w:sz w:val="19"/>
        </w:rPr>
        <w:t xml:space="preserve">Übertragbarkeit: </w:t>
      </w:r>
      <w:r>
        <w:rPr>
          <w:sz w:val="19"/>
        </w:rPr>
        <w:t>Indonesien mit universeller Krankenversicherung, begrenzte Ressourcen, Mehrfacherkrankungslast auch in deutschem System relevant.</w:t>
      </w:r>
    </w:p>
    <w:p>
      <w:r>
        <w:rPr>
          <w:color w:val="5A7D3A"/>
          <w:sz w:val="18"/>
        </w:rPr>
        <w:t>https://pubmed.ncbi.nlm.nih.gov/42648742/</w:t>
      </w:r>
    </w:p>
    <w:p>
      <w:pPr>
        <w:pStyle w:val="Heading2"/>
      </w:pPr>
      <w:r>
        <w:t>Ungleiche Versorgung nach Transplantatversagen: Ethnizität und Deprivation beeinflussen Retransplantation</w:t>
      </w:r>
    </w:p>
    <w:p>
      <w:r>
        <w:rPr>
          <w:i/>
          <w:color w:val="666666"/>
          <w:sz w:val="18"/>
        </w:rPr>
        <w:t>Westaway S et al.  ·  PLoS One  ·  26.08.2026  ·  PMID 42647538</w:t>
      </w:r>
    </w:p>
    <w:p>
      <w:r>
        <w:t>Analyse von 5.447 Patienten mit Transplantatversagen in Großbritannien zum Zusammenhang von Patientenmerkmalen mit Versorgungsergebnissen (Retransplantation, Dialyseverfahren, Mortalität).</w:t>
      </w:r>
    </w:p>
    <w:p>
      <w:r>
        <w:rPr>
          <w:b/>
        </w:rPr>
        <w:t xml:space="preserve">Ergebnis: </w:t>
      </w:r>
      <w:r>
        <w:t>Schwarze und asiatische Patienten erhielten deutlich seltener Retransplantationen (RRR 0,41 bzw. 0,57), ebenso Personen in deprivierteren Gegenden (RRR 0,78 pro Deprivationsquintil). Männer wurden häufiger retransplantiert und an Hämodialyse angeschlossen. Diese Ungleichheiten sind versorgungsrelevant und beeinflussen das Überleben.</w:t>
      </w:r>
    </w:p>
    <w:p>
      <w:r>
        <w:rPr>
          <w:b/>
          <w:sz w:val="19"/>
        </w:rPr>
        <w:t xml:space="preserve">Übertragbarkeit: </w:t>
      </w:r>
      <w:r>
        <w:rPr>
          <w:sz w:val="19"/>
        </w:rPr>
        <w:t>Britisches Gesundheitssystem mit elektronischen Registerdaten, teilweise vergleichbar mit deutschem Organtransplantationssystem.</w:t>
      </w:r>
    </w:p>
    <w:p>
      <w:r>
        <w:rPr>
          <w:color w:val="5A7D3A"/>
          <w:sz w:val="18"/>
        </w:rPr>
        <w:t>https://pubmed.ncbi.nlm.nih.gov/42647538/</w:t>
      </w:r>
    </w:p>
    <w:p>
      <w:pPr>
        <w:pStyle w:val="Heading2"/>
      </w:pPr>
      <w:r>
        <w:t>Kompetenzen für personenzentrierte Versorgung bei Mehrfacherkrankung: Fokusgruppen mit Patienten und Fachkräften</w:t>
      </w:r>
    </w:p>
    <w:p>
      <w:r>
        <w:rPr>
          <w:i/>
          <w:color w:val="666666"/>
          <w:sz w:val="18"/>
        </w:rPr>
        <w:t>Michielsen LJ et al.  ·  Eur J Gen Pract  ·  26.08.2026  ·  PMID 42647104</w:t>
      </w:r>
    </w:p>
    <w:p>
      <w:r>
        <w:t>Qualitative Fokusgruppenstudie mit 14 Hausarztfachkräften und 10 Patienten mit chronischen Erkrankungen zu essentiellen Kompetenzen für personenzentrierte integrierte Versorgung.</w:t>
      </w:r>
    </w:p>
    <w:p>
      <w:r>
        <w:rPr>
          <w:b/>
        </w:rPr>
        <w:t xml:space="preserve">Ergebnis: </w:t>
      </w:r>
      <w:r>
        <w:t>Fachkräfte benannten: personenzentrierte Einstellung, Kommunikationsfähigkeiten, Interprofessionelles Zusammenarbeiten. Patienten werteten zusätzlich Kontinuität und designierten Ansprechpartner. Fachkräfte nannten Schulung, Reflektionszirkel und Fallbesprechungen als nötig. Kernaussage: Erfolgreiche Versorgung erfordert neben individuellen Kompetenzen Organisationsbedingungen für koordinierte, kontinuierliche Pflege.</w:t>
      </w:r>
    </w:p>
    <w:p>
      <w:r>
        <w:rPr>
          <w:b/>
          <w:sz w:val="19"/>
        </w:rPr>
        <w:t xml:space="preserve">Übertragbarkeit: </w:t>
      </w:r>
      <w:r>
        <w:rPr>
          <w:sz w:val="19"/>
        </w:rPr>
        <w:t>Niederlande, vergleichbare Primärversorgungsstrukturen und DMPs wie Deutschland.</w:t>
      </w:r>
    </w:p>
    <w:p>
      <w:r>
        <w:rPr>
          <w:color w:val="5A7D3A"/>
          <w:sz w:val="18"/>
        </w:rPr>
        <w:t>https://pubmed.ncbi.nlm.nih.gov/42647104/</w:t>
      </w:r>
    </w:p>
    <w:p>
      <w:pPr>
        <w:pStyle w:val="Heading2"/>
      </w:pPr>
      <w:r>
        <w:t>Soziale Risikofaktoren verbessern Vorhersage von kardiometabolischer Mehrfacherkrankung</w:t>
      </w:r>
    </w:p>
    <w:p>
      <w:r>
        <w:rPr>
          <w:i/>
          <w:color w:val="666666"/>
          <w:sz w:val="18"/>
        </w:rPr>
        <w:t>Anindya K et al.  ·  Sci Rep  ·  25.08.2026  ·  PMID 42642546</w:t>
      </w:r>
    </w:p>
    <w:p>
      <w:r>
        <w:t>Entwicklung eines Bayesianischen Vorhersagemodells für kardiometabolische Mehrfacherkrankung unter Einbeziehung sozialer Determinanten in 11.964 schwedischen Erwachsenen ohne Vorerkrankungen.</w:t>
      </w:r>
    </w:p>
    <w:p>
      <w:r>
        <w:rPr>
          <w:b/>
        </w:rPr>
        <w:t xml:space="preserve">Ergebnis: </w:t>
      </w:r>
      <w:r>
        <w:t>Während die Vorhersage für mindestens eine kardiometabolische Erkrankung fair war (AUC 0,76), zeigte sich für Mehrfacherkrankung (≥2 Erkrankungen) gute Diskriminanz (AUC 0,89). Höchste Risiken bei älteren Migranten mit Hypertonie und niedriger HDL (34,7% für beliebige Erkrankung, 4,4% für Mehrfacherkrankung).</w:t>
      </w:r>
    </w:p>
    <w:p>
      <w:r>
        <w:rPr>
          <w:b/>
          <w:sz w:val="19"/>
        </w:rPr>
        <w:t xml:space="preserve">Übertragbarkeit: </w:t>
      </w:r>
      <w:r>
        <w:rPr>
          <w:sz w:val="19"/>
        </w:rPr>
        <w:t>Schweden, vergleichbare Sozialversicherung und Präventionsstrukturen wie Deutschland.</w:t>
      </w:r>
    </w:p>
    <w:p>
      <w:r>
        <w:rPr>
          <w:color w:val="5A7D3A"/>
          <w:sz w:val="18"/>
        </w:rPr>
        <w:t>https://pubmed.ncbi.nlm.nih.gov/42642546/</w:t>
      </w:r>
    </w:p>
    <w:p>
      <w:pPr>
        <w:pStyle w:val="Heading2"/>
      </w:pPr>
      <w:r>
        <w:t>Schluckstörungen bei COPD – zwei Jahre Stabilität und Symptombelastung</w:t>
      </w:r>
    </w:p>
    <w:p>
      <w:r>
        <w:rPr>
          <w:i/>
          <w:color w:val="666666"/>
          <w:sz w:val="18"/>
        </w:rPr>
        <w:t>Gonzalez Lindh M et al.  ·  COPD  ·  28.07.2026  ·  PMID 42557931</w:t>
      </w:r>
    </w:p>
    <w:p>
      <w:r>
        <w:t>Prospektive Kohortenstudie mit 438 COPD-Patienten zu Stabilitätsmuster selbstberichteter Schluckstörungen über zwei Jahre und Assoziationen mit klinischen Ergebnissen.</w:t>
      </w:r>
    </w:p>
    <w:p>
      <w:r>
        <w:rPr>
          <w:b/>
        </w:rPr>
        <w:t xml:space="preserve">Ergebnis: </w:t>
      </w:r>
      <w:r>
        <w:t>Schluckstörungsprävalenz blieb stabil (32% auf 33%), vier Verlaufsmuster identifiziert: keine (59%), neu aufgetreten (8%), remittiert (8%), persistent (25%). Persistente Schluckstörung assoziiert mit höherer Dyspnoe, schlechterer körperlicher Leistung und häufigeren Exazerbationen. CAT-Wert ≥10 unabhängig mit Schluckstörung verbunden.</w:t>
      </w:r>
    </w:p>
    <w:p>
      <w:r>
        <w:rPr>
          <w:b/>
          <w:sz w:val="19"/>
        </w:rPr>
        <w:t xml:space="preserve">Übertragbarkeit: </w:t>
      </w:r>
      <w:r>
        <w:rPr>
          <w:sz w:val="19"/>
        </w:rPr>
        <w:t>Schweden, vergleichbare Primärversorgungsstrukturen, Screening in COPD-Routinefolge übertragbar.</w:t>
      </w:r>
    </w:p>
    <w:p>
      <w:r>
        <w:rPr>
          <w:color w:val="5A7D3A"/>
          <w:sz w:val="18"/>
        </w:rPr>
        <w:t>https://pubmed.ncbi.nlm.nih.gov/42557931/</w:t>
      </w:r>
    </w:p>
    <w:p>
      <w:pPr>
        <w:pStyle w:val="Heading2"/>
      </w:pPr>
      <w:r>
        <w:t>Hyperkaliämie-Management: Ärzte bevorzugen RAASi-Erhalt trotz Barrieren</w:t>
      </w:r>
    </w:p>
    <w:p>
      <w:r>
        <w:rPr>
          <w:i/>
          <w:color w:val="666666"/>
          <w:sz w:val="18"/>
        </w:rPr>
        <w:t>Gimenez-Stamminger N et al.  ·  PLoS One  ·  30.07.2026  ·  PMID 42531230</w:t>
      </w:r>
    </w:p>
    <w:p>
      <w:r>
        <w:t>Qualitative Studie mit 12 spanischen Nephrologen zu Strategien der Hyperkaliämie-Behandlung unter Beibehaltung von Renin-Angiotensin-Aldosteron-Inhibitor-Therapie bei CKD-Stadien 3-5.</w:t>
      </w:r>
    </w:p>
    <w:p>
      <w:r>
        <w:rPr>
          <w:b/>
        </w:rPr>
        <w:t xml:space="preserve">Ergebnis: </w:t>
      </w:r>
      <w:r>
        <w:t>Fünf Themen identifiziert: (1) strukturierter Behandlungsalgorithmus für RAASi-Erhalt, (2) neue Kaliumbinder (Patiromer, Natriumzirkonium-Zykliosilikat) als effektiv und besser verträglich, (3) Systembarrieren (Visado-Anforderungen, regionale Formularvarianz) limitieren Zugang, (4) Patientenengagement durch Kommunikation und Pflege-Edukation fördert Adhärenz, (5) Lebensqualität wird selten formal erfasst. Kernempfehlung: Vereinfachte Zugangsswege und verbesserte Multidisziplinarität nötig.</w:t>
      </w:r>
    </w:p>
    <w:p>
      <w:r>
        <w:rPr>
          <w:b/>
          <w:sz w:val="19"/>
        </w:rPr>
        <w:t xml:space="preserve">Übertragbarkeit: </w:t>
      </w:r>
      <w:r>
        <w:rPr>
          <w:sz w:val="19"/>
        </w:rPr>
        <w:t>Spanien, vergleichbares öffentliches Gesundheitssystem, direkt übertragbar für deutsches CKD-Management.</w:t>
      </w:r>
    </w:p>
    <w:p>
      <w:r>
        <w:rPr>
          <w:color w:val="5A7D3A"/>
          <w:sz w:val="18"/>
        </w:rPr>
        <w:t>https://pubmed.ncbi.nlm.nih.gov/42531230/</w:t>
      </w:r>
    </w:p>
    <w:p>
      <w:pPr>
        <w:pStyle w:val="Heading1"/>
      </w:pPr>
      <w:r>
        <w:t>Aufgenommen am 26.08.2026</w:t>
      </w:r>
    </w:p>
    <w:p>
      <w:pPr>
        <w:pStyle w:val="Heading2"/>
      </w:pPr>
      <w:r>
        <w:t>Geschlechtsspezifische Trajectories bei Typ-2-Diabetes: Psychische Erkrankungen bei Frauen häufiger</w:t>
      </w:r>
    </w:p>
    <w:p>
      <w:r>
        <w:rPr>
          <w:i/>
          <w:color w:val="666666"/>
          <w:sz w:val="18"/>
        </w:rPr>
        <w:t>Eto F et al.  ·  PLoS Med  ·  25.08.2026  ·  PMID 42640878</w:t>
      </w:r>
    </w:p>
    <w:p>
      <w:r>
        <w:t>Kohortenstudie mit 28.720 Personen in Großbritannien untersucht unterschiedliche Krankheitsverlaufsmuster nach Typ-2-Diabetes-Diagnose, unterschieden nach Geschlecht.</w:t>
      </w:r>
    </w:p>
    <w:p>
      <w:r>
        <w:rPr>
          <w:b/>
        </w:rPr>
        <w:t xml:space="preserve">Ergebnis: </w:t>
      </w:r>
      <w:r>
        <w:t>Bei Frauen traten psychische Erkrankungen post-Diabetes signifikant häufiger auf als bei Männern (8,1% vs. 5,3%), während Männer höhere Raten für Herz-Kreislauf- und Nierenerkrankungen zeigten (8,4% vs. 5,3%). Beide Geschlechter mit kombiniertem Diabetes und psychischer Erkrankung erlebten vorzeitige Sterblichkeit.</w:t>
      </w:r>
    </w:p>
    <w:p>
      <w:r>
        <w:rPr>
          <w:b/>
          <w:sz w:val="19"/>
        </w:rPr>
        <w:t xml:space="preserve">Übertragbarkeit: </w:t>
      </w:r>
      <w:r>
        <w:rPr>
          <w:sz w:val="19"/>
        </w:rPr>
        <w:t>UK-Register-Daten, vergleichbar mit deutschen Disease-Management-Strukturen zur geschlechtsspezifischen Therapieplanung.</w:t>
      </w:r>
    </w:p>
    <w:p>
      <w:r>
        <w:rPr>
          <w:color w:val="5A7D3A"/>
          <w:sz w:val="18"/>
        </w:rPr>
        <w:t>https://pubmed.ncbi.nlm.nih.gov/42640878/</w:t>
      </w:r>
    </w:p>
    <w:p>
      <w:pPr>
        <w:pStyle w:val="Heading2"/>
      </w:pPr>
      <w:r>
        <w:t>Post-COVID-Endotheldysfunktion verschärft sich bei Patienten mit ME/CFS-Kriterien: Retinale Gefäßanalyse zeigt Arteriolenkatheteropathie</w:t>
      </w:r>
    </w:p>
    <w:p>
      <w:r>
        <w:rPr>
          <w:i/>
          <w:color w:val="666666"/>
          <w:sz w:val="18"/>
        </w:rPr>
        <w:t>Wallraven T et al.  ·  BMC Med  ·  19.08.2026  ·  PMID 42625188</w:t>
      </w:r>
    </w:p>
    <w:p>
      <w:r>
        <w:t>Prospektive Beobachtungsstudie mit 300 Teilnehmern (96 nie infiziert, 102 genesen, 102 mit Post-COVID-Syndrom, davon 62 mit ME/CFS-Kriterien) untersucht Mikrozirkulation mittels retinaler Gefäßanalyse.</w:t>
      </w:r>
    </w:p>
    <w:p>
      <w:r>
        <w:rPr>
          <w:b/>
        </w:rPr>
        <w:t xml:space="preserve">Ergebnis: </w:t>
      </w:r>
      <w:r>
        <w:t>Patienten mit Post-COVID zeigten reduzierte Venendilation (3,7% ± 2,2 vs. 4,8% ± 3,0, p=0,006), engere retinale Arteriolen (CRAE: 178,3 ± 15,5 vs. 186,1 ± 15,7 μm, p=0,001) und niedrigere Arteriol-Venol-Verhältnisse als Genesene (0,83 ± 0,06 vs. 0,86 ± 0,07, p&lt;0,001). Patienten mit ME/CFS-Kriterien zeigten stärkste Veränderungen (AUC 0,79).</w:t>
      </w:r>
    </w:p>
    <w:p>
      <w:r>
        <w:rPr>
          <w:b/>
          <w:sz w:val="19"/>
        </w:rPr>
        <w:t xml:space="preserve">Übertragbarkeit: </w:t>
      </w:r>
      <w:r>
        <w:rPr>
          <w:sz w:val="19"/>
        </w:rPr>
        <w:t>Multinationale Studie (Deutschland, Schweiz); relevanter für Versorgungsfragen zu Post-COVID-Rehabilitationsbedarfen.</w:t>
      </w:r>
    </w:p>
    <w:p>
      <w:r>
        <w:rPr>
          <w:color w:val="5A7D3A"/>
          <w:sz w:val="18"/>
        </w:rPr>
        <w:t>https://pubmed.ncbi.nlm.nih.gov/42625188/</w:t>
      </w:r>
    </w:p>
    <w:p>
      <w:pPr>
        <w:pStyle w:val="Heading1"/>
      </w:pPr>
      <w:r>
        <w:t>Aufgenommen am 24.08.2026</w:t>
      </w:r>
    </w:p>
    <w:p>
      <w:pPr>
        <w:pStyle w:val="Heading2"/>
      </w:pPr>
      <w:r>
        <w:t>Kontinuität der Versorgung senkt Krankenhauseinweisungen und Sterblichkeit bei COPD um 25–63 %</w:t>
      </w:r>
    </w:p>
    <w:p>
      <w:r>
        <w:rPr>
          <w:i/>
          <w:color w:val="666666"/>
          <w:sz w:val="18"/>
        </w:rPr>
        <w:t>Ko J et al.  ·  Int J Chron Obstruct Pulmon Dis  ·  18.08.2026  ·  PMID 42633418</w:t>
      </w:r>
    </w:p>
    <w:p>
      <w:r>
        <w:t>Retrospektive südkoreanische Kohortenstudie mit 29.316 neu diagnostizierten COPD-Patienten aus nationalen Versicherungsdaten 2002–2019 zur Wirkung der Versorgungskontinuität (CoC) auf Krankenhauseinweisungen und Sterblichkeit.</w:t>
      </w:r>
    </w:p>
    <w:p>
      <w:r>
        <w:rPr>
          <w:b/>
        </w:rPr>
        <w:t xml:space="preserve">Ergebnis: </w:t>
      </w:r>
      <w:r>
        <w:t>Niedrige CoC-Werte (&lt;0,7) assoziiert mit erhöhtem Risiko für 3-Jahres-Exazerbations-Krankenhauseinweisung (HR 1,63, 95% CI 1,45–1,83) und allgemeine Mortalität (HR 1,25, 95% CI 1,11–1,40) vs. hohe CoC. Progressiv: Intermediate CoC (0,4–0,7) HR 1,61 für Einweisungen und 1,24 für Mortalität; sehr niedrig (&lt;0,4) HR 1,65 und 1,26. Notaufnahmen HR 1,48, allgemeine Hospitalisierungen HR 1,70 bei niedriger CoC. Befunde konsistent über alternative Kontinuitäts-Indizes. Fragmentierte ambulante Versorgung erhöht vermeidbare Krankenhaus-Kontakte und Todesfälle erheblich.</w:t>
      </w:r>
    </w:p>
    <w:p>
      <w:r>
        <w:rPr>
          <w:b/>
          <w:sz w:val="19"/>
        </w:rPr>
        <w:t xml:space="preserve">Übertragbarkeit: </w:t>
      </w:r>
      <w:r>
        <w:rPr>
          <w:sz w:val="19"/>
        </w:rPr>
        <w:t>Südkorea, nationale Versicherungsdaten, zeigt Bedeutung von Kontinuität unabhängig vom Finanzsystem</w:t>
      </w:r>
    </w:p>
    <w:p>
      <w:r>
        <w:rPr>
          <w:color w:val="5A7D3A"/>
          <w:sz w:val="18"/>
        </w:rPr>
        <w:t>https://pubmed.ncbi.nlm.nih.gov/42633418/</w:t>
      </w:r>
    </w:p>
    <w:p>
      <w:pPr>
        <w:pStyle w:val="Heading1"/>
      </w:pPr>
      <w:r>
        <w:t>Aufgenommen am 23.08.2026</w:t>
      </w:r>
    </w:p>
    <w:p>
      <w:pPr>
        <w:pStyle w:val="Heading2"/>
      </w:pPr>
      <w:r>
        <w:t>Mehrfacherkrankung bei Vorhofflimmern nimmt zu: Gepräge und Verlauf stark heterogen</w:t>
      </w:r>
    </w:p>
    <w:p>
      <w:r>
        <w:rPr>
          <w:i/>
          <w:color w:val="666666"/>
          <w:sz w:val="18"/>
        </w:rPr>
        <w:t>Reinilä S et al.  ·  Eur J Clin Invest  ·  Aug. 2026  ·  PMID 42629441</w:t>
      </w:r>
    </w:p>
    <w:p>
      <w:r>
        <w:t>Finnische Kohorte aller Patienten mit neu diagnostiziertem Vorhofflimmern 2009–2018 (n=196.536); Erfassung von Begleiterkrankungen über nationale Register mit 5-Jahres-Lookback.</w:t>
      </w:r>
    </w:p>
    <w:p>
      <w:r>
        <w:rPr>
          <w:b/>
        </w:rPr>
        <w:t xml:space="preserve">Ergebnis: </w:t>
      </w:r>
      <w:r>
        <w:t>85% hatten ≥2 Begleiterkrankungsgruppen, 28% ≥6 Gruppen. Mittlere Anzahl von Diagnosegruppen stieg von 3,9 auf 4,2 Gruppen (2009–2018); nach Adjustment für Alter signifikant. Mehrfacherkrankung war bei Frauen häufiger (4,2 vs. 3,9 Gruppen) und nahm mit dem Alter zu. Häufigste Begleiterkrankungen: Hypertonie, Stoffwechselerkrankungen, Diabetes, andere kardiovaskuläre Erkrankungen. Eine bedeutende Versorgungsherausforderung mit wachsendem Bedarf für ganzheitliche Behandlung.</w:t>
      </w:r>
    </w:p>
    <w:p>
      <w:r>
        <w:rPr>
          <w:b/>
          <w:sz w:val="19"/>
        </w:rPr>
        <w:t xml:space="preserve">Übertragbarkeit: </w:t>
      </w:r>
      <w:r>
        <w:rPr>
          <w:sz w:val="19"/>
        </w:rPr>
        <w:t>Finnland, vergleichbares nordisches Gesundheitssystem, nationale Registerdaten</w:t>
      </w:r>
    </w:p>
    <w:p>
      <w:r>
        <w:rPr>
          <w:color w:val="5A7D3A"/>
          <w:sz w:val="18"/>
        </w:rPr>
        <w:t>https://pubmed.ncbi.nlm.nih.gov/42629441/</w:t>
      </w:r>
    </w:p>
    <w:p>
      <w:pPr>
        <w:pStyle w:val="Heading1"/>
      </w:pPr>
      <w:r>
        <w:t>Aufgenommen am 22.08.2026</w:t>
      </w:r>
    </w:p>
    <w:p>
      <w:pPr>
        <w:pStyle w:val="Heading2"/>
      </w:pPr>
      <w:r>
        <w:t>HAQ-DI-basierte Screening identifiziert Hochrisiko-Phänotyp mit funktioneller Behinderung in COPD</w:t>
      </w:r>
    </w:p>
    <w:p>
      <w:r>
        <w:rPr>
          <w:i/>
          <w:color w:val="666666"/>
          <w:sz w:val="18"/>
        </w:rPr>
        <w:t>Rogier J et al.  ·  Int J Chron Obstruct Pulmon Dis  ·  15.08.2026  ·  PMID 42621973</w:t>
      </w:r>
    </w:p>
    <w:p>
      <w:r>
        <w:t>Französische Kohortenstudie (n=117) der funktionalen Behinderung bei COPD-Patienten mittels Health Assessment Questionnaire – Disability Index (HAQ-DI) in Relation zu Krankheitsschwere und Krankheitslast.</w:t>
      </w:r>
    </w:p>
    <w:p>
      <w:r>
        <w:rPr>
          <w:b/>
        </w:rPr>
        <w:t xml:space="preserve">Ergebnis: </w:t>
      </w:r>
      <w:r>
        <w:t>Patienten mit COPD GOLD 3–4 zeigten höhere HAQ-DI-Werte als GOLD 1–2 (0,50 vs. 0,25, p=0,015); 20 Patienten (17,1%) erfüllten Kriterien für "Hochfunktionelle Behinderung" (HAQ-DI ≥1) mit ungünstigeren Prognose-Markern; HAQ-DI korrelierte mit Exazerbationen, Dyspnoe und Krankheitslast (alle p&lt;0,001). HAQ-DI ist ein praktisches Screening-Instrument zur Identifizierung von Patienten mit hohem funktionellem Risiko, die von Rehabilitations- und psychologischem Support profitieren könnten.</w:t>
      </w:r>
    </w:p>
    <w:p>
      <w:r>
        <w:rPr>
          <w:b/>
          <w:sz w:val="19"/>
        </w:rPr>
        <w:t xml:space="preserve">Übertragbarkeit: </w:t>
      </w:r>
      <w:r>
        <w:rPr>
          <w:sz w:val="19"/>
        </w:rPr>
        <w:t>Frankreich, vergleichbare Dokumentation von Komorbiditäten und Funktionalität</w:t>
      </w:r>
    </w:p>
    <w:p>
      <w:r>
        <w:rPr>
          <w:color w:val="5A7D3A"/>
          <w:sz w:val="18"/>
        </w:rPr>
        <w:t>https://pubmed.ncbi.nlm.nih.gov/42621973/</w:t>
      </w:r>
    </w:p>
    <w:p>
      <w:pPr>
        <w:pStyle w:val="Heading2"/>
      </w:pPr>
      <w:r>
        <w:t>SMART-Youth: Longitudinale Kohortenstudie zu kardiovaskulären Risikofaktoren für subklinische Atherosklerose bei Kindern mit chronischen Erkrankungen</w:t>
      </w:r>
    </w:p>
    <w:p>
      <w:r>
        <w:rPr>
          <w:i/>
          <w:color w:val="666666"/>
          <w:sz w:val="18"/>
        </w:rPr>
        <w:t>van der Linden IA et al.  ·  BMJ Open  ·  13.08.2026  ·  PMID 42595358</w:t>
      </w:r>
    </w:p>
    <w:p>
      <w:r>
        <w:t>Prospektive longitudinale Kohortenstudie in niederländischem Universitätskrankenhaus (geplant n&gt;2000, 8–18 Jahre) zu krankheits- und lebensstilassoziierten kardiovaskulären Risikofaktoren für subklinische Atherosklerose bei Kindern mit diversen chronischen Erkrankungen (CF, JIA, CKD, IBD, angeborene Herzerkrankung etc.); Rekrutierung seit August 2024.</w:t>
      </w:r>
    </w:p>
    <w:p>
      <w:r>
        <w:rPr>
          <w:b/>
        </w:rPr>
        <w:t xml:space="preserve">Ergebnis: </w:t>
      </w:r>
      <w:r>
        <w:t>Baseline-Charakterisierung: Erfassung von Blutdruck, BMI, Lipiden, HbA1c, CRP; Messung von Karotis-Intima-Media-Dicke, Karotis-Distension und Karotis-Femoral-Pulswellen-Geschwindigkeit bei Baseline, 2-Jahr-Follow-up und Alter 17–18 Jahren. Primärer Fokus: langfristige Assoziationen zwischen kardiovaskulären Risikofaktoren und früher subklinischer Atherosklerose bei chronisch erkrankten Kindern zur Risikostratifizierung und Früherkennung.</w:t>
      </w:r>
    </w:p>
    <w:p>
      <w:r>
        <w:rPr>
          <w:b/>
          <w:sz w:val="19"/>
        </w:rPr>
        <w:t xml:space="preserve">Übertragbarkeit: </w:t>
      </w:r>
      <w:r>
        <w:rPr>
          <w:sz w:val="19"/>
        </w:rPr>
        <w:t>Niederlande, Universitätskrankenhaus in vergleichbarem System; Mehrfacherkrankungen-Fokus bei Kindern</w:t>
      </w:r>
    </w:p>
    <w:p>
      <w:r>
        <w:rPr>
          <w:color w:val="5A7D3A"/>
          <w:sz w:val="18"/>
        </w:rPr>
        <w:t>https://pubmed.ncbi.nlm.nih.gov/42595358/</w:t>
      </w:r>
    </w:p>
    <w:p>
      <w:pPr>
        <w:pStyle w:val="Heading1"/>
      </w:pPr>
      <w:r>
        <w:t>Aufgenommen am 21.08.2026</w:t>
      </w:r>
    </w:p>
    <w:p>
      <w:pPr>
        <w:pStyle w:val="Heading2"/>
      </w:pPr>
      <w:r>
        <w:t>Self-Management-Interventionen zeigen Verbesserung in Verhalten, aber nicht in Lebensqualität bei Mehrfacherkrankung</w:t>
      </w:r>
    </w:p>
    <w:p>
      <w:r>
        <w:rPr>
          <w:i/>
          <w:color w:val="666666"/>
          <w:sz w:val="18"/>
        </w:rPr>
        <w:t>Hopwood E et al.  ·  J Eval Clin Pract  ·  Aug. 2026  ·  PMID 42623506</w:t>
      </w:r>
    </w:p>
    <w:p>
      <w:r>
        <w:t>Systematische Übersicht von 28 Studien zu Wirksamkeit und Erfahrungen mit Self-Management-Interventionen für Erwachsene mit Mehrfacherkrankung (quantitativ und qualitativ).</w:t>
      </w:r>
    </w:p>
    <w:p>
      <w:r>
        <w:rPr>
          <w:b/>
        </w:rPr>
        <w:t xml:space="preserve">Ergebnis: </w:t>
      </w:r>
      <w:r>
        <w:t>Quantitative Evidenz zeigte bescheidene Verbesserungen in spezifischen Self-Management-Verhaltensweisen (gesundheitsorientierte Aktivitäten, Selbstmonitoring), aber wenig bis kein Effekt auf Lebensqualität oder psychologische Outcomes. Qualitative Befunde deuteten auf subjektive Verbesserungen in Lebensqualität und psychischer Gesundheit hin – Diskrepanz unterstreicht Bedarf nach validierten Mehrfacherkrankungs-spezifischen Outcome-Maßen.</w:t>
      </w:r>
    </w:p>
    <w:p>
      <w:r>
        <w:rPr>
          <w:b/>
          <w:sz w:val="19"/>
        </w:rPr>
        <w:t xml:space="preserve">Übertragbarkeit: </w:t>
      </w:r>
      <w:r>
        <w:rPr>
          <w:sz w:val="19"/>
        </w:rPr>
        <w:t>Internationale Evidenz, vorwiegend europäisch, direkt auf Primärversorgung übertragbar</w:t>
      </w:r>
    </w:p>
    <w:p>
      <w:r>
        <w:rPr>
          <w:color w:val="5A7D3A"/>
          <w:sz w:val="18"/>
        </w:rPr>
        <w:t>https://pubmed.ncbi.nlm.nih.gov/42623506/</w:t>
      </w:r>
    </w:p>
    <w:p>
      <w:pPr>
        <w:pStyle w:val="Heading2"/>
      </w:pPr>
      <w:r>
        <w:t>Digitales Multikomponent-Programm reduziert Angst und Depression bei Mehrfacherkrankung um 2,6–2,9 Punkte auf HADS</w:t>
      </w:r>
    </w:p>
    <w:p>
      <w:r>
        <w:rPr>
          <w:i/>
          <w:color w:val="666666"/>
          <w:sz w:val="18"/>
        </w:rPr>
        <w:t>Johnson E et al.  ·  PLoS Med  ·  20.08.2026  ·  PMID 42623335</w:t>
      </w:r>
    </w:p>
    <w:p>
      <w:r>
        <w:t>Dreiarmige randomisierte Studie (825 Patienten über 13 Länder, online durchgeführt 2023–2024) zu Effekt eines digitalen Programms mit oder ohne menschliche Unterstützung versus Warteliste bei Angst und Depression bei chronischen Erkrankungen.</w:t>
      </w:r>
    </w:p>
    <w:p>
      <w:r>
        <w:rPr>
          <w:b/>
        </w:rPr>
        <w:t xml:space="preserve">Ergebnis: </w:t>
      </w:r>
      <w:r>
        <w:t>Primärer Vergleich (eMPower + Human Support vs. Kontrolle): HADS-Gesamtscore verbesserte sich um 2,9 Punkte (95%-KI 2,0–3,8; p&lt;0,001). Self-directed eMPower zeigte ähnliche Verbesserung (2,6 Punkte; 95%-KI 1,8–3,5; p&lt;0,001); kein signifikanter Unterschied zwischen Interventionen. Verbesserungen auch bei Müdigkeit (MFIS) und Lebensqualität (SF-12, EQ-5D-5L). Keine unerwünschten Ereignisse berichtet.</w:t>
      </w:r>
    </w:p>
    <w:p>
      <w:r>
        <w:rPr>
          <w:b/>
          <w:sz w:val="19"/>
        </w:rPr>
        <w:t xml:space="preserve">Übertragbarkeit: </w:t>
      </w:r>
      <w:r>
        <w:rPr>
          <w:sz w:val="19"/>
        </w:rPr>
        <w:t>Internetbasiert, international, aber auf Mehrfacherkrankung generell bezogen, gute Übertragbarkeit</w:t>
      </w:r>
    </w:p>
    <w:p>
      <w:r>
        <w:rPr>
          <w:color w:val="5A7D3A"/>
          <w:sz w:val="18"/>
        </w:rPr>
        <w:t>https://pubmed.ncbi.nlm.nih.gov/42623335/</w:t>
      </w:r>
    </w:p>
    <w:p>
      <w:pPr>
        <w:pStyle w:val="Heading2"/>
      </w:pPr>
      <w:r>
        <w:t>Psychische Erkrankungen mit 1,85- bis 3,16-fach erhöhtem Risiko für systemische Mehrfacherkrankung bei jungen Frauen</w:t>
      </w:r>
    </w:p>
    <w:p>
      <w:r>
        <w:rPr>
          <w:i/>
          <w:color w:val="666666"/>
          <w:sz w:val="18"/>
        </w:rPr>
        <w:t>Halstead S et al.  ·  Lancet Psychiatry  ·  Sept. 2026  ·  PMID 42586082</w:t>
      </w:r>
    </w:p>
    <w:p>
      <w:r>
        <w:t>Kohortenstudie mit 30.189 Patienten mit Schizophrenie-Spektrum/bipolaren Störungen und 148.476 Kontrollen (Queensland, Australien, 2000–2023) zu Inzidenz und absoluten Unterschieden in systemischer Mehrfacherkrankung (Multiple Systeme betroffen).</w:t>
      </w:r>
    </w:p>
    <w:p>
      <w:r>
        <w:rPr>
          <w:b/>
        </w:rPr>
        <w:t xml:space="preserve">Ergebnis: </w:t>
      </w:r>
      <w:r>
        <w:t>Relative Inzidenz der Mehrfacherkrankung signifikant erhöht: mindestens ein System HR=1,85 (95%-KI 1,81–1,88), fünf Systeme HR=3,16 (95%-KI 3,01–3,30). Bei 20 Jahren absolute Cumulative-Incidence-Unterschiede: 9,79 zusätzliche Fälle pro 100 Personen (≥1 System), höchste Effekte bei Frauen &lt;25 Jahren (HR=9,24 für ≥5 Systeme; 95%-KI 7,30–11,71).</w:t>
      </w:r>
    </w:p>
    <w:p>
      <w:r>
        <w:rPr>
          <w:b/>
          <w:sz w:val="19"/>
        </w:rPr>
        <w:t xml:space="preserve">Übertragbarkeit: </w:t>
      </w:r>
      <w:r>
        <w:rPr>
          <w:sz w:val="19"/>
        </w:rPr>
        <w:t>Australien (vergleichbar mit Mittelsystemländern), großes Register, aber klinisches Risikoprofil generell übertragbar</w:t>
      </w:r>
    </w:p>
    <w:p>
      <w:r>
        <w:rPr>
          <w:color w:val="5A7D3A"/>
          <w:sz w:val="18"/>
        </w:rPr>
        <w:t>https://pubmed.ncbi.nlm.nih.gov/42586082/</w:t>
      </w:r>
    </w:p>
    <w:p>
      <w:pPr>
        <w:pStyle w:val="Heading1"/>
      </w:pPr>
      <w:r>
        <w:t>Aufgenommen am 20.08.2026</w:t>
      </w:r>
    </w:p>
    <w:p>
      <w:pPr>
        <w:pStyle w:val="Heading2"/>
      </w:pPr>
      <w:r>
        <w:t>COPD mit Typ-2-Entzündung und Exazerbationen trotz Dreifachtherapie – 3-fach höhere Kosten und Hospitalisierungsrate</w:t>
      </w:r>
    </w:p>
    <w:p>
      <w:r>
        <w:rPr>
          <w:i/>
          <w:color w:val="666666"/>
          <w:sz w:val="18"/>
        </w:rPr>
        <w:t>Narendra DK et al.  ·  Int J Chron Obstruct Pulmon Dis  ·  13.08.2026  ·  PMID 42609821</w:t>
      </w:r>
    </w:p>
    <w:p>
      <w:r>
        <w:t>Retrospektive Analyse der Optum-Datenbank (über 28 Millionen Versicherte, USA) zu Exazerbationen und Versorgungslast bei COPD-Patienten mit Typ-2-Entzündung (erhöhte Eosinophile) und Exazerbationshistorie trotz Dreifachtherapie.</w:t>
      </w:r>
    </w:p>
    <w:p>
      <w:r>
        <w:rPr>
          <w:b/>
        </w:rPr>
        <w:t xml:space="preserve">Ergebnis: </w:t>
      </w:r>
      <w:r>
        <w:t>Bei 13.840 Patienten (6.389 mit Exazerbationen und Eosinophile ≥150 Zellen/μL): durchschnittlich 1,58 COPD-Exazerbationen/Jahr vs. 0,52 in der Kontrollgruppe; um ~6.700 USD höhere jährliche Kosten; höhere Notaufnahme- und Hospitalisierungsraten trotz optimierter medikamentöser Therapie. Ungedeckter Versorgungsbedarf.</w:t>
      </w:r>
    </w:p>
    <w:p>
      <w:r>
        <w:rPr>
          <w:b/>
          <w:sz w:val="19"/>
        </w:rPr>
        <w:t xml:space="preserve">Übertragbarkeit: </w:t>
      </w:r>
      <w:r>
        <w:rPr>
          <w:sz w:val="19"/>
        </w:rPr>
        <w:t>USA-Daten; Effektivitätsbefund (Exazerbationslast trotz optimaler medikamentöser Versorgung) übertragbar auf Deutschland.</w:t>
      </w:r>
    </w:p>
    <w:p>
      <w:r>
        <w:rPr>
          <w:color w:val="5A7D3A"/>
          <w:sz w:val="18"/>
        </w:rPr>
        <w:t>https://pubmed.ncbi.nlm.nih.gov/42609821/</w:t>
      </w:r>
    </w:p>
    <w:p>
      <w:pPr>
        <w:pStyle w:val="Heading2"/>
      </w:pPr>
      <w:r>
        <w:t>Cluster-Analyse identifiziert sechs Subtypen hochgradig multimorbider Patienten für gezielte Interventionen im englischen Gesundheitssystem</w:t>
      </w:r>
    </w:p>
    <w:p>
      <w:r>
        <w:rPr>
          <w:i/>
          <w:color w:val="666666"/>
          <w:sz w:val="18"/>
        </w:rPr>
        <w:t>Wood RM et al.  ·  Health Care Manag Sci  ·  07.08.2026  ·  PMID 42566017</w:t>
      </w:r>
    </w:p>
    <w:p>
      <w:r>
        <w:t>Clusteranalyse von 19.520 Hochmorbidität-Patienten (top 3% von 1 Million Versicherten, &gt;1/5 der Kosten) in Bristol, um heterogene Subgruppen und entsprechende Versorgungsziele zu definieren.</w:t>
      </w:r>
    </w:p>
    <w:p>
      <w:r>
        <w:rPr>
          <w:b/>
        </w:rPr>
        <w:t xml:space="preserve">Ergebnis: </w:t>
      </w:r>
      <w:r>
        <w:t>Sechs Cluster identifiziert: Ältere ohne Demenz (n=1.243); Krebs (n=1.055); Jünger/komplex (n=2.199); Atemwege (n=4.743); Kardiovaskulär (n=6.140); Demenz (n=4.579). Jeder Cluster erhielt wertbasierte Versorgungsziele und spezifische klinische Managemententscheidungen. Heterogenität innerhalb der Hochmorbidität erfordert maßgeschneiderte Interventionen.</w:t>
      </w:r>
    </w:p>
    <w:p>
      <w:r>
        <w:rPr>
          <w:b/>
          <w:sz w:val="19"/>
        </w:rPr>
        <w:t xml:space="preserve">Übertragbarkeit: </w:t>
      </w:r>
      <w:r>
        <w:rPr>
          <w:sz w:val="19"/>
        </w:rPr>
        <w:t>Vereinigtes Königreich, NHS-Struktur, ähnliche Versorgungsmotivation.</w:t>
      </w:r>
    </w:p>
    <w:p>
      <w:r>
        <w:rPr>
          <w:color w:val="5A7D3A"/>
          <w:sz w:val="18"/>
        </w:rPr>
        <w:t>https://pubmed.ncbi.nlm.nih.gov/42566017/</w:t>
      </w:r>
    </w:p>
    <w:p>
      <w:pPr>
        <w:pStyle w:val="Heading2"/>
      </w:pPr>
      <w:r>
        <w:t>Capability Cards unterstützen personzentrierte Gespräche bei Mehrfacherkrankungen in spanischer Primärversorgung – validiert</w:t>
      </w:r>
    </w:p>
    <w:p>
      <w:r>
        <w:rPr>
          <w:i/>
          <w:color w:val="666666"/>
          <w:sz w:val="18"/>
        </w:rPr>
        <w:t>Llubes-Arrià L et al.  ·  Prim Health Care Res Dev  ·  06.08.2026  ·  PMID 42559972</w:t>
      </w:r>
    </w:p>
    <w:p>
      <w:r>
        <w:t>Methodische Validierungsstudie der spanischen Übersetzung und kulturellen Anpassung der Capability Cards als Werkzeug für Patienten mit Mehrfacherkrankung in spanischen Gemeinschaftspraxen.</w:t>
      </w:r>
    </w:p>
    <w:p>
      <w:r>
        <w:rPr>
          <w:b/>
        </w:rPr>
        <w:t xml:space="preserve">Ergebnis: </w:t>
      </w:r>
      <w:r>
        <w:t>Hohe inhaltsliche Validität in allen Gruppen (Content Validity Index: Experten 0,88; Fachkräfte 0,96; Zielpopulation 0,98); ausgezeichnete Usability (System Usability Scale). Capability Cards zeigten starke kulturelle Angemessenheit und Eignung für strukturierte, personzentrierte Gespräche zur Förderung von Empowerment und partizipatorischer Versorgung bei Mehrfacherkrankung.</w:t>
      </w:r>
    </w:p>
    <w:p>
      <w:r>
        <w:rPr>
          <w:b/>
          <w:sz w:val="19"/>
        </w:rPr>
        <w:t xml:space="preserve">Übertragbarkeit: </w:t>
      </w:r>
      <w:r>
        <w:rPr>
          <w:sz w:val="19"/>
        </w:rPr>
        <w:t>Spanien, ambulante Primärversorgung ähnlich Deutschland.</w:t>
      </w:r>
    </w:p>
    <w:p>
      <w:r>
        <w:rPr>
          <w:color w:val="5A7D3A"/>
          <w:sz w:val="18"/>
        </w:rPr>
        <w:t>https://pubmed.ncbi.nlm.nih.gov/42559972/</w:t>
      </w:r>
    </w:p>
    <w:p>
      <w:pPr>
        <w:pStyle w:val="Heading1"/>
      </w:pPr>
      <w:r>
        <w:t>Aufgenommen am 19.08.2026</w:t>
      </w:r>
    </w:p>
    <w:p>
      <w:pPr>
        <w:pStyle w:val="Heading2"/>
      </w:pPr>
      <w:r>
        <w:t>Hybrid-Versorgung für COPD-Patienten mit hohem Risiko: Pflegeleitung, Personalisierung und digitale Unterstützung zeigen Machbarkeit</w:t>
      </w:r>
    </w:p>
    <w:p>
      <w:r>
        <w:rPr>
          <w:i/>
          <w:color w:val="666666"/>
          <w:sz w:val="18"/>
        </w:rPr>
        <w:t>Gómez-López A et al.  ·  J Med Internet Res  ·  18.08.2026  ·  PMID 42612086</w:t>
      </w:r>
    </w:p>
    <w:p>
      <w:r>
        <w:t>Co-Design-Studie in Barcelona mit vier PDSA-Zyklen zur Operationalisierung einer Hybrid-Care-Intervention (Pflege vor Ort, Personalisierung, digitale Unterstützung) für Patienten mit COPD, Asthma und Bronchiektasen bei exazerbierter und stabiler Erkrankung.</w:t>
      </w:r>
    </w:p>
    <w:p>
      <w:r>
        <w:rPr>
          <w:b/>
        </w:rPr>
        <w:t xml:space="preserve">Ergebnis: </w:t>
      </w:r>
      <w:r>
        <w:t>Am Ende PDSA-3 (August 2025) wurde Operationalisierung dreier Kernkomponenten erreicht: (1) Nurse-Led-Versorgung vor Ort, (2) Personalisierung der Intervention, (3) fortgeschrittene digitale Unterstützung. Konsens unter allen Stakeholdern zu Anwendbarkeit im klinisch stabilen und exazerbiertem Zustand sowie zu kurzfristiger Implementierungs- und nachhaltiger Übernahmestrategie.</w:t>
      </w:r>
    </w:p>
    <w:p>
      <w:r>
        <w:rPr>
          <w:b/>
          <w:sz w:val="19"/>
        </w:rPr>
        <w:t xml:space="preserve">Übertragbarkeit: </w:t>
      </w:r>
      <w:r>
        <w:rPr>
          <w:sz w:val="19"/>
        </w:rPr>
        <w:t>Spanien, katalanisches Gesundheitssystem – Erkenntnisse zur Integration digitaler Tools in koordinierte Versorgung relevant</w:t>
      </w:r>
    </w:p>
    <w:p>
      <w:r>
        <w:rPr>
          <w:color w:val="5A7D3A"/>
          <w:sz w:val="18"/>
        </w:rPr>
        <w:t>https://pubmed.ncbi.nlm.nih.gov/42612086/</w:t>
      </w:r>
    </w:p>
    <w:p>
      <w:pPr>
        <w:pStyle w:val="Heading2"/>
      </w:pPr>
      <w:r>
        <w:t>Patienten mit eosinophiler COPD und Exazerbationen haben hohes Hospitalisierungs- und Kostenrisiko trotz Dreifachtherapie</w:t>
      </w:r>
    </w:p>
    <w:p>
      <w:r>
        <w:rPr>
          <w:i/>
          <w:color w:val="666666"/>
          <w:sz w:val="18"/>
        </w:rPr>
        <w:t>Di Giorgi N et al.  ·  Int J Chron Obstruct Pulmon Dis  ·  13.08.2026  ·  PMID 42609817</w:t>
      </w:r>
    </w:p>
    <w:p>
      <w:r>
        <w:t>Reale-Welt-Datenanalyse von 3.279 COPD-Patienten in einem italienischen Tertiärkrankenhaus zur Identifikation von Patienten mit erhöhten Eosinophilen, die für zielgerichtete biologische Therapien (Dupilumab) infrage kommen.</w:t>
      </w:r>
    </w:p>
    <w:p>
      <w:r>
        <w:rPr>
          <w:b/>
        </w:rPr>
        <w:t xml:space="preserve">Ergebnis: </w:t>
      </w:r>
      <w:r>
        <w:t>Unter 224 Patienten mit Exazerbationen unter Dreifachtherapie hatten 87 (38,8 %) mindestens eine Eosinophilenzahl ≥300 Zellen/µL (Median-Messwerte 210 [IQR 130–335] Zellen/µL). Patienten mit EOS ≥300 gegenüber &lt;300: höhere Krankenhausaufnahmen (23,0 % vs. 12,2 %; p=0,005), größere Komorbiditätslast (71,3 % kardiovaskulär, 59,8 % metabolisch), numerisch höhere Gesamtsterblichkeit (19,5 % vs. 13,0 %, nicht signifikant), mehr jährliche Kontakte (4,5 vs. 3,0; p&lt;0,001).</w:t>
      </w:r>
    </w:p>
    <w:p>
      <w:r>
        <w:rPr>
          <w:b/>
          <w:sz w:val="19"/>
        </w:rPr>
        <w:t xml:space="preserve">Übertragbarkeit: </w:t>
      </w:r>
      <w:r>
        <w:rPr>
          <w:sz w:val="19"/>
        </w:rPr>
        <w:t>Italien, vergleichbares europäisches Krankenversicherungssystem; Eosinophil-Monitoring zur Therapiesteuerung</w:t>
      </w:r>
    </w:p>
    <w:p>
      <w:r>
        <w:rPr>
          <w:color w:val="5A7D3A"/>
          <w:sz w:val="18"/>
        </w:rPr>
        <w:t>https://pubmed.ncbi.nlm.nih.gov/42609817/</w:t>
      </w:r>
    </w:p>
    <w:p>
      <w:pPr>
        <w:pStyle w:val="Heading2"/>
      </w:pPr>
      <w:r>
        <w:t>Strukturierte Transitionsversorgung erhöht Übergangsbereitschaft junger Erwachsener mit chronischen Erkrankungen (COCCOS-Protokoll)</w:t>
      </w:r>
    </w:p>
    <w:p>
      <w:r>
        <w:rPr>
          <w:i/>
          <w:color w:val="666666"/>
          <w:sz w:val="18"/>
        </w:rPr>
        <w:t>Van Wilder L et al.  ·  PLoS One  ·  17.08.2026  ·  PMID 42607051</w:t>
      </w:r>
    </w:p>
    <w:p>
      <w:r>
        <w:t>Protokoll einer quasi-experimentellen Studie zur Evaluation eines co-gestalteten Übergangsprogramms von Kindermedizin zu Erwachsenenmedizin bei Patienten mit Typ-1-Diabetes, Asthma oder Adipositas in Belgien.</w:t>
      </w:r>
    </w:p>
    <w:p>
      <w:r>
        <w:rPr>
          <w:b/>
        </w:rPr>
        <w:t xml:space="preserve">Ergebnis: </w:t>
      </w:r>
      <w:r>
        <w:t>Ziel ist Test von vier strukturierten Konsultationen über 13–16 Monate. Primäres Outcome: Transition Readiness Assessment Questionnaire. Sekundäroutcomes: Patient Empowerment, Therapietreue, gesundheitsbezogene Lebensqualität, psychische Gesundheit. Kosteneffektivität aus Payer-Perspektive mit Quality-Adjusted Life Years gemessen. Mixed-Methods-Prozessevaluationen geplant. Im Stadium PDSA-3 (August 2025); Ergebnisse erwartet 2027.</w:t>
      </w:r>
    </w:p>
    <w:p>
      <w:r>
        <w:rPr>
          <w:b/>
          <w:sz w:val="19"/>
        </w:rPr>
        <w:t xml:space="preserve">Übertragbarkeit: </w:t>
      </w:r>
      <w:r>
        <w:rPr>
          <w:sz w:val="19"/>
        </w:rPr>
        <w:t>Belgien, ähnliche Versicherungssysteme und Versorgungspfade wie deutschsprachiger Raum</w:t>
      </w:r>
    </w:p>
    <w:p>
      <w:r>
        <w:rPr>
          <w:color w:val="5A7D3A"/>
          <w:sz w:val="18"/>
        </w:rPr>
        <w:t>https://pubmed.ncbi.nlm.nih.gov/42607051/</w:t>
      </w:r>
    </w:p>
    <w:p>
      <w:pPr>
        <w:pStyle w:val="Heading2"/>
      </w:pPr>
      <w:r>
        <w:t>Mehrfacherkrankung im Alter erhöht Gesamt-Versorgungsausgaben um 11,6 %; sozioökonomische Ungleichheiten verstärken den Effekt</w:t>
      </w:r>
    </w:p>
    <w:p>
      <w:r>
        <w:rPr>
          <w:i/>
          <w:color w:val="666666"/>
          <w:sz w:val="18"/>
        </w:rPr>
        <w:t>Doheny M et al.  ·  BMJ Open  ·  14.08.2026  ·  PMID 42601104</w:t>
      </w:r>
    </w:p>
    <w:p>
      <w:r>
        <w:t>Querschnittsuntersuchung von 371.583 Personen ≥65 Jahre in Region Stockholm zur Prävalenz und Kostenfolgen von Mehrfacherkrankung.</w:t>
      </w:r>
    </w:p>
    <w:p>
      <w:r>
        <w:rPr>
          <w:b/>
        </w:rPr>
        <w:t xml:space="preserve">Ergebnis: </w:t>
      </w:r>
      <w:r>
        <w:t>Mehrfacherkrankung bei 62,6 % der älteren Erwachsenen. Mit ≥4 Erkrankungen stiegen die Durchschnittsausgaben auf 143.063 SEK (gegenüber 34.346 SEK ohne Erkrankung). Multimorbidität assoziiert mit 11,6 % höheren Gesamtausgaben (Cost Ratio 1,116, KI 1,114–1,118). Tiefste Einkommensgruppe zeigte 3,8 % höhere Ausgaben als höchste Gruppe. Soziale Pflegeausgaben überstiegen ab Alter 80 Jahren die Gesundheitsausgaben.</w:t>
      </w:r>
    </w:p>
    <w:p>
      <w:r>
        <w:rPr>
          <w:b/>
          <w:sz w:val="19"/>
        </w:rPr>
        <w:t xml:space="preserve">Übertragbarkeit: </w:t>
      </w:r>
      <w:r>
        <w:rPr>
          <w:sz w:val="19"/>
        </w:rPr>
        <w:t>Schweden, vergleichbares öffentliches Versicherungssystem und Dokumentation wie Deutschland</w:t>
      </w:r>
    </w:p>
    <w:p>
      <w:r>
        <w:rPr>
          <w:color w:val="5A7D3A"/>
          <w:sz w:val="18"/>
        </w:rPr>
        <w:t>https://pubmed.ncbi.nlm.nih.gov/42601104/</w:t>
      </w:r>
    </w:p>
    <w:p>
      <w:pPr>
        <w:pStyle w:val="Heading2"/>
      </w:pPr>
      <w:r>
        <w:t>Pertussis-Hospitalisierungen bei chronischen Erkrankungen: Hochrisiko-Gruppen und Präventionsbedarf in Frankreich</w:t>
      </w:r>
    </w:p>
    <w:p>
      <w:r>
        <w:rPr>
          <w:i/>
          <w:color w:val="666666"/>
          <w:sz w:val="18"/>
        </w:rPr>
        <w:t>Vargas-Zambrano JC et al.  ·  Euro Surveill  ·  Aug. 2026  ·  PMID 42596896</w:t>
      </w:r>
    </w:p>
    <w:p>
      <w:r>
        <w:t>Retrospektive Analyse von 10.893 Patienten mit Keuchhusten-Hospitalisierungen 2008–2020 in Frankreich nach Präsenz chronischer Grunderkrankungen (Asthma, COPD, Diabetes, Immunsuppression).</w:t>
      </w:r>
    </w:p>
    <w:p>
      <w:r>
        <w:rPr>
          <w:b/>
        </w:rPr>
        <w:t xml:space="preserve">Ergebnis: </w:t>
      </w:r>
      <w:r>
        <w:t>Bei Kindern/Jugendlichen (n=7.212): 17,5 % mit Asthma, 0,9 % mit Immunsuppression. Höchste kumulierte Inzidenzrate bei Immunsuppression (adjustiert CIR 3,6; KI 2,8–4,6). Bei Erwachsenen (n=3.681): 62,4 % mit Asthma/COPD, 16,1 % immunsupprimiert, 12,3 % mit Diabetes. Höchste CIR bei Asthma/COPD (18,6; KI 17,4–19,9). Medianhosp.-kosten für Immunsupprimierte 4.401 EUR. Keine signifikanten Änderungen der Ressourcennutzung vor/nach Hospitalisierung bei Erwachsenen.</w:t>
      </w:r>
    </w:p>
    <w:p>
      <w:r>
        <w:rPr>
          <w:b/>
          <w:sz w:val="19"/>
        </w:rPr>
        <w:t xml:space="preserve">Übertragbarkeit: </w:t>
      </w:r>
      <w:r>
        <w:rPr>
          <w:sz w:val="19"/>
        </w:rPr>
        <w:t>Frankreich, französisches Gesundheitssystem und Krankenversicherungsdaten wie Deutschland</w:t>
      </w:r>
    </w:p>
    <w:p>
      <w:r>
        <w:rPr>
          <w:color w:val="5A7D3A"/>
          <w:sz w:val="18"/>
        </w:rPr>
        <w:t>https://pubmed.ncbi.nlm.nih.gov/42596896/</w:t>
      </w:r>
    </w:p>
    <w:p>
      <w:pPr>
        <w:pStyle w:val="Heading2"/>
      </w:pPr>
      <w:r>
        <w:t>Verzögerte Palliativversorgung in Primärversorgung treibt vermeidbare Notfallabteilungsbesuche bei älteren Menschen mit Mehrfacherkrankung</w:t>
      </w:r>
    </w:p>
    <w:p>
      <w:r>
        <w:rPr>
          <w:i/>
          <w:color w:val="666666"/>
          <w:sz w:val="18"/>
        </w:rPr>
        <w:t>Bring H et al.  ·  Scand J Prim Health Care  ·  12.08.2026  ·  PMID 42583708</w:t>
      </w:r>
    </w:p>
    <w:p>
      <w:r>
        <w:t>Qualitative Befragung von 100 Fachleuten (Ärzte, Pflegekräfte) über Gründe für Notfallabteilungsbesuche bei älteren Patienten mit Mehrfacherkrankung und Palliativbedarf in Stockholm.</w:t>
      </w:r>
    </w:p>
    <w:p>
      <w:r>
        <w:rPr>
          <w:b/>
        </w:rPr>
        <w:t xml:space="preserve">Ergebnis: </w:t>
      </w:r>
      <w:r>
        <w:t>Übergeordnetes Thema: ‚Verzögerte, fragmentierte Palliativversorgung trägt zu ED-Besuchen bei'. Zwei Kategorien identifiziert: (1) Palliativbeschlüsse in Primärversorgung (Erkennen von Bedarf, Initiierung, Einbeziehung von Patienten/Familien); (2) Versorgung zu Hause (Planung, Symptommanagement, Informationstransfer). Fachleute berichteten, dass fehlende Vorlaufplanung zu krisenhaften ED-Besuchen führt, die Patientenwünschen widersprechen.</w:t>
      </w:r>
    </w:p>
    <w:p>
      <w:r>
        <w:rPr>
          <w:b/>
          <w:sz w:val="19"/>
        </w:rPr>
        <w:t xml:space="preserve">Übertragbarkeit: </w:t>
      </w:r>
      <w:r>
        <w:rPr>
          <w:sz w:val="19"/>
        </w:rPr>
        <w:t>Schweden, vergleichbare Primärversorgungsstruktur und Palliativstandards mit Deutschland/DACH</w:t>
      </w:r>
    </w:p>
    <w:p>
      <w:r>
        <w:rPr>
          <w:color w:val="5A7D3A"/>
          <w:sz w:val="18"/>
        </w:rPr>
        <w:t>https://pubmed.ncbi.nlm.nih.gov/42583708/</w:t>
      </w:r>
    </w:p>
    <w:p>
      <w:pPr>
        <w:pStyle w:val="Heading2"/>
      </w:pPr>
      <w:r>
        <w:t>Polypharmazie konzentriert sich auf ältere, multimorbide und sozioökonomisch benachteiligte Personen – Versorgungsmuster in Spanien</w:t>
      </w:r>
    </w:p>
    <w:p>
      <w:r>
        <w:rPr>
          <w:i/>
          <w:color w:val="666666"/>
          <w:sz w:val="18"/>
        </w:rPr>
        <w:t>Aparicio-Rodriguez G et al.  ·  Front Public Health  ·  16.07.2026  ·  PMID 42535037</w:t>
      </w:r>
    </w:p>
    <w:p>
      <w:r>
        <w:t>Querschnittsstudie von 33.534 Personen mit Polypharmazie (≥5 verschiedene ATC4-Medikamentengruppen) in La Rioja, Spanien, zu Verteilung nach Alter, Geschlecht und sozioökonomischem Status.</w:t>
      </w:r>
    </w:p>
    <w:p>
      <w:r>
        <w:rPr>
          <w:b/>
        </w:rPr>
        <w:t xml:space="preserve">Ergebnis: </w:t>
      </w:r>
      <w:r>
        <w:t>Mittlere Medikamentenbelastung 7,07 Gruppen (SD 2,17); 58,4 % erhielten 6–9 Gruppen. 71,8 % gehörten zur unteren Einkommensgruppe, die höchsten Belastungen (≥10 Gruppen) zeigten 14,9 % der Armen gegen 8,0–9,2 % der mittleren und höheren Gruppen. Chronische Grunderkrankungen (Herzinsuffizienz, Nierenkrankheit, Gefäßerkrankung) stark assoziiert mit höherer Medikamentenbelastung.</w:t>
      </w:r>
    </w:p>
    <w:p>
      <w:r>
        <w:rPr>
          <w:b/>
          <w:sz w:val="19"/>
        </w:rPr>
        <w:t xml:space="preserve">Übertragbarkeit: </w:t>
      </w:r>
      <w:r>
        <w:rPr>
          <w:sz w:val="19"/>
        </w:rPr>
        <w:t>Spanien, deutschsprachiger Raum – Datenquellen aus öffentlich finanzierter Versorgung</w:t>
      </w:r>
    </w:p>
    <w:p>
      <w:r>
        <w:rPr>
          <w:color w:val="5A7D3A"/>
          <w:sz w:val="18"/>
        </w:rPr>
        <w:t>https://pubmed.ncbi.nlm.nih.gov/42535037/</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Nicht uebertragbare Krankheiten</dc:title>
  <dc:subject/>
  <dc:creator>Monitor Versorgungsforschung</dc:creator>
  <cp:keywords/>
  <dc:description>generated by python-docx</dc:description>
  <cp:lastModifiedBy/>
  <cp:revision>1</cp:revision>
  <dcterms:created xsi:type="dcterms:W3CDTF">2026-09-05T06:00:00Z</dcterms:created>
  <dcterms:modified xsi:type="dcterms:W3CDTF">2026-09-05T06:00:00Z</dcterms:modified>
  <cp:category/>
</cp:coreProperties>
</file>