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24.10.2026  |  377 Studien  |  ncd.m-vf.de</w:t>
      </w:r>
    </w:p>
    <w:p>
      <w:pPr>
        <w:pStyle w:val="Heading1"/>
      </w:pPr>
      <w:r>
        <w:t>Aufgenommen am 24.10.2026</w:t>
      </w:r>
    </w:p>
    <w:p>
      <w:pPr>
        <w:pStyle w:val="Heading2"/>
      </w:pPr>
      <w:r>
        <w:t>Hypertonie führt strukturiert zu Herzkrankheit und Schlaganfall, Diabetes verbindet kardiovaskuläre und Multiorgan-Wege</w:t>
      </w:r>
    </w:p>
    <w:p>
      <w:r>
        <w:rPr>
          <w:i/>
          <w:color w:val="666666"/>
          <w:sz w:val="18"/>
        </w:rPr>
        <w:t>Wang Y et al.  ·  JMIR Public Health Surveill  ·  23.10.2026  ·  PMID 42912827</w:t>
      </w:r>
    </w:p>
    <w:p>
      <w:r>
        <w:t>Retrospektive Kohortenanalyse von 34.099 stationären Patienten mit Hypertonie in ländlichen Gegenden Henans zu zeitlichen Mustern der Mehrfacherkrankungsentwicklung mittels Netzwerkanalyse.</w:t>
      </w:r>
    </w:p>
    <w:p>
      <w:r>
        <w:rPr>
          <w:b/>
        </w:rPr>
        <w:t xml:space="preserve">Ergebnis: </w:t>
      </w:r>
      <w:r>
        <w:t>Zeitliches Komorbiditätsnetzwerk zeigte dichtes Zentrum aus Hypertonie, atherosklerotischer Herzkrankheit und zerebralem Infarkt; Typ-2-Diabetes in Brückenfunktion zwischen kardiovaskulären und Multisystem-Clustern. Geschlechtsspezifische Unterschiede: frühere Koronarbeteiligung bei Frauen, direktere Schlaganfall-Progression bei Männern.</w:t>
      </w:r>
    </w:p>
    <w:p>
      <w:r>
        <w:rPr>
          <w:b/>
          <w:sz w:val="19"/>
        </w:rPr>
        <w:t xml:space="preserve">Übertragbarkeit: </w:t>
      </w:r>
      <w:r>
        <w:rPr>
          <w:sz w:val="19"/>
        </w:rPr>
        <w:t>China/ländlich, EHR-Daten 2019–2023, zeigt strukturierte Krankheitsprogression jenseits von Gesundheitssystemen.</w:t>
      </w:r>
    </w:p>
    <w:p>
      <w:r>
        <w:rPr>
          <w:color w:val="5A7D3A"/>
          <w:sz w:val="18"/>
        </w:rPr>
        <w:t>https://pubmed.ncbi.nlm.nih.gov/42912827/</w:t>
      </w:r>
    </w:p>
    <w:p>
      <w:pPr>
        <w:pStyle w:val="Heading2"/>
      </w:pPr>
      <w:r>
        <w:t>Zu niedrige Proteinzufuhr erhöht Nierenversagen bei CKD um 42 Prozent</w:t>
      </w:r>
    </w:p>
    <w:p>
      <w:r>
        <w:rPr>
          <w:i/>
          <w:color w:val="666666"/>
          <w:sz w:val="18"/>
        </w:rPr>
        <w:t>Suh SH et al.  ·  JAMA Netw Open  ·  01.10.2026  ·  PMID 42911593</w:t>
      </w:r>
    </w:p>
    <w:p>
      <w:r>
        <w:t>Prospektive Kohortenstudie mit 1.861 CKD-Patienten (Stad. 1–5) aus Südkorea zur Assoziation zwischen täglicher Proteinaufnahme und Nierenversagen oder Sterblichkeit.</w:t>
      </w:r>
    </w:p>
    <w:p>
      <w:r>
        <w:rPr>
          <w:b/>
        </w:rPr>
        <w:t xml:space="preserve">Ergebnis: </w:t>
      </w:r>
      <w:r>
        <w:t>Patienten mit Proteinaufnahme &lt;0,6 g/kg/Tag (vs. &gt;1,2 g/kg/Tag) hatten erhöhtes Risiko für Nierenversagen-Ersatztherapie (sHR 1,42, 95% KI 1,09–1,85) und All-Cause-Mortalität (sHR 2,17, 95% KI 1,17–4,03). Rigide Proteinrestriktion war nicht mit Nephroprotektionen assoziiert.</w:t>
      </w:r>
    </w:p>
    <w:p>
      <w:r>
        <w:rPr>
          <w:b/>
          <w:sz w:val="19"/>
        </w:rPr>
        <w:t xml:space="preserve">Übertragbarkeit: </w:t>
      </w:r>
      <w:r>
        <w:rPr>
          <w:sz w:val="19"/>
        </w:rPr>
        <w:t>Südkorea, vergleichbares Sozialversicherungssystem, Befund zu Ernährung unabhängig vom System.</w:t>
      </w:r>
    </w:p>
    <w:p>
      <w:r>
        <w:rPr>
          <w:color w:val="5A7D3A"/>
          <w:sz w:val="18"/>
        </w:rPr>
        <w:t>https://pubmed.ncbi.nlm.nih.gov/42911593/</w:t>
      </w:r>
    </w:p>
    <w:p>
      <w:pPr>
        <w:pStyle w:val="Heading2"/>
      </w:pPr>
      <w:r>
        <w:t>Soziale Unterstützung und emotionale Symptome verbessern Selbstmanagement bei Hepatitis-B-Patienten um 4,8 und 1,9 Punkte</w:t>
      </w:r>
    </w:p>
    <w:p>
      <w:r>
        <w:rPr>
          <w:i/>
          <w:color w:val="666666"/>
          <w:sz w:val="18"/>
        </w:rPr>
        <w:t>Yi WT et al.  ·  Front Public Health  ·  07.10.2026  ·  PMID 42908953</w:t>
      </w:r>
    </w:p>
    <w:p>
      <w:r>
        <w:t>Multizentrische Querschnittstudie mit 583 Hepatitis-B-Patienten in China zur unabhängigen Assoziation von sozialer Unterstützung und krankheitsspezifischen Lebensqualitätsdomänen mit Selbstmanagement.</w:t>
      </w:r>
    </w:p>
    <w:p>
      <w:r>
        <w:rPr>
          <w:b/>
        </w:rPr>
        <w:t xml:space="preserve">Ergebnis: </w:t>
      </w:r>
      <w:r>
        <w:t>Mittlerer Selbstmanagement-Score 85,03±19,38. Soziale Unterstützung (B=0,577, 95% KI 0,416–0,739), emotionale Symptomdomäne (B=0,170, 95% KI 0,039–0,301) und weniger soziale Stigmatisierung (B=0,235, 95% KI 0,082–0,388) waren unabhängig positiv assoziiert mit Selbstmanagement. Gesamtmodell erklärte 37,9% der Varianz.</w:t>
      </w:r>
    </w:p>
    <w:p>
      <w:r>
        <w:rPr>
          <w:b/>
          <w:sz w:val="19"/>
        </w:rPr>
        <w:t xml:space="preserve">Übertragbarkeit: </w:t>
      </w:r>
      <w:r>
        <w:rPr>
          <w:sz w:val="19"/>
        </w:rPr>
        <w:t>China, Mehrfacherkrankung im Kontext chronischer Virushepatitis, Versorgungsprinzipien für andere Länder adaptierbar.</w:t>
      </w:r>
    </w:p>
    <w:p>
      <w:r>
        <w:rPr>
          <w:color w:val="5A7D3A"/>
          <w:sz w:val="18"/>
        </w:rPr>
        <w:t>https://pubmed.ncbi.nlm.nih.gov/42908953/</w:t>
      </w:r>
    </w:p>
    <w:p>
      <w:pPr>
        <w:pStyle w:val="Heading2"/>
      </w:pPr>
      <w:r>
        <w:t>Frühe Dreifachtherapie bei COPD reduzierte Exazerbationen stärker als späte Eskalation</w:t>
      </w:r>
    </w:p>
    <w:p>
      <w:r>
        <w:rPr>
          <w:i/>
          <w:color w:val="666666"/>
          <w:sz w:val="18"/>
        </w:rPr>
        <w:t>Rogliani P et al.  ·  Respir Med  ·  05.10.2026  ·  PMID 42833477</w:t>
      </w:r>
    </w:p>
    <w:p>
      <w:r>
        <w:t>Pooled-Analyse von sechs Real-World-Studien zur Frage, ob frühe versus späte Eskalation zur Tripletherapie bei COPD-Patienten unterschiedliche Ergebnisse bringt.</w:t>
      </w:r>
    </w:p>
    <w:p>
      <w:r>
        <w:rPr>
          <w:b/>
        </w:rPr>
        <w:t xml:space="preserve">Ergebnis: </w:t>
      </w:r>
      <w:r>
        <w:t>Frühe Eskalation (≤48 Monate nach Diagnose) führte zu größeren Reduktionen der mittleren Exazerbationen pro Jahr und höheren Raten von Erkrankungsstabilität und -kontrolle bei 12 Monaten im Vergleich zu späterer Eskalation; der Unterschied war bei 3 und 6 Monaten nicht signifikant.</w:t>
      </w:r>
    </w:p>
    <w:p>
      <w:r>
        <w:rPr>
          <w:b/>
          <w:sz w:val="19"/>
        </w:rPr>
        <w:t xml:space="preserve">Übertragbarkeit: </w:t>
      </w:r>
      <w:r>
        <w:rPr>
          <w:sz w:val="19"/>
        </w:rPr>
        <w:t>Südeuropa und Belgien, Real-World-Daten, vergleichbare ambulante Versorgungsstrukturen.</w:t>
      </w:r>
    </w:p>
    <w:p>
      <w:r>
        <w:rPr>
          <w:color w:val="5A7D3A"/>
          <w:sz w:val="18"/>
        </w:rPr>
        <w:t>https://pubmed.ncbi.nlm.nih.gov/42833477/</w:t>
      </w:r>
    </w:p>
    <w:p>
      <w:pPr>
        <w:pStyle w:val="Heading2"/>
      </w:pPr>
      <w:r>
        <w:t>Mehrfacherkrankung erhöht Sarkopenie-Risiko um 85 Prozent bei Frauen und 102 Prozent bei Männern</w:t>
      </w:r>
    </w:p>
    <w:p>
      <w:r>
        <w:rPr>
          <w:i/>
          <w:color w:val="666666"/>
          <w:sz w:val="18"/>
        </w:rPr>
        <w:t>Guerrero-Wyss MT et al.  ·  Exp Gerontol  ·  20.09.2026  ·  PMID 42764080</w:t>
      </w:r>
    </w:p>
    <w:p>
      <w:r>
        <w:t>Prospektive Kohortenstudie mit 47.417 UK-Biobank-Teilnehmern ohne Sarkopenie zu Zusammenhang zwischen Mehrfacherkrankung und neu aufgetretener Sarkopenie.</w:t>
      </w:r>
    </w:p>
    <w:p>
      <w:r>
        <w:rPr>
          <w:b/>
        </w:rPr>
        <w:t xml:space="preserve">Ergebnis: </w:t>
      </w:r>
      <w:r>
        <w:t>Während 11,5 Jahren Follow-up entwickelten 1.065 Teilnehmer Sarkopenie. Mehrfacherkrankung war mit höherem Sarkopenie-Risiko assoziiert (HR 1,85 bei Frauen, 95% KI 1,52–2,24; HR 2,02 bei Männern 95% KI 1,57–2,60). Standardisiertes 10-Jahres-Risiko stieg von 1,73% auf 3,15% bei Frauen und von 0,88% auf 1,76% bei Männern.</w:t>
      </w:r>
    </w:p>
    <w:p>
      <w:r>
        <w:rPr>
          <w:b/>
          <w:sz w:val="19"/>
        </w:rPr>
        <w:t xml:space="preserve">Übertragbarkeit: </w:t>
      </w:r>
      <w:r>
        <w:rPr>
          <w:sz w:val="19"/>
        </w:rPr>
        <w:t>Großbritannien, vergleichbare Primärversorgung, gute Datenqualität.</w:t>
      </w:r>
    </w:p>
    <w:p>
      <w:r>
        <w:rPr>
          <w:color w:val="5A7D3A"/>
          <w:sz w:val="18"/>
        </w:rPr>
        <w:t>https://pubmed.ncbi.nlm.nih.gov/42764080/</w:t>
      </w:r>
    </w:p>
    <w:p>
      <w:pPr>
        <w:pStyle w:val="Heading2"/>
      </w:pPr>
      <w:r>
        <w:t>Rauchen bei chronischen Atemwegserkrankungen erhöht Sterblichkeit um 34–70 Prozent</w:t>
      </w:r>
    </w:p>
    <w:p>
      <w:r>
        <w:rPr>
          <w:i/>
          <w:color w:val="666666"/>
          <w:sz w:val="18"/>
        </w:rPr>
        <w:t>Fernández-Fernández S et al.  ·  Respir Med  ·  07.09.2026  ·  PMID 42705490</w:t>
      </w:r>
    </w:p>
    <w:p>
      <w:r>
        <w:t>Prospektive Bevölkerungsstudie in Spanien mit 65.990 Personen ab 15 Jahren zu Faktoren für fortgesetztes Rauchen bei Asthma oder COPD und dessen Auswirkungen auf die Mortalität.</w:t>
      </w:r>
    </w:p>
    <w:p>
      <w:r>
        <w:rPr>
          <w:b/>
        </w:rPr>
        <w:t xml:space="preserve">Ergebnis: </w:t>
      </w:r>
      <w:r>
        <w:t>Prävalenz des aktuellen Rauchens 21,3% bei Asthma und 21,8% bei COPD. Fortgesetztes Rauchen war mit höherer Sterblichkeit assoziiert (RR 1,70 bei Asthma, 95% KI 1,16–2,51; RR 1,34 bei COPD 95% KI 1,07–1,67). Jüngere, weniger gebildete und bewegungslose Personen rauchten eher weiter.</w:t>
      </w:r>
    </w:p>
    <w:p>
      <w:r>
        <w:rPr>
          <w:b/>
          <w:sz w:val="19"/>
        </w:rPr>
        <w:t xml:space="preserve">Übertragbarkeit: </w:t>
      </w:r>
      <w:r>
        <w:rPr>
          <w:sz w:val="19"/>
        </w:rPr>
        <w:t>Spanien, nationale Gesundheitserhebungen 2011–2017, deutsches Präventionssystem vergleichbar.</w:t>
      </w:r>
    </w:p>
    <w:p>
      <w:r>
        <w:rPr>
          <w:color w:val="5A7D3A"/>
          <w:sz w:val="18"/>
        </w:rPr>
        <w:t>https://pubmed.ncbi.nlm.nih.gov/42705490/</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