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26.08.2026  |  2 Studien  |  ncd.m-vf.de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Geschlechtsspezifische Trajectories bei Typ-2-Diabetes: Psychische Erkrankungen bei Frauen häufiger</w:t>
      </w:r>
    </w:p>
    <w:p>
      <w:r>
        <w:rPr>
          <w:i/>
          <w:color w:val="666666"/>
          <w:sz w:val="18"/>
        </w:rPr>
        <w:t>Eto F et al.  ·  PLoS Med  ·  25.08.2026  ·  PMID 42640878</w:t>
      </w:r>
    </w:p>
    <w:p>
      <w:r>
        <w:t>Kohortenstudie mit 28.720 Personen in Großbritannien untersucht unterschiedliche Krankheitsverlaufsmuster nach Typ-2-Diabetes-Diagnose, unterschieden nach Geschlecht.</w:t>
      </w:r>
    </w:p>
    <w:p>
      <w:r>
        <w:rPr>
          <w:b/>
        </w:rPr>
        <w:t xml:space="preserve">Ergebnis: </w:t>
      </w:r>
      <w:r>
        <w:t>Bei Frauen traten psychische Erkrankungen post-Diabetes signifikant häufiger auf als bei Männern (8,1% vs. 5,3%), während Männer höhere Raten für Herz-Kreislauf- und Nierenerkrankungen zeigten (8,4% vs. 5,3%). Beide Geschlechter mit kombiniertem Diabetes und psychischer Erkrankung erlebten vorzeitige Sterblichkeit.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UK-Register-Daten, vergleichbar mit deutschen Disease-Management-Strukturen zur geschlechtsspezifischen Therapieplanung.</w:t>
      </w:r>
    </w:p>
    <w:p>
      <w:r>
        <w:rPr>
          <w:color w:val="5A7D3A"/>
          <w:sz w:val="18"/>
        </w:rPr>
        <w:t>https://pubmed.ncbi.nlm.nih.gov/42640878/</w:t>
      </w:r>
    </w:p>
    <w:p>
      <w:pPr>
        <w:pStyle w:val="Heading2"/>
      </w:pPr>
      <w:r>
        <w:t>Post-COVID-Endotheldysfunktion verschärft sich bei Patienten mit ME/CFS-Kriterien: Retinale Gefäßanalyse zeigt Arteriolenkatheteropathie</w:t>
      </w:r>
    </w:p>
    <w:p>
      <w:r>
        <w:rPr>
          <w:i/>
          <w:color w:val="666666"/>
          <w:sz w:val="18"/>
        </w:rPr>
        <w:t>Wallraven T et al.  ·  BMC Med  ·  19.08.2026  ·  PMID 42625188</w:t>
      </w:r>
    </w:p>
    <w:p>
      <w:r>
        <w:t>Prospektive Beobachtungsstudie mit 300 Teilnehmern (96 nie infiziert, 102 genesen, 102 mit Post-COVID-Syndrom, davon 62 mit ME/CFS-Kriterien) untersucht Mikrozirkulation mittels retinaler Gefäßanalyse.</w:t>
      </w:r>
    </w:p>
    <w:p>
      <w:r>
        <w:rPr>
          <w:b/>
        </w:rPr>
        <w:t xml:space="preserve">Ergebnis: </w:t>
      </w:r>
      <w:r>
        <w:t>Patienten mit Post-COVID zeigten reduzierte Venendilation (3,7% ± 2,2 vs. 4,8% ± 3,0, p=0,006), engere retinale Arteriolen (CRAE: 178,3 ± 15,5 vs. 186,1 ± 15,7 μm, p=0,001) und niedrigere Arteriol-Venol-Verhältnisse als Genesene (0,83 ± 0,06 vs. 0,86 ± 0,07, p&lt;0,001). Patienten mit ME/CFS-Kriterien zeigten stärkste Veränderungen (AUC 0,79).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(Deutschland, Schweiz); relevanter für Versorgungsfragen zu Post-COVID-Rehabilitationsbedarfen.</w:t>
      </w:r>
    </w:p>
    <w:p>
      <w:r>
        <w:rPr>
          <w:color w:val="5A7D3A"/>
          <w:sz w:val="18"/>
        </w:rPr>
        <w:t>https://pubmed.ncbi.nlm.nih.gov/42625188/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2026-08-26T06:00:00Z</dcterms:created>
  <dcterms:modified xsi:type="dcterms:W3CDTF">2026-08-26T06:00:00Z</dcterms:modified>
  <cp:category/>
</cp:coreProperties>
</file>