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Studienarchiv - Nicht uebertragbare Krankheiten</w:t>
      </w:r>
    </w:p>
    <w:p>
      <w:r>
        <w:rPr>
          <w:i/>
          <w:color w:val="666666"/>
          <w:sz w:val="18"/>
        </w:rPr>
        <w:t>Stand: 26.08.2026  |  19 Studien  |  ncd.m-vf.de</w:t>
      </w:r>
    </w:p>
    <w:p>
      <w:pPr>
        <w:pStyle w:val="Heading1"/>
      </w:pPr>
      <w:r>
        <w:t>Aufgenommen am 26.08.2026</w:t>
      </w:r>
    </w:p>
    <w:p>
      <w:pPr>
        <w:pStyle w:val="Heading2"/>
      </w:pPr>
      <w:r>
        <w:t>Geschlechtsspezifische Trajectories bei Typ-2-Diabetes: Psychische Erkrankungen bei Frauen häufiger</w:t>
      </w:r>
    </w:p>
    <w:p>
      <w:r>
        <w:rPr>
          <w:i/>
          <w:color w:val="666666"/>
          <w:sz w:val="18"/>
        </w:rPr>
        <w:t>Eto F et al.  ·  PLoS Med  ·  25.08.2026  ·  PMID 42640878</w:t>
      </w:r>
    </w:p>
    <w:p>
      <w:r>
        <w:t>Kohortenstudie mit 28.720 Personen in Großbritannien untersucht unterschiedliche Krankheitsverlaufsmuster nach Typ-2-Diabetes-Diagnose, unterschieden nach Geschlecht.</w:t>
      </w:r>
    </w:p>
    <w:p>
      <w:r>
        <w:rPr>
          <w:b/>
        </w:rPr>
        <w:t xml:space="preserve">Ergebnis: </w:t>
      </w:r>
      <w:r>
        <w:t>Bei Frauen traten psychische Erkrankungen post-Diabetes signifikant häufiger auf als bei Männern (8,1% vs. 5,3%), während Männer höhere Raten für Herz-Kreislauf- und Nierenerkrankungen zeigten (8,4% vs. 5,3%). Beide Geschlechter mit kombiniertem Diabetes und psychischer Erkrankung erlebten vorzeitige Sterblichkeit.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UK-Register-Daten, vergleichbar mit deutschen Disease-Management-Strukturen zur geschlechtsspezifischen Therapieplanung.</w:t>
      </w:r>
    </w:p>
    <w:p>
      <w:r>
        <w:rPr>
          <w:color w:val="5A7D3A"/>
          <w:sz w:val="18"/>
        </w:rPr>
        <w:t>https://pubmed.ncbi.nlm.nih.gov/42640878/</w:t>
      </w:r>
    </w:p>
    <w:p>
      <w:pPr>
        <w:pStyle w:val="Heading2"/>
      </w:pPr>
      <w:r>
        <w:t>Post-COVID-Endotheldysfunktion verschärft sich bei Patienten mit ME/CFS-Kriterien: Retinale Gefäßanalyse zeigt Arteriolenkatheteropathie</w:t>
      </w:r>
    </w:p>
    <w:p>
      <w:r>
        <w:rPr>
          <w:i/>
          <w:color w:val="666666"/>
          <w:sz w:val="18"/>
        </w:rPr>
        <w:t>Wallraven T et al.  ·  BMC Med  ·  19.08.2026  ·  PMID 42625188</w:t>
      </w:r>
    </w:p>
    <w:p>
      <w:r>
        <w:t>Prospektive Beobachtungsstudie mit 300 Teilnehmern (96 nie infiziert, 102 genesen, 102 mit Post-COVID-Syndrom, davon 62 mit ME/CFS-Kriterien) untersucht Mikrozirkulation mittels retinaler Gefäßanalyse.</w:t>
      </w:r>
    </w:p>
    <w:p>
      <w:r>
        <w:rPr>
          <w:b/>
        </w:rPr>
        <w:t xml:space="preserve">Ergebnis: </w:t>
      </w:r>
      <w:r>
        <w:t>Patienten mit Post-COVID zeigten reduzierte Venendilation (3,7% ± 2,2 vs. 4,8% ± 3,0, p=0,006), engere retinale Arteriolen (CRAE: 178,3 ± 15,5 vs. 186,1 ± 15,7 μm, p=0,001) und niedrigere Arteriol-Venol-Verhältnisse als Genesene (0,83 ± 0,06 vs. 0,86 ± 0,07, p&lt;0,001). Patienten mit ME/CFS-Kriterien zeigten stärkste Veränderungen (AUC 0,79).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Multinationale Studie (Deutschland, Schweiz); relevanter für Versorgungsfragen zu Post-COVID-Rehabilitationsbedarfen.</w:t>
      </w:r>
    </w:p>
    <w:p>
      <w:r>
        <w:rPr>
          <w:color w:val="5A7D3A"/>
          <w:sz w:val="18"/>
        </w:rPr>
        <w:t>https://pubmed.ncbi.nlm.nih.gov/42625188/</w:t>
      </w:r>
    </w:p>
    <w:p>
      <w:pPr>
        <w:pStyle w:val="Heading1"/>
      </w:pPr>
      <w:r>
        <w:t>Aufgenommen am 24.08.2026</w:t>
      </w:r>
    </w:p>
    <w:p>
      <w:pPr>
        <w:pStyle w:val="Heading2"/>
      </w:pPr>
      <w:r>
        <w:t>Kontinuität der Versorgung senkt Krankenhauseinweisungen und Sterblichkeit bei COPD um 25–63 %</w:t>
      </w:r>
    </w:p>
    <w:p>
      <w:r>
        <w:rPr>
          <w:i/>
          <w:color w:val="666666"/>
          <w:sz w:val="18"/>
        </w:rPr>
        <w:t>Ko J et al.  ·  Int J Chron Obstruct Pulmon Dis  ·  18.08.2026  ·  PMID 42633418</w:t>
      </w:r>
    </w:p>
    <w:p>
      <w:r>
        <w:t>Retrospektive südkoreanische Kohortenstudie mit 29.316 neu diagnostizierten COPD-Patienten aus nationalen Versicherungsdaten 2002–2019 zur Wirkung der Versorgungskontinuität (CoC) auf Krankenhauseinweisungen und Sterblichkeit.</w:t>
      </w:r>
    </w:p>
    <w:p>
      <w:r>
        <w:rPr>
          <w:b/>
        </w:rPr>
        <w:t xml:space="preserve">Ergebnis: </w:t>
      </w:r>
      <w:r>
        <w:t>Niedrige CoC-Werte (&lt;0,7) assoziiert mit erhöhtem Risiko für 3-Jahres-Exazerbations-Krankenhauseinweisung (HR 1,63, 95% CI 1,45–1,83) und allgemeine Mortalität (HR 1,25, 95% CI 1,11–1,40) vs. hohe CoC. Progressiv: Intermediate CoC (0,4–0,7) HR 1,61 für Einweisungen und 1,24 für Mortalität; sehr niedrig (&lt;0,4) HR 1,65 und 1,26. Notaufnahmen HR 1,48, allgemeine Hospitalisierungen HR 1,70 bei niedriger CoC. Befunde konsistent über alternative Kontinuitäts-Indizes. Fragmentierte ambulante Versorgung erhöht vermeidbare Krankenhaus-Kontakte und Todesfälle erheblich.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Südkorea, nationale Versicherungsdaten, zeigt Bedeutung von Kontinuität unabhängig vom Finanzsystem</w:t>
      </w:r>
    </w:p>
    <w:p>
      <w:r>
        <w:rPr>
          <w:color w:val="5A7D3A"/>
          <w:sz w:val="18"/>
        </w:rPr>
        <w:t>https://pubmed.ncbi.nlm.nih.gov/42633418/</w:t>
      </w:r>
    </w:p>
    <w:p>
      <w:pPr>
        <w:pStyle w:val="Heading1"/>
      </w:pPr>
      <w:r>
        <w:t>Aufgenommen am 23.08.2026</w:t>
      </w:r>
    </w:p>
    <w:p>
      <w:pPr>
        <w:pStyle w:val="Heading2"/>
      </w:pPr>
      <w:r>
        <w:t>Mehrfacherkrankung bei Vorhofflimmern nimmt zu: Gepräge und Verlauf stark heterogen</w:t>
      </w:r>
    </w:p>
    <w:p>
      <w:r>
        <w:rPr>
          <w:i/>
          <w:color w:val="666666"/>
          <w:sz w:val="18"/>
        </w:rPr>
        <w:t>Reinilä S et al.  ·  Eur J Clin Invest  ·  Aug. 2026  ·  PMID 42629441</w:t>
      </w:r>
    </w:p>
    <w:p>
      <w:r>
        <w:t>Finnische Kohorte aller Patienten mit neu diagnostiziertem Vorhofflimmern 2009–2018 (n=196.536); Erfassung von Begleiterkrankungen über nationale Register mit 5-Jahres-Lookback.</w:t>
      </w:r>
    </w:p>
    <w:p>
      <w:r>
        <w:rPr>
          <w:b/>
        </w:rPr>
        <w:t xml:space="preserve">Ergebnis: </w:t>
      </w:r>
      <w:r>
        <w:t>85% hatten ≥2 Begleiterkrankungsgruppen, 28% ≥6 Gruppen. Mittlere Anzahl von Diagnosegruppen stieg von 3,9 auf 4,2 Gruppen (2009–2018); nach Adjustment für Alter signifikant. Mehrfacherkrankung war bei Frauen häufiger (4,2 vs. 3,9 Gruppen) und nahm mit dem Alter zu. Häufigste Begleiterkrankungen: Hypertonie, Stoffwechselerkrankungen, Diabetes, andere kardiovaskuläre Erkrankungen. Eine bedeutende Versorgungsherausforderung mit wachsendem Bedarf für ganzheitliche Behandlung.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Finnland, vergleichbares nordisches Gesundheitssystem, nationale Registerdaten</w:t>
      </w:r>
    </w:p>
    <w:p>
      <w:r>
        <w:rPr>
          <w:color w:val="5A7D3A"/>
          <w:sz w:val="18"/>
        </w:rPr>
        <w:t>https://pubmed.ncbi.nlm.nih.gov/42629441/</w:t>
      </w:r>
    </w:p>
    <w:p>
      <w:pPr>
        <w:pStyle w:val="Heading1"/>
      </w:pPr>
      <w:r>
        <w:t>Aufgenommen am 22.08.2026</w:t>
      </w:r>
    </w:p>
    <w:p>
      <w:pPr>
        <w:pStyle w:val="Heading2"/>
      </w:pPr>
      <w:r>
        <w:t>HAQ-DI-basierte Screening identifiziert Hochrisiko-Phänotyp mit funktioneller Behinderung in COPD</w:t>
      </w:r>
    </w:p>
    <w:p>
      <w:r>
        <w:rPr>
          <w:i/>
          <w:color w:val="666666"/>
          <w:sz w:val="18"/>
        </w:rPr>
        <w:t>Rogier J et al.  ·  Int J Chron Obstruct Pulmon Dis  ·  15.08.2026  ·  PMID 42621973</w:t>
      </w:r>
    </w:p>
    <w:p>
      <w:r>
        <w:t>Französische Kohortenstudie (n=117) der funktionalen Behinderung bei COPD-Patienten mittels Health Assessment Questionnaire – Disability Index (HAQ-DI) in Relation zu Krankheitsschwere und Krankheitslast.</w:t>
      </w:r>
    </w:p>
    <w:p>
      <w:r>
        <w:rPr>
          <w:b/>
        </w:rPr>
        <w:t xml:space="preserve">Ergebnis: </w:t>
      </w:r>
      <w:r>
        <w:t>Patienten mit COPD GOLD 3–4 zeigten höhere HAQ-DI-Werte als GOLD 1–2 (0,50 vs. 0,25, p=0,015); 20 Patienten (17,1%) erfüllten Kriterien für "Hochfunktionelle Behinderung" (HAQ-DI ≥1) mit ungünstigeren Prognose-Markern; HAQ-DI korrelierte mit Exazerbationen, Dyspnoe und Krankheitslast (alle p&lt;0,001). HAQ-DI ist ein praktisches Screening-Instrument zur Identifizierung von Patienten mit hohem funktionellem Risiko, die von Rehabilitations- und psychologischem Support profitieren könnten.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Frankreich, vergleichbare Dokumentation von Komorbiditäten und Funktionalität</w:t>
      </w:r>
    </w:p>
    <w:p>
      <w:r>
        <w:rPr>
          <w:color w:val="5A7D3A"/>
          <w:sz w:val="18"/>
        </w:rPr>
        <w:t>https://pubmed.ncbi.nlm.nih.gov/42621973/</w:t>
      </w:r>
    </w:p>
    <w:p>
      <w:pPr>
        <w:pStyle w:val="Heading2"/>
      </w:pPr>
      <w:r>
        <w:t>SMART-Youth: Longitudinale Kohortenstudie zu kardiovaskulären Risikofaktoren für subklinische Atherosklerose bei Kindern mit chronischen Erkrankungen</w:t>
      </w:r>
    </w:p>
    <w:p>
      <w:r>
        <w:rPr>
          <w:i/>
          <w:color w:val="666666"/>
          <w:sz w:val="18"/>
        </w:rPr>
        <w:t>van der Linden IA et al.  ·  BMJ Open  ·  13.08.2026  ·  PMID 42595358</w:t>
      </w:r>
    </w:p>
    <w:p>
      <w:r>
        <w:t>Prospektive longitudinale Kohortenstudie in niederländischem Universitätskrankenhaus (geplant n&gt;2000, 8–18 Jahre) zu krankheits- und lebensstilassoziierten kardiovaskulären Risikofaktoren für subklinische Atherosklerose bei Kindern mit diversen chronischen Erkrankungen (CF, JIA, CKD, IBD, angeborene Herzerkrankung etc.); Rekrutierung seit August 2024.</w:t>
      </w:r>
    </w:p>
    <w:p>
      <w:r>
        <w:rPr>
          <w:b/>
        </w:rPr>
        <w:t xml:space="preserve">Ergebnis: </w:t>
      </w:r>
      <w:r>
        <w:t>Baseline-Charakterisierung: Erfassung von Blutdruck, BMI, Lipiden, HbA1c, CRP; Messung von Karotis-Intima-Media-Dicke, Karotis-Distension und Karotis-Femoral-Pulswellen-Geschwindigkeit bei Baseline, 2-Jahr-Follow-up und Alter 17–18 Jahren. Primärer Fokus: langfristige Assoziationen zwischen kardiovaskulären Risikofaktoren und früher subklinischer Atherosklerose bei chronisch erkrankten Kindern zur Risikostratifizierung und Früherkennung.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Niederlande, Universitätskrankenhaus in vergleichbarem System; Mehrfacherkrankungen-Fokus bei Kindern</w:t>
      </w:r>
    </w:p>
    <w:p>
      <w:r>
        <w:rPr>
          <w:color w:val="5A7D3A"/>
          <w:sz w:val="18"/>
        </w:rPr>
        <w:t>https://pubmed.ncbi.nlm.nih.gov/42595358/</w:t>
      </w:r>
    </w:p>
    <w:p>
      <w:pPr>
        <w:pStyle w:val="Heading1"/>
      </w:pPr>
      <w:r>
        <w:t>Aufgenommen am 21.08.2026</w:t>
      </w:r>
    </w:p>
    <w:p>
      <w:pPr>
        <w:pStyle w:val="Heading2"/>
      </w:pPr>
      <w:r>
        <w:t>Self-Management-Interventionen zeigen Verbesserung in Verhalten, aber nicht in Lebensqualität bei Mehrfacherkrankung</w:t>
      </w:r>
    </w:p>
    <w:p>
      <w:r>
        <w:rPr>
          <w:i/>
          <w:color w:val="666666"/>
          <w:sz w:val="18"/>
        </w:rPr>
        <w:t>Hopwood E et al.  ·  J Eval Clin Pract  ·  Aug. 2026  ·  PMID 42623506</w:t>
      </w:r>
    </w:p>
    <w:p>
      <w:r>
        <w:t>Systematische Übersicht von 28 Studien zu Wirksamkeit und Erfahrungen mit Self-Management-Interventionen für Erwachsene mit Mehrfacherkrankung (quantitativ und qualitativ).</w:t>
      </w:r>
    </w:p>
    <w:p>
      <w:r>
        <w:rPr>
          <w:b/>
        </w:rPr>
        <w:t xml:space="preserve">Ergebnis: </w:t>
      </w:r>
      <w:r>
        <w:t>Quantitative Evidenz zeigte bescheidene Verbesserungen in spezifischen Self-Management-Verhaltensweisen (gesundheitsorientierte Aktivitäten, Selbstmonitoring), aber wenig bis kein Effekt auf Lebensqualität oder psychologische Outcomes. Qualitative Befunde deuteten auf subjektive Verbesserungen in Lebensqualität und psychischer Gesundheit hin – Diskrepanz unterstreicht Bedarf nach validierten Mehrfacherkrankungs-spezifischen Outcome-Maßen.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Evidenz, vorwiegend europäisch, direkt auf Primärversorgung übertragbar</w:t>
      </w:r>
    </w:p>
    <w:p>
      <w:r>
        <w:rPr>
          <w:color w:val="5A7D3A"/>
          <w:sz w:val="18"/>
        </w:rPr>
        <w:t>https://pubmed.ncbi.nlm.nih.gov/42623506/</w:t>
      </w:r>
    </w:p>
    <w:p>
      <w:pPr>
        <w:pStyle w:val="Heading2"/>
      </w:pPr>
      <w:r>
        <w:t>Digitales Multikomponent-Programm reduziert Angst und Depression bei Mehrfacherkrankung um 2,6–2,9 Punkte auf HADS</w:t>
      </w:r>
    </w:p>
    <w:p>
      <w:r>
        <w:rPr>
          <w:i/>
          <w:color w:val="666666"/>
          <w:sz w:val="18"/>
        </w:rPr>
        <w:t>Johnson E et al.  ·  PLoS Med  ·  20.08.2026  ·  PMID 42623335</w:t>
      </w:r>
    </w:p>
    <w:p>
      <w:r>
        <w:t>Dreiarmige randomisierte Studie (825 Patienten über 13 Länder, online durchgeführt 2023–2024) zu Effekt eines digitalen Programms mit oder ohne menschliche Unterstützung versus Warteliste bei Angst und Depression bei chronischen Erkrankungen.</w:t>
      </w:r>
    </w:p>
    <w:p>
      <w:r>
        <w:rPr>
          <w:b/>
        </w:rPr>
        <w:t xml:space="preserve">Ergebnis: </w:t>
      </w:r>
      <w:r>
        <w:t>Primärer Vergleich (eMPower + Human Support vs. Kontrolle): HADS-Gesamtscore verbesserte sich um 2,9 Punkte (95%-KI 2,0–3,8; p&lt;0,001). Self-directed eMPower zeigte ähnliche Verbesserung (2,6 Punkte; 95%-KI 1,8–3,5; p&lt;0,001); kein signifikanter Unterschied zwischen Interventionen. Verbesserungen auch bei Müdigkeit (MFIS) und Lebensqualität (SF-12, EQ-5D-5L). Keine unerwünschten Ereignisse berichtet.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Internetbasiert, international, aber auf Mehrfacherkrankung generell bezogen, gute Übertragbarkeit</w:t>
      </w:r>
    </w:p>
    <w:p>
      <w:r>
        <w:rPr>
          <w:color w:val="5A7D3A"/>
          <w:sz w:val="18"/>
        </w:rPr>
        <w:t>https://pubmed.ncbi.nlm.nih.gov/42623335/</w:t>
      </w:r>
    </w:p>
    <w:p>
      <w:pPr>
        <w:pStyle w:val="Heading2"/>
      </w:pPr>
      <w:r>
        <w:t>Psychische Erkrankungen mit 1,85- bis 3,16-fach erhöhtem Risiko für systemische Mehrfacherkrankung bei jungen Frauen</w:t>
      </w:r>
    </w:p>
    <w:p>
      <w:r>
        <w:rPr>
          <w:i/>
          <w:color w:val="666666"/>
          <w:sz w:val="18"/>
        </w:rPr>
        <w:t>Halstead S et al.  ·  Lancet Psychiatry  ·  Sept. 2026  ·  PMID 42586082</w:t>
      </w:r>
    </w:p>
    <w:p>
      <w:r>
        <w:t>Kohortenstudie mit 30.189 Patienten mit Schizophrenie-Spektrum/bipolaren Störungen und 148.476 Kontrollen (Queensland, Australien, 2000–2023) zu Inzidenz und absoluten Unterschieden in systemischer Mehrfacherkrankung (Multiple Systeme betroffen).</w:t>
      </w:r>
    </w:p>
    <w:p>
      <w:r>
        <w:rPr>
          <w:b/>
        </w:rPr>
        <w:t xml:space="preserve">Ergebnis: </w:t>
      </w:r>
      <w:r>
        <w:t>Relative Inzidenz der Mehrfacherkrankung signifikant erhöht: mindestens ein System HR=1,85 (95%-KI 1,81–1,88), fünf Systeme HR=3,16 (95%-KI 3,01–3,30). Bei 20 Jahren absolute Cumulative-Incidence-Unterschiede: 9,79 zusätzliche Fälle pro 100 Personen (≥1 System), höchste Effekte bei Frauen &lt;25 Jahren (HR=9,24 für ≥5 Systeme; 95%-KI 7,30–11,71).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Australien (vergleichbar mit Mittelsystemländern), großes Register, aber klinisches Risikoprofil generell übertragbar</w:t>
      </w:r>
    </w:p>
    <w:p>
      <w:r>
        <w:rPr>
          <w:color w:val="5A7D3A"/>
          <w:sz w:val="18"/>
        </w:rPr>
        <w:t>https://pubmed.ncbi.nlm.nih.gov/42586082/</w:t>
      </w:r>
    </w:p>
    <w:p>
      <w:pPr>
        <w:pStyle w:val="Heading1"/>
      </w:pPr>
      <w:r>
        <w:t>Aufgenommen am 20.08.2026</w:t>
      </w:r>
    </w:p>
    <w:p>
      <w:pPr>
        <w:pStyle w:val="Heading2"/>
      </w:pPr>
      <w:r>
        <w:t>COPD mit Typ-2-Entzündung und Exazerbationen trotz Dreifachtherapie – 3-fach höhere Kosten und Hospitalisierungsrate</w:t>
      </w:r>
    </w:p>
    <w:p>
      <w:r>
        <w:rPr>
          <w:i/>
          <w:color w:val="666666"/>
          <w:sz w:val="18"/>
        </w:rPr>
        <w:t>Narendra DK et al.  ·  Int J Chron Obstruct Pulmon Dis  ·  13.08.2026  ·  PMID 42609821</w:t>
      </w:r>
    </w:p>
    <w:p>
      <w:r>
        <w:t>Retrospektive Analyse der Optum-Datenbank (über 28 Millionen Versicherte, USA) zu Exazerbationen und Versorgungslast bei COPD-Patienten mit Typ-2-Entzündung (erhöhte Eosinophile) und Exazerbationshistorie trotz Dreifachtherapie.</w:t>
      </w:r>
    </w:p>
    <w:p>
      <w:r>
        <w:rPr>
          <w:b/>
        </w:rPr>
        <w:t xml:space="preserve">Ergebnis: </w:t>
      </w:r>
      <w:r>
        <w:t>Bei 13.840 Patienten (6.389 mit Exazerbationen und Eosinophile ≥150 Zellen/μL): durchschnittlich 1,58 COPD-Exazerbationen/Jahr vs. 0,52 in der Kontrollgruppe; um ~6.700 USD höhere jährliche Kosten; höhere Notaufnahme- und Hospitalisierungsraten trotz optimierter medikamentöser Therapie. Ungedeckter Versorgungsbedarf.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USA-Daten; Effektivitätsbefund (Exazerbationslast trotz optimaler medikamentöser Versorgung) übertragbar auf Deutschland.</w:t>
      </w:r>
    </w:p>
    <w:p>
      <w:r>
        <w:rPr>
          <w:color w:val="5A7D3A"/>
          <w:sz w:val="18"/>
        </w:rPr>
        <w:t>https://pubmed.ncbi.nlm.nih.gov/42609821/</w:t>
      </w:r>
    </w:p>
    <w:p>
      <w:pPr>
        <w:pStyle w:val="Heading2"/>
      </w:pPr>
      <w:r>
        <w:t>Cluster-Analyse identifiziert sechs Subtypen hochgradig multimorbider Patienten für gezielte Interventionen im englischen Gesundheitssystem</w:t>
      </w:r>
    </w:p>
    <w:p>
      <w:r>
        <w:rPr>
          <w:i/>
          <w:color w:val="666666"/>
          <w:sz w:val="18"/>
        </w:rPr>
        <w:t>Wood RM et al.  ·  Health Care Manag Sci  ·  07.08.2026  ·  PMID 42566017</w:t>
      </w:r>
    </w:p>
    <w:p>
      <w:r>
        <w:t>Clusteranalyse von 19.520 Hochmorbidität-Patienten (top 3% von 1 Million Versicherten, &gt;1/5 der Kosten) in Bristol, um heterogene Subgruppen und entsprechende Versorgungsziele zu definieren.</w:t>
      </w:r>
    </w:p>
    <w:p>
      <w:r>
        <w:rPr>
          <w:b/>
        </w:rPr>
        <w:t xml:space="preserve">Ergebnis: </w:t>
      </w:r>
      <w:r>
        <w:t>Sechs Cluster identifiziert: Ältere ohne Demenz (n=1.243); Krebs (n=1.055); Jünger/komplex (n=2.199); Atemwege (n=4.743); Kardiovaskulär (n=6.140); Demenz (n=4.579). Jeder Cluster erhielt wertbasierte Versorgungsziele und spezifische klinische Managemententscheidungen. Heterogenität innerhalb der Hochmorbidität erfordert maßgeschneiderte Interventionen.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Vereinigtes Königreich, NHS-Struktur, ähnliche Versorgungsmotivation.</w:t>
      </w:r>
    </w:p>
    <w:p>
      <w:r>
        <w:rPr>
          <w:color w:val="5A7D3A"/>
          <w:sz w:val="18"/>
        </w:rPr>
        <w:t>https://pubmed.ncbi.nlm.nih.gov/42566017/</w:t>
      </w:r>
    </w:p>
    <w:p>
      <w:pPr>
        <w:pStyle w:val="Heading2"/>
      </w:pPr>
      <w:r>
        <w:t>Capability Cards unterstützen personzentrierte Gespräche bei Mehrfacherkrankungen in spanischer Primärversorgung – validiert</w:t>
      </w:r>
    </w:p>
    <w:p>
      <w:r>
        <w:rPr>
          <w:i/>
          <w:color w:val="666666"/>
          <w:sz w:val="18"/>
        </w:rPr>
        <w:t>Llubes-Arrià L et al.  ·  Prim Health Care Res Dev  ·  06.08.2026  ·  PMID 42559972</w:t>
      </w:r>
    </w:p>
    <w:p>
      <w:r>
        <w:t>Methodische Validierungsstudie der spanischen Übersetzung und kulturellen Anpassung der Capability Cards als Werkzeug für Patienten mit Mehrfacherkrankung in spanischen Gemeinschaftspraxen.</w:t>
      </w:r>
    </w:p>
    <w:p>
      <w:r>
        <w:rPr>
          <w:b/>
        </w:rPr>
        <w:t xml:space="preserve">Ergebnis: </w:t>
      </w:r>
      <w:r>
        <w:t>Hohe inhaltsliche Validität in allen Gruppen (Content Validity Index: Experten 0,88; Fachkräfte 0,96; Zielpopulation 0,98); ausgezeichnete Usability (System Usability Scale). Capability Cards zeigten starke kulturelle Angemessenheit und Eignung für strukturierte, personzentrierte Gespräche zur Förderung von Empowerment und partizipatorischer Versorgung bei Mehrfacherkrankung.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Spanien, ambulante Primärversorgung ähnlich Deutschland.</w:t>
      </w:r>
    </w:p>
    <w:p>
      <w:r>
        <w:rPr>
          <w:color w:val="5A7D3A"/>
          <w:sz w:val="18"/>
        </w:rPr>
        <w:t>https://pubmed.ncbi.nlm.nih.gov/42559972/</w:t>
      </w:r>
    </w:p>
    <w:p>
      <w:pPr>
        <w:pStyle w:val="Heading1"/>
      </w:pPr>
      <w:r>
        <w:t>Aufgenommen am 19.08.2026</w:t>
      </w:r>
    </w:p>
    <w:p>
      <w:pPr>
        <w:pStyle w:val="Heading2"/>
      </w:pPr>
      <w:r>
        <w:t>Hybrid-Versorgung für COPD-Patienten mit hohem Risiko: Pflegeleitung, Personalisierung und digitale Unterstützung zeigen Machbarkeit</w:t>
      </w:r>
    </w:p>
    <w:p>
      <w:r>
        <w:rPr>
          <w:i/>
          <w:color w:val="666666"/>
          <w:sz w:val="18"/>
        </w:rPr>
        <w:t>Gómez-López A et al.  ·  J Med Internet Res  ·  18.08.2026  ·  PMID 42612086</w:t>
      </w:r>
    </w:p>
    <w:p>
      <w:r>
        <w:t>Co-Design-Studie in Barcelona mit vier PDSA-Zyklen zur Operationalisierung einer Hybrid-Care-Intervention (Pflege vor Ort, Personalisierung, digitale Unterstützung) für Patienten mit COPD, Asthma und Bronchiektasen bei exazerbierter und stabiler Erkrankung.</w:t>
      </w:r>
    </w:p>
    <w:p>
      <w:r>
        <w:rPr>
          <w:b/>
        </w:rPr>
        <w:t xml:space="preserve">Ergebnis: </w:t>
      </w:r>
      <w:r>
        <w:t>Am Ende PDSA-3 (August 2025) wurde Operationalisierung dreier Kernkomponenten erreicht: (1) Nurse-Led-Versorgung vor Ort, (2) Personalisierung der Intervention, (3) fortgeschrittene digitale Unterstützung. Konsens unter allen Stakeholdern zu Anwendbarkeit im klinisch stabilen und exazerbiertem Zustand sowie zu kurzfristiger Implementierungs- und nachhaltiger Übernahmestrategie.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Spanien, katalanisches Gesundheitssystem – Erkenntnisse zur Integration digitaler Tools in koordinierte Versorgung relevant</w:t>
      </w:r>
    </w:p>
    <w:p>
      <w:r>
        <w:rPr>
          <w:color w:val="5A7D3A"/>
          <w:sz w:val="18"/>
        </w:rPr>
        <w:t>https://pubmed.ncbi.nlm.nih.gov/42612086/</w:t>
      </w:r>
    </w:p>
    <w:p>
      <w:pPr>
        <w:pStyle w:val="Heading2"/>
      </w:pPr>
      <w:r>
        <w:t>Patienten mit eosinophiler COPD und Exazerbationen haben hohes Hospitalisierungs- und Kostenrisiko trotz Dreifachtherapie</w:t>
      </w:r>
    </w:p>
    <w:p>
      <w:r>
        <w:rPr>
          <w:i/>
          <w:color w:val="666666"/>
          <w:sz w:val="18"/>
        </w:rPr>
        <w:t>Di Giorgi N et al.  ·  Int J Chron Obstruct Pulmon Dis  ·  13.08.2026  ·  PMID 42609817</w:t>
      </w:r>
    </w:p>
    <w:p>
      <w:r>
        <w:t>Reale-Welt-Datenanalyse von 3.279 COPD-Patienten in einem italienischen Tertiärkrankenhaus zur Identifikation von Patienten mit erhöhten Eosinophilen, die für zielgerichtete biologische Therapien (Dupilumab) infrage kommen.</w:t>
      </w:r>
    </w:p>
    <w:p>
      <w:r>
        <w:rPr>
          <w:b/>
        </w:rPr>
        <w:t xml:space="preserve">Ergebnis: </w:t>
      </w:r>
      <w:r>
        <w:t>Unter 224 Patienten mit Exazerbationen unter Dreifachtherapie hatten 87 (38,8 %) mindestens eine Eosinophilenzahl ≥300 Zellen/µL (Median-Messwerte 210 [IQR 130–335] Zellen/µL). Patienten mit EOS ≥300 gegenüber &lt;300: höhere Krankenhausaufnahmen (23,0 % vs. 12,2 %; p=0,005), größere Komorbiditätslast (71,3 % kardiovaskulär, 59,8 % metabolisch), numerisch höhere Gesamtsterblichkeit (19,5 % vs. 13,0 %, nicht signifikant), mehr jährliche Kontakte (4,5 vs. 3,0; p&lt;0,001).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Italien, vergleichbares europäisches Krankenversicherungssystem; Eosinophil-Monitoring zur Therapiesteuerung</w:t>
      </w:r>
    </w:p>
    <w:p>
      <w:r>
        <w:rPr>
          <w:color w:val="5A7D3A"/>
          <w:sz w:val="18"/>
        </w:rPr>
        <w:t>https://pubmed.ncbi.nlm.nih.gov/42609817/</w:t>
      </w:r>
    </w:p>
    <w:p>
      <w:pPr>
        <w:pStyle w:val="Heading2"/>
      </w:pPr>
      <w:r>
        <w:t>Strukturierte Transitionsversorgung erhöht Übergangsbereitschaft junger Erwachsener mit chronischen Erkrankungen (COCCOS-Protokoll)</w:t>
      </w:r>
    </w:p>
    <w:p>
      <w:r>
        <w:rPr>
          <w:i/>
          <w:color w:val="666666"/>
          <w:sz w:val="18"/>
        </w:rPr>
        <w:t>Van Wilder L et al.  ·  PLoS One  ·  17.08.2026  ·  PMID 42607051</w:t>
      </w:r>
    </w:p>
    <w:p>
      <w:r>
        <w:t>Protokoll einer quasi-experimentellen Studie zur Evaluation eines co-gestalteten Übergangsprogramms von Kindermedizin zu Erwachsenenmedizin bei Patienten mit Typ-1-Diabetes, Asthma oder Adipositas in Belgien.</w:t>
      </w:r>
    </w:p>
    <w:p>
      <w:r>
        <w:rPr>
          <w:b/>
        </w:rPr>
        <w:t xml:space="preserve">Ergebnis: </w:t>
      </w:r>
      <w:r>
        <w:t>Ziel ist Test von vier strukturierten Konsultationen über 13–16 Monate. Primäres Outcome: Transition Readiness Assessment Questionnaire. Sekundäroutcomes: Patient Empowerment, Therapietreue, gesundheitsbezogene Lebensqualität, psychische Gesundheit. Kosteneffektivität aus Payer-Perspektive mit Quality-Adjusted Life Years gemessen. Mixed-Methods-Prozessevaluationen geplant. Im Stadium PDSA-3 (August 2025); Ergebnisse erwartet 2027.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Belgien, ähnliche Versicherungssysteme und Versorgungspfade wie deutschsprachiger Raum</w:t>
      </w:r>
    </w:p>
    <w:p>
      <w:r>
        <w:rPr>
          <w:color w:val="5A7D3A"/>
          <w:sz w:val="18"/>
        </w:rPr>
        <w:t>https://pubmed.ncbi.nlm.nih.gov/42607051/</w:t>
      </w:r>
    </w:p>
    <w:p>
      <w:pPr>
        <w:pStyle w:val="Heading2"/>
      </w:pPr>
      <w:r>
        <w:t>Mehrfacherkrankung im Alter erhöht Gesamt-Versorgungsausgaben um 11,6 %; sozioökonomische Ungleichheiten verstärken den Effekt</w:t>
      </w:r>
    </w:p>
    <w:p>
      <w:r>
        <w:rPr>
          <w:i/>
          <w:color w:val="666666"/>
          <w:sz w:val="18"/>
        </w:rPr>
        <w:t>Doheny M et al.  ·  BMJ Open  ·  14.08.2026  ·  PMID 42601104</w:t>
      </w:r>
    </w:p>
    <w:p>
      <w:r>
        <w:t>Querschnittsuntersuchung von 371.583 Personen ≥65 Jahre in Region Stockholm zur Prävalenz und Kostenfolgen von Mehrfacherkrankung.</w:t>
      </w:r>
    </w:p>
    <w:p>
      <w:r>
        <w:rPr>
          <w:b/>
        </w:rPr>
        <w:t xml:space="preserve">Ergebnis: </w:t>
      </w:r>
      <w:r>
        <w:t>Mehrfacherkrankung bei 62,6 % der älteren Erwachsenen. Mit ≥4 Erkrankungen stiegen die Durchschnittsausgaben auf 143.063 SEK (gegenüber 34.346 SEK ohne Erkrankung). Multimorbidität assoziiert mit 11,6 % höheren Gesamtausgaben (Cost Ratio 1,116, KI 1,114–1,118). Tiefste Einkommensgruppe zeigte 3,8 % höhere Ausgaben als höchste Gruppe. Soziale Pflegeausgaben überstiegen ab Alter 80 Jahren die Gesundheitsausgaben.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Schweden, vergleichbares öffentliches Versicherungssystem und Dokumentation wie Deutschland</w:t>
      </w:r>
    </w:p>
    <w:p>
      <w:r>
        <w:rPr>
          <w:color w:val="5A7D3A"/>
          <w:sz w:val="18"/>
        </w:rPr>
        <w:t>https://pubmed.ncbi.nlm.nih.gov/42601104/</w:t>
      </w:r>
    </w:p>
    <w:p>
      <w:pPr>
        <w:pStyle w:val="Heading2"/>
      </w:pPr>
      <w:r>
        <w:t>Pertussis-Hospitalisierungen bei chronischen Erkrankungen: Hochrisiko-Gruppen und Präventionsbedarf in Frankreich</w:t>
      </w:r>
    </w:p>
    <w:p>
      <w:r>
        <w:rPr>
          <w:i/>
          <w:color w:val="666666"/>
          <w:sz w:val="18"/>
        </w:rPr>
        <w:t>Vargas-Zambrano JC et al.  ·  Euro Surveill  ·  Aug. 2026  ·  PMID 42596896</w:t>
      </w:r>
    </w:p>
    <w:p>
      <w:r>
        <w:t>Retrospektive Analyse von 10.893 Patienten mit Keuchhusten-Hospitalisierungen 2008–2020 in Frankreich nach Präsenz chronischer Grunderkrankungen (Asthma, COPD, Diabetes, Immunsuppression).</w:t>
      </w:r>
    </w:p>
    <w:p>
      <w:r>
        <w:rPr>
          <w:b/>
        </w:rPr>
        <w:t xml:space="preserve">Ergebnis: </w:t>
      </w:r>
      <w:r>
        <w:t>Bei Kindern/Jugendlichen (n=7.212): 17,5 % mit Asthma, 0,9 % mit Immunsuppression. Höchste kumulierte Inzidenzrate bei Immunsuppression (adjustiert CIR 3,6; KI 2,8–4,6). Bei Erwachsenen (n=3.681): 62,4 % mit Asthma/COPD, 16,1 % immunsupprimiert, 12,3 % mit Diabetes. Höchste CIR bei Asthma/COPD (18,6; KI 17,4–19,9). Medianhosp.-kosten für Immunsupprimierte 4.401 EUR. Keine signifikanten Änderungen der Ressourcennutzung vor/nach Hospitalisierung bei Erwachsenen.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Frankreich, französisches Gesundheitssystem und Krankenversicherungsdaten wie Deutschland</w:t>
      </w:r>
    </w:p>
    <w:p>
      <w:r>
        <w:rPr>
          <w:color w:val="5A7D3A"/>
          <w:sz w:val="18"/>
        </w:rPr>
        <w:t>https://pubmed.ncbi.nlm.nih.gov/42596896/</w:t>
      </w:r>
    </w:p>
    <w:p>
      <w:pPr>
        <w:pStyle w:val="Heading2"/>
      </w:pPr>
      <w:r>
        <w:t>Verzögerte Palliativversorgung in Primärversorgung treibt vermeidbare Notfallabteilungsbesuche bei älteren Menschen mit Mehrfacherkrankung</w:t>
      </w:r>
    </w:p>
    <w:p>
      <w:r>
        <w:rPr>
          <w:i/>
          <w:color w:val="666666"/>
          <w:sz w:val="18"/>
        </w:rPr>
        <w:t>Bring H et al.  ·  Scand J Prim Health Care  ·  12.08.2026  ·  PMID 42583708</w:t>
      </w:r>
    </w:p>
    <w:p>
      <w:r>
        <w:t>Qualitative Befragung von 100 Fachleuten (Ärzte, Pflegekräfte) über Gründe für Notfallabteilungsbesuche bei älteren Patienten mit Mehrfacherkrankung und Palliativbedarf in Stockholm.</w:t>
      </w:r>
    </w:p>
    <w:p>
      <w:r>
        <w:rPr>
          <w:b/>
        </w:rPr>
        <w:t xml:space="preserve">Ergebnis: </w:t>
      </w:r>
      <w:r>
        <w:t>Übergeordnetes Thema: ‚Verzögerte, fragmentierte Palliativversorgung trägt zu ED-Besuchen bei'. Zwei Kategorien identifiziert: (1) Palliativbeschlüsse in Primärversorgung (Erkennen von Bedarf, Initiierung, Einbeziehung von Patienten/Familien); (2) Versorgung zu Hause (Planung, Symptommanagement, Informationstransfer). Fachleute berichteten, dass fehlende Vorlaufplanung zu krisenhaften ED-Besuchen führt, die Patientenwünschen widersprechen.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Schweden, vergleichbare Primärversorgungsstruktur und Palliativstandards mit Deutschland/DACH</w:t>
      </w:r>
    </w:p>
    <w:p>
      <w:r>
        <w:rPr>
          <w:color w:val="5A7D3A"/>
          <w:sz w:val="18"/>
        </w:rPr>
        <w:t>https://pubmed.ncbi.nlm.nih.gov/42583708/</w:t>
      </w:r>
    </w:p>
    <w:p>
      <w:pPr>
        <w:pStyle w:val="Heading2"/>
      </w:pPr>
      <w:r>
        <w:t>Polypharmazie konzentriert sich auf ältere, multimorbide und sozioökonomisch benachteiligte Personen – Versorgungsmuster in Spanien</w:t>
      </w:r>
    </w:p>
    <w:p>
      <w:r>
        <w:rPr>
          <w:i/>
          <w:color w:val="666666"/>
          <w:sz w:val="18"/>
        </w:rPr>
        <w:t>Aparicio-Rodriguez G et al.  ·  Front Public Health  ·  16.07.2026  ·  PMID 42535037</w:t>
      </w:r>
    </w:p>
    <w:p>
      <w:r>
        <w:t>Querschnittsstudie von 33.534 Personen mit Polypharmazie (≥5 verschiedene ATC4-Medikamentengruppen) in La Rioja, Spanien, zu Verteilung nach Alter, Geschlecht und sozioökonomischem Status.</w:t>
      </w:r>
    </w:p>
    <w:p>
      <w:r>
        <w:rPr>
          <w:b/>
        </w:rPr>
        <w:t xml:space="preserve">Ergebnis: </w:t>
      </w:r>
      <w:r>
        <w:t>Mittlere Medikamentenbelastung 7,07 Gruppen (SD 2,17); 58,4 % erhielten 6–9 Gruppen. 71,8 % gehörten zur unteren Einkommensgruppe, die höchsten Belastungen (≥10 Gruppen) zeigten 14,9 % der Armen gegen 8,0–9,2 % der mittleren und höheren Gruppen. Chronische Grunderkrankungen (Herzinsuffizienz, Nierenkrankheit, Gefäßerkrankung) stark assoziiert mit höherer Medikamentenbelastung.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Spanien, deutschsprachiger Raum – Datenquellen aus öffentlich finanzierter Versorgung</w:t>
      </w:r>
    </w:p>
    <w:p>
      <w:r>
        <w:rPr>
          <w:color w:val="5A7D3A"/>
          <w:sz w:val="18"/>
        </w:rPr>
        <w:t>https://pubmed.ncbi.nlm.nih.gov/42535037/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Studienarchiv - Nicht uebertragbare Krankheiten</dc:title>
  <dc:subject/>
  <dc:creator>Monitor Versorgungsforschung</dc:creator>
  <cp:keywords/>
  <dc:description>generated by python-docx</dc:description>
  <cp:lastModifiedBy/>
  <cp:revision>1</cp:revision>
  <dcterms:created xsi:type="dcterms:W3CDTF">2026-08-26T06:00:00Z</dcterms:created>
  <dcterms:modified xsi:type="dcterms:W3CDTF">2026-08-26T06:00:00Z</dcterms:modified>
  <cp:category/>
</cp:coreProperties>
</file>