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22.09.2026  |  6 Studien  |  ncd.m-vf.de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Tragbarer Sauerstoff bei belastungsinduzierter Hypoxämie: Nicht-Unterlegenheit zu Umgebungsluft</w:t>
      </w:r>
    </w:p>
    <w:p>
      <w:r>
        <w:rPr>
          <w:i/>
          <w:color w:val="666666"/>
          <w:sz w:val="18"/>
        </w:rPr>
        <w:t>Lichtblau M et al.  ·  BMJ Open Respir Res  ·  21.09.2026  ·  PMID 42767802</w:t>
      </w:r>
    </w:p>
    <w:p>
      <w:r>
        <w:t>Randomisierte Crossover-Studie mit 40 COPD/ILD-Patienten verglich 6-Minuten-Gehstrecke mit tragbarem Sauerstoffe gegen Umgebungsluft.</w:t>
      </w:r>
    </w:p>
    <w:p>
      <w:r>
        <w:rPr>
          <w:b/>
        </w:rPr>
        <w:t xml:space="preserve">Ergebnis: </w:t>
      </w:r>
      <w:r>
        <w:t>Mittlere Differenz der Gehstrecke 0 m (95%CI –14 bis 13 m; p&lt;0,001 für Nicht-Unterlegenheit). Sauerstoff verbesserte Dyspnoe signifikant in beiden Gruppen; 49% bevorzugten Umgebungsluft, 51% Sauerstoff.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 (DACH-Region), vergleichbares Gesundheitssystem und Versorgungsstruktur</w:t>
      </w:r>
    </w:p>
    <w:p>
      <w:r>
        <w:rPr>
          <w:color w:val="5A7D3A"/>
          <w:sz w:val="18"/>
        </w:rPr>
        <w:t>https://pubmed.ncbi.nlm.nih.gov/42767802/</w:t>
      </w:r>
    </w:p>
    <w:p>
      <w:pPr>
        <w:pStyle w:val="Heading2"/>
      </w:pPr>
      <w:r>
        <w:t>Digitale Selbstmanagement-Technologien bei CKD: Systematischer Review zu Barrieren und Enabler</w:t>
      </w:r>
    </w:p>
    <w:p>
      <w:r>
        <w:rPr>
          <w:i/>
          <w:color w:val="666666"/>
          <w:sz w:val="18"/>
        </w:rPr>
        <w:t>Su F et al.  ·  J Med Internet Res  ·  21.09.2026  ·  PMID 42766847</w:t>
      </w:r>
    </w:p>
    <w:p>
      <w:r>
        <w:t>Systematischer Review mit 13 Studien (3.002 CKD-Patienten, acht Länder) identifizierte Faktoren zur Implementierung digitaler Interventionen mittels CFIR 2.0-Rahmen.</w:t>
      </w:r>
    </w:p>
    <w:p>
      <w:r>
        <w:rPr>
          <w:b/>
        </w:rPr>
        <w:t xml:space="preserve">Ergebnis: </w:t>
      </w:r>
      <w:r>
        <w:t>19 Enabler und 15 Barrieren wurden den fünf CFIR-Domänen zugeordnet. Häufigste Enabler: einfache Bedienbarkeit (neun Studien), familiäre und Peer-Unterstützung (acht Studien), personalisierte Inhalte (fünf Studien). Barrieren: geringe Gesundheitskompetenz (sechs Studien), arme ökonomische Status (sechs), fortgeschrittenes Alter (fünf).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Synthese (Länder mit unterschiedlichen Ressourcen), Übertragbarkeit begrenzt durch Konzentration in wohlhabenden Ländern</w:t>
      </w:r>
    </w:p>
    <w:p>
      <w:r>
        <w:rPr>
          <w:color w:val="5A7D3A"/>
          <w:sz w:val="18"/>
        </w:rPr>
        <w:t>https://pubmed.ncbi.nlm.nih.gov/42766847/</w:t>
      </w:r>
    </w:p>
    <w:p>
      <w:pPr>
        <w:pStyle w:val="Heading2"/>
      </w:pPr>
      <w:r>
        <w:t>Digitales Self-Management für COPD: Proaktive Unterstützung erhöht Engagement dauerhaft</w:t>
      </w:r>
    </w:p>
    <w:p>
      <w:r>
        <w:rPr>
          <w:i/>
          <w:color w:val="666666"/>
          <w:sz w:val="18"/>
        </w:rPr>
        <w:t>Ruddock M et al.  ·  JMIR Hum Factors  ·  21.09.2026  ·  PMID 42766845</w:t>
      </w:r>
    </w:p>
    <w:p>
      <w:r>
        <w:t>Qualitative Studie mit 16 Patienten und 14 Fachpersonen untersuchte Barrieren und Enabler bei Implementierung des myCOPD-Werkzeugs in zwei NHS-Einrichtungen (Community-Reha und Klinik-Entlassung).</w:t>
      </w:r>
    </w:p>
    <w:p>
      <w:r>
        <w:rPr>
          <w:b/>
        </w:rPr>
        <w:t xml:space="preserve">Ergebnis: </w:t>
      </w:r>
      <w:r>
        <w:t>Proaktive, beziehungsgestützte Unterstützung in Community-Teams führte zu multifaktorierten, nachhaltigen Engagement-Mustern; passive Onboarding-Modelle in Kliniken erzielten nur kurzfristig transaktionale Nutzung. Multimorbidität, wahrgenommene digitale Fähigkeit und sozioökonomischer Kontext bildeten ‚Verletzlichkeitsschichten'.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(NHS), vergleichbare Versorgungsstruktur, ambulant-stationäre Schnittstelle</w:t>
      </w:r>
    </w:p>
    <w:p>
      <w:r>
        <w:rPr>
          <w:color w:val="5A7D3A"/>
          <w:sz w:val="18"/>
        </w:rPr>
        <w:t>https://pubmed.ncbi.nlm.nih.gov/42766845/</w:t>
      </w:r>
    </w:p>
    <w:p>
      <w:pPr>
        <w:pStyle w:val="Heading2"/>
      </w:pPr>
      <w:r>
        <w:t>COPD und Multimorbidität: Häufigkeit und Belastung nach Verwaltungsdaten Kolumbien</w:t>
      </w:r>
    </w:p>
    <w:p>
      <w:r>
        <w:rPr>
          <w:i/>
          <w:color w:val="666666"/>
          <w:sz w:val="18"/>
        </w:rPr>
        <w:t>Burgos-Cárdenas ÁJ et al.  ·  Int J Chron Obstruct Pulmon Dis  ·  16.09.2026  ·  PMID 42765005</w:t>
      </w:r>
    </w:p>
    <w:p>
      <w:r>
        <w:t>Querschnittsstudie an 6.865.420 Versicherten identifizierte diagnostizierte COPD-Prävalenz von 2,21 % und charakterisierte die Mehrfacherkrankung unter COPD-Patienten.</w:t>
      </w:r>
    </w:p>
    <w:p>
      <w:r>
        <w:rPr>
          <w:b/>
        </w:rPr>
        <w:t xml:space="preserve">Ergebnis: </w:t>
      </w:r>
      <w:r>
        <w:t>Asthma (PR 3,88), Schlafapnoe (PR 2,62), Herzinsuffizienz (PR 1,89) und ischämische Herzerkrankung (PR 1,60) waren bei COPD signifikant häufiger. Lungenkrebs PR 6,41. Ergebnisse unterstützen interdisziplinäre Versorgungsmodelle.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vergleichbares Versicherungssystem, geringere Ressourcen</w:t>
      </w:r>
    </w:p>
    <w:p>
      <w:r>
        <w:rPr>
          <w:color w:val="5A7D3A"/>
          <w:sz w:val="18"/>
        </w:rPr>
        <w:t>https://pubmed.ncbi.nlm.nih.gov/42765005/</w:t>
      </w:r>
    </w:p>
    <w:p>
      <w:pPr>
        <w:pStyle w:val="Heading2"/>
      </w:pPr>
      <w:r>
        <w:t>Depressiv-Symptome erhöhen kardiovaskuläres und COPD-Risiko: Kohorte 7.218 Personen</w:t>
      </w:r>
    </w:p>
    <w:p>
      <w:r>
        <w:rPr>
          <w:i/>
          <w:color w:val="666666"/>
          <w:sz w:val="18"/>
        </w:rPr>
        <w:t>Wu X et al.  ·  Zhonghua Liu Xing Bing Xue Za Zhi  ·  10.09.2026  ·  PMID 42763189</w:t>
      </w:r>
    </w:p>
    <w:p>
      <w:r>
        <w:t>Prospektive Kohorte mit 7.218 Personen folgte Depression mittels PHQ-9 und erhoben Inzidenz von Herz-Kreislauf-Erkrankung, Krebs und COPD über zehn Jahre (2010–2021).</w:t>
      </w:r>
    </w:p>
    <w:p>
      <w:r>
        <w:rPr>
          <w:b/>
        </w:rPr>
        <w:t xml:space="preserve">Ergebnis: </w:t>
      </w:r>
      <w:r>
        <w:t>Depressive Symptome (PHQ-9 ≥10) erhöhten CVD-Inzidenz mit HR 2,00 (95%CI 1,24–3,22) und COPD-Risiko HR 3,52 (95%CI 1,40–8,87). Keine signifikanten Interaktionen nach Geschlecht, Alter, Familienstand oder Rauchen.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ähnliche Risikofaktoren, allgemein übertragbar</w:t>
      </w:r>
    </w:p>
    <w:p>
      <w:r>
        <w:rPr>
          <w:color w:val="5A7D3A"/>
          <w:sz w:val="18"/>
        </w:rPr>
        <w:t>https://pubmed.ncbi.nlm.nih.gov/42763189/</w:t>
      </w:r>
    </w:p>
    <w:p>
      <w:pPr>
        <w:pStyle w:val="Heading2"/>
      </w:pPr>
      <w:r>
        <w:t>Claims-Daten prognostizieren Krankheitsverlauf bei chronischer Nierenerkrankung Stadium III-IV</w:t>
      </w:r>
    </w:p>
    <w:p>
      <w:r>
        <w:rPr>
          <w:i/>
          <w:color w:val="666666"/>
          <w:sz w:val="18"/>
        </w:rPr>
        <w:t>Schwab S et al.  ·  Kidney Blood Press Res  ·  25.07.2026  ·  PMID 42501341</w:t>
      </w:r>
    </w:p>
    <w:p>
      <w:r>
        <w:t>Analyse von 29.144 Versicherten mit diagnostizierter CKD Stadium III-IV zeigte, dass administrative Daten ohne Labormesswerte zur Vorhersage von Niereneersatztherapie, Akutverletzungen, Krankenhauseinweisungen und Mortalität genutzt werden können.</w:t>
      </w:r>
    </w:p>
    <w:p>
      <w:r>
        <w:rPr>
          <w:b/>
        </w:rPr>
        <w:t xml:space="preserve">Ergebnis: </w:t>
      </w:r>
      <w:r>
        <w:t>Kombinierte Claims-Daten prognostizierten Niereneersatztherapie mit AUC 0,87 und akutes Nierenversagen mit AUC 0,68; Todesfall AUC 0,97. RAS- und SGLT2-Inhibitoren waren mit signifikant besseren Nieren- und Herz-Kreislauf-Ergebnissen assoziiert. CKD-Stadium verbesserte alle Modelle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Krankenversicherte, vergleichbare Dokumentationspflichten</w:t>
      </w:r>
    </w:p>
    <w:p>
      <w:r>
        <w:rPr>
          <w:color w:val="5A7D3A"/>
          <w:sz w:val="18"/>
        </w:rPr>
        <w:t>https://pubmed.ncbi.nlm.nih.gov/42501341/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2026-09-22T06:00:00Z</dcterms:created>
  <dcterms:modified xsi:type="dcterms:W3CDTF">2026-09-22T06:00:00Z</dcterms:modified>
  <cp:category/>
</cp:coreProperties>
</file>