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07.10.2026  |  5 Studien  |  ncd.m-vf.de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Chronische Nierenkrankheit in der Tertiärversorgung: Screening deckt Unterbehandlung auf</w:t>
      </w:r>
    </w:p>
    <w:p>
      <w:r>
        <w:rPr>
          <w:i/>
          <w:color w:val="666666"/>
          <w:sz w:val="18"/>
        </w:rPr>
        <w:t>Zahradka I et al.  ·  BMJ Open  ·  06.10.2026  ·  PMID 42838586</w:t>
      </w:r>
    </w:p>
    <w:p>
      <w:r>
        <w:t>Querschnittstudie an 2.903 Patienten in Tertiärkliniken Mitteleuropas zur Prävalenz chronischer Nierenkrankheit (CKD) und Nutzung renoprotek­tiver Therapien.</w:t>
      </w:r>
    </w:p>
    <w:p>
      <w:r>
        <w:rPr>
          <w:b/>
        </w:rPr>
        <w:t xml:space="preserve">Ergebnis: </w:t>
      </w:r>
      <w:r>
        <w:t>CKD-Prävalenz 32,5 %; eine neue Diagnose pro 5,2 Gescreente. Renoprotek­tive Therapie stark untergenutzt: SGLT2-Inhibitoren 42 %, GLP-1-Rezeptoragonisten 41,7 %, nichtsteroidale Mineralokortikoidrezeptorantagonisten 6,7 % der Berechtigten. Modellierte Gewinnchancen dialysefreier Zeit durch Therapieeinleitung: 11,13 Monate pro Patient im Durchschnitt.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Tertiärzentrumsdaten; Übertragbarkeit auf spezialisierte Versorgung in Deutschland eingeschränkt</w:t>
      </w:r>
    </w:p>
    <w:p>
      <w:r>
        <w:rPr>
          <w:color w:val="5A7D3A"/>
          <w:sz w:val="18"/>
        </w:rPr>
        <w:t>https://pubmed.ncbi.nlm.nih.gov/42838586/</w:t>
      </w:r>
    </w:p>
    <w:p>
      <w:pPr>
        <w:pStyle w:val="Heading2"/>
      </w:pPr>
      <w:r>
        <w:t>Begrenzte antivirale Therapie der chronischen Hepatitis B: Mehr HBsAg-Verlust, aber häufige Rückfälle</w:t>
      </w:r>
    </w:p>
    <w:p>
      <w:r>
        <w:rPr>
          <w:i/>
          <w:color w:val="666666"/>
          <w:sz w:val="18"/>
        </w:rPr>
        <w:t>Gomez DP et al.  ·  J Viral Hepat  ·  Nov. 2026  ·  PMID 42834661</w:t>
      </w:r>
    </w:p>
    <w:p>
      <w:r>
        <w:t>Meta-Analyse von 4 randomisierten Studien (n=357) zu endlicher versus unbegrenzter Nukleosid(t)id-Therapie bei HBeAg-negativer chronischer Hepatitis B ohne Zirrhose.</w:t>
      </w:r>
    </w:p>
    <w:p>
      <w:r>
        <w:rPr>
          <w:b/>
        </w:rPr>
        <w:t xml:space="preserve">Ergebnis: </w:t>
      </w:r>
      <w:r>
        <w:t>Therapiebeendigung erhöhte HBsAg-Verlust (RR 5,02; KI 0,47–53,47, niedrige Evidenzsicherheit), aber markant virales Rezidiv (RR 23,09) und Therapierückfall (RR 21,94). Keine hepatische Dekompensation oder schwere unerwünschte Ereignisse. Strategie für selektierte, gut überwachte Patienten in Expertenzentren.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RCT-Daten; Übertragbarkeit auf deutsches Versicherungssystem hoch</w:t>
      </w:r>
    </w:p>
    <w:p>
      <w:r>
        <w:rPr>
          <w:color w:val="5A7D3A"/>
          <w:sz w:val="18"/>
        </w:rPr>
        <w:t>https://pubmed.ncbi.nlm.nih.gov/42834661/</w:t>
      </w:r>
    </w:p>
    <w:p>
      <w:pPr>
        <w:pStyle w:val="Heading2"/>
      </w:pPr>
      <w:r>
        <w:t>Direktwirkende Antivirale bei Hepatitis C und Leberkrebs: Hohe Heilungsraten, erhaltene Leberfunktion</w:t>
      </w:r>
    </w:p>
    <w:p>
      <w:r>
        <w:rPr>
          <w:i/>
          <w:color w:val="666666"/>
          <w:sz w:val="18"/>
        </w:rPr>
        <w:t>Sato S et al.  ·  J Viral Hepat  ·  Nov. 2026  ·  PMID 42834589</w:t>
      </w:r>
    </w:p>
    <w:p>
      <w:r>
        <w:t>Retrospektive Kohortenstudie (n=690) zu Wirksamkeit und Leberfunktion nach direktwirkender antiviraler Therapie bei Hepatitis-C-Patienten mit und ohne Leberkrebs (HCC)-Vorgeschichte.</w:t>
      </w:r>
    </w:p>
    <w:p>
      <w:r>
        <w:rPr>
          <w:b/>
        </w:rPr>
        <w:t xml:space="preserve">Ergebnis: </w:t>
      </w:r>
      <w:r>
        <w:t>Gesamte SVR12-Rate 96,1 % über alle Gruppen, unabhängig von HCC-Vorgeschichte. ALBI-Score (Leberfunktion) verbesserte sich bei kurativer HCC-Behandlung (−2,35 zu −2,58, p&lt;0,001), blieb unter nicht-kurativer Behandlung stabil. Bei HCC-Rezidiv ALBI-Score verbessert (−2,31 zu −2,57, p&lt;0,001); &gt;90 % blieben Child-Pugh 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Zentrum; Leberfunktionsergebnisse international vergleichbar</w:t>
      </w:r>
    </w:p>
    <w:p>
      <w:r>
        <w:rPr>
          <w:color w:val="5A7D3A"/>
          <w:sz w:val="18"/>
        </w:rPr>
        <w:t>https://pubmed.ncbi.nlm.nih.gov/42834589/</w:t>
      </w:r>
    </w:p>
    <w:p>
      <w:pPr>
        <w:pStyle w:val="Heading2"/>
      </w:pPr>
      <w:r>
        <w:t>Lebensqualität bei chronischer Nierenkrankheit: Bildungsstand und Einkommen entscheidend</w:t>
      </w:r>
    </w:p>
    <w:p>
      <w:r>
        <w:rPr>
          <w:i/>
          <w:color w:val="666666"/>
          <w:sz w:val="18"/>
        </w:rPr>
        <w:t>Akter F et al.  ·  BMJ Open  ·  05.10.2026  ·  PMID 42833721</w:t>
      </w:r>
    </w:p>
    <w:p>
      <w:r>
        <w:t>Querschnittstudie (n=315) in Bangladesch zur Identifikation von Profilen der gesundheitsbezogenen Lebensqualität bei CKD mittels latenter Profilanalyse und deren Prädiktoren.</w:t>
      </w:r>
    </w:p>
    <w:p>
      <w:r>
        <w:rPr>
          <w:b/>
        </w:rPr>
        <w:t xml:space="preserve">Ergebnis: </w:t>
      </w:r>
      <w:r>
        <w:t>Drei Qualitäts-Profile: niedrig (20,95 %), mittel (34,29 %), hoch (44,76 %). Höheres Einkommen und Bildung senken Risiko niedriger Lebensqualität; verheiratet und weniger Komorbiditäten erhöhen Wahrscheinlichkeit hoher Lebensqualität. Signifikante Prädiktoren: Einkommen, Bildung, Familienstand, Komorbiditätenanzahl (alle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Low-Resource-Setting; Patient-reported Outcomes-Methodik international anwendbar</w:t>
      </w:r>
    </w:p>
    <w:p>
      <w:r>
        <w:rPr>
          <w:color w:val="5A7D3A"/>
          <w:sz w:val="18"/>
        </w:rPr>
        <w:t>https://pubmed.ncbi.nlm.nih.gov/42833721/</w:t>
      </w:r>
    </w:p>
    <w:p>
      <w:pPr>
        <w:pStyle w:val="Heading2"/>
      </w:pPr>
      <w:r>
        <w:t>Verlängerte Fastenpausen beschleunigen Multimorbidität bei älteren Erwachsenen</w:t>
      </w:r>
    </w:p>
    <w:p>
      <w:r>
        <w:rPr>
          <w:i/>
          <w:color w:val="666666"/>
          <w:sz w:val="18"/>
        </w:rPr>
        <w:t>Kalmbach L et al.  ·  J Intern Med  ·  20.08.2026  ·  PMID 42621849</w:t>
      </w:r>
    </w:p>
    <w:p>
      <w:r>
        <w:t>Längskohorte (n=2.981, ≥60 Jahre) mit 15-jähriger Nachverfolgung zum Zusammenhang zwischen habitueller Fastendauer (längste Essenspause in 24h) und Akkumulation chronischer Erkrankungen.</w:t>
      </w:r>
    </w:p>
    <w:p>
      <w:r>
        <w:rPr>
          <w:b/>
        </w:rPr>
        <w:t xml:space="preserve">Ergebnis: </w:t>
      </w:r>
      <w:r>
        <w:t>Gegenüber kürzesten Fastenpausen (6–11,5 h) zeigten längste Pausen (14–24 h) steilere jährliche Zunahme Gesamtkrankheiten (β=0,119; KI 0,070–0,167), kardiovaskuläre (0,022; KI 0,006–0,038) und neuropsychiatrische Erkrankungen (0,019; KI 0,005–0,033). Effekt nur bei ≥78 Jahren signifikant (β=0,099; KI 0,031–0,168), nicht bei &lt;78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Bevölkerungskohorte; Altersgruppen übertragbar auf deutsche Versorgung</w:t>
      </w:r>
    </w:p>
    <w:p>
      <w:r>
        <w:rPr>
          <w:color w:val="5A7D3A"/>
          <w:sz w:val="18"/>
        </w:rPr>
        <w:t>https://pubmed.ncbi.nlm.nih.gov/42621849/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