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Nicht uebertragbare Krankheiten</w:t>
      </w:r>
    </w:p>
    <w:p>
      <w:r>
        <w:rPr>
          <w:i/>
          <w:color w:val="666666"/>
          <w:sz w:val="18"/>
        </w:rPr>
        <w:t>Stand: 07.10.2026  |  274 Studien  |  ncd.m-vf.de</w:t>
      </w:r>
    </w:p>
    <w:p>
      <w:pPr>
        <w:pStyle w:val="Heading1"/>
      </w:pPr>
      <w:r>
        <w:t>Aufgenommen am 07.10.2026</w:t>
      </w:r>
    </w:p>
    <w:p>
      <w:pPr>
        <w:pStyle w:val="Heading2"/>
      </w:pPr>
      <w:r>
        <w:t>Chronische Nierenkrankheit in der Tertiärversorgung: Screening deckt Unterbehandlung auf</w:t>
      </w:r>
    </w:p>
    <w:p>
      <w:r>
        <w:rPr>
          <w:i/>
          <w:color w:val="666666"/>
          <w:sz w:val="18"/>
        </w:rPr>
        <w:t>Zahradka I et al.  ·  BMJ Open  ·  06.10.2026  ·  PMID 42838586</w:t>
      </w:r>
    </w:p>
    <w:p>
      <w:r>
        <w:t>Querschnittstudie an 2.903 Patienten in Tertiärkliniken Mitteleuropas zur Prävalenz chronischer Nierenkrankheit (CKD) und Nutzung renoprotek­tiver Therapien.</w:t>
      </w:r>
    </w:p>
    <w:p>
      <w:r>
        <w:rPr>
          <w:b/>
        </w:rPr>
        <w:t xml:space="preserve">Ergebnis: </w:t>
      </w:r>
      <w:r>
        <w:t>CKD-Prävalenz 32,5 %; eine neue Diagnose pro 5,2 Gescreente. Renoprotek­tive Therapie stark untergenutzt: SGLT2-Inhibitoren 42 %, GLP-1-Rezeptoragonisten 41,7 %, nichtsteroidale Mineralokortikoidrezeptorantagonisten 6,7 % der Berechtigten. Modellierte Gewinnchancen dialysefreier Zeit durch Therapieeinleitung: 11,13 Monate pro Patient im Durchschnitt.</w:t>
      </w:r>
    </w:p>
    <w:p>
      <w:r>
        <w:rPr>
          <w:b/>
          <w:sz w:val="19"/>
        </w:rPr>
        <w:t xml:space="preserve">Übertragbarkeit: </w:t>
      </w:r>
      <w:r>
        <w:rPr>
          <w:sz w:val="19"/>
        </w:rPr>
        <w:t>Tertiärzentrumsdaten; Übertragbarkeit auf spezialisierte Versorgung in Deutschland eingeschränkt</w:t>
      </w:r>
    </w:p>
    <w:p>
      <w:r>
        <w:rPr>
          <w:color w:val="5A7D3A"/>
          <w:sz w:val="18"/>
        </w:rPr>
        <w:t>https://pubmed.ncbi.nlm.nih.gov/42838586/</w:t>
      </w:r>
    </w:p>
    <w:p>
      <w:pPr>
        <w:pStyle w:val="Heading2"/>
      </w:pPr>
      <w:r>
        <w:t>Begrenzte antivirale Therapie der chronischen Hepatitis B: Mehr HBsAg-Verlust, aber häufige Rückfälle</w:t>
      </w:r>
    </w:p>
    <w:p>
      <w:r>
        <w:rPr>
          <w:i/>
          <w:color w:val="666666"/>
          <w:sz w:val="18"/>
        </w:rPr>
        <w:t>Gomez DP et al.  ·  J Viral Hepat  ·  Nov. 2026  ·  PMID 42834661</w:t>
      </w:r>
    </w:p>
    <w:p>
      <w:r>
        <w:t>Meta-Analyse von 4 randomisierten Studien (n=357) zu endlicher versus unbegrenzter Nukleosid(t)id-Therapie bei HBeAg-negativer chronischer Hepatitis B ohne Zirrhose.</w:t>
      </w:r>
    </w:p>
    <w:p>
      <w:r>
        <w:rPr>
          <w:b/>
        </w:rPr>
        <w:t xml:space="preserve">Ergebnis: </w:t>
      </w:r>
      <w:r>
        <w:t>Therapiebeendigung erhöhte HBsAg-Verlust (RR 5,02; KI 0,47–53,47, niedrige Evidenzsicherheit), aber markant virales Rezidiv (RR 23,09) und Therapierückfall (RR 21,94). Keine hepatische Dekompensation oder schwere unerwünschte Ereignisse. Strategie für selektierte, gut überwachte Patienten in Expertenzentren.</w:t>
      </w:r>
    </w:p>
    <w:p>
      <w:r>
        <w:rPr>
          <w:b/>
          <w:sz w:val="19"/>
        </w:rPr>
        <w:t xml:space="preserve">Übertragbarkeit: </w:t>
      </w:r>
      <w:r>
        <w:rPr>
          <w:sz w:val="19"/>
        </w:rPr>
        <w:t>Internationale RCT-Daten; Übertragbarkeit auf deutsches Versicherungssystem hoch</w:t>
      </w:r>
    </w:p>
    <w:p>
      <w:r>
        <w:rPr>
          <w:color w:val="5A7D3A"/>
          <w:sz w:val="18"/>
        </w:rPr>
        <w:t>https://pubmed.ncbi.nlm.nih.gov/42834661/</w:t>
      </w:r>
    </w:p>
    <w:p>
      <w:pPr>
        <w:pStyle w:val="Heading2"/>
      </w:pPr>
      <w:r>
        <w:t>Direktwirkende Antivirale bei Hepatitis C und Leberkrebs: Hohe Heilungsraten, erhaltene Leberfunktion</w:t>
      </w:r>
    </w:p>
    <w:p>
      <w:r>
        <w:rPr>
          <w:i/>
          <w:color w:val="666666"/>
          <w:sz w:val="18"/>
        </w:rPr>
        <w:t>Sato S et al.  ·  J Viral Hepat  ·  Nov. 2026  ·  PMID 42834589</w:t>
      </w:r>
    </w:p>
    <w:p>
      <w:r>
        <w:t>Retrospektive Kohortenstudie (n=690) zu Wirksamkeit und Leberfunktion nach direktwirkender antiviraler Therapie bei Hepatitis-C-Patienten mit und ohne Leberkrebs (HCC)-Vorgeschichte.</w:t>
      </w:r>
    </w:p>
    <w:p>
      <w:r>
        <w:rPr>
          <w:b/>
        </w:rPr>
        <w:t xml:space="preserve">Ergebnis: </w:t>
      </w:r>
      <w:r>
        <w:t>Gesamte SVR12-Rate 96,1 % über alle Gruppen, unabhängig von HCC-Vorgeschichte. ALBI-Score (Leberfunktion) verbesserte sich bei kurativer HCC-Behandlung (−2,35 zu −2,58, p&lt;0,001), blieb unter nicht-kurativer Behandlung stabil. Bei HCC-Rezidiv ALBI-Score verbessert (−2,31 zu −2,57, p&lt;0,001); &gt;90 % blieben Child-Pugh A.</w:t>
      </w:r>
    </w:p>
    <w:p>
      <w:r>
        <w:rPr>
          <w:b/>
          <w:sz w:val="19"/>
        </w:rPr>
        <w:t xml:space="preserve">Übertragbarkeit: </w:t>
      </w:r>
      <w:r>
        <w:rPr>
          <w:sz w:val="19"/>
        </w:rPr>
        <w:t>Japanisches Zentrum; Leberfunktionsergebnisse international vergleichbar</w:t>
      </w:r>
    </w:p>
    <w:p>
      <w:r>
        <w:rPr>
          <w:color w:val="5A7D3A"/>
          <w:sz w:val="18"/>
        </w:rPr>
        <w:t>https://pubmed.ncbi.nlm.nih.gov/42834589/</w:t>
      </w:r>
    </w:p>
    <w:p>
      <w:pPr>
        <w:pStyle w:val="Heading2"/>
      </w:pPr>
      <w:r>
        <w:t>Lebensqualität bei chronischer Nierenkrankheit: Bildungsstand und Einkommen entscheidend</w:t>
      </w:r>
    </w:p>
    <w:p>
      <w:r>
        <w:rPr>
          <w:i/>
          <w:color w:val="666666"/>
          <w:sz w:val="18"/>
        </w:rPr>
        <w:t>Akter F et al.  ·  BMJ Open  ·  05.10.2026  ·  PMID 42833721</w:t>
      </w:r>
    </w:p>
    <w:p>
      <w:r>
        <w:t>Querschnittstudie (n=315) in Bangladesch zur Identifikation von Profilen der gesundheitsbezogenen Lebensqualität bei CKD mittels latenter Profilanalyse und deren Prädiktoren.</w:t>
      </w:r>
    </w:p>
    <w:p>
      <w:r>
        <w:rPr>
          <w:b/>
        </w:rPr>
        <w:t xml:space="preserve">Ergebnis: </w:t>
      </w:r>
      <w:r>
        <w:t>Drei Qualitäts-Profile: niedrig (20,95 %), mittel (34,29 %), hoch (44,76 %). Höheres Einkommen und Bildung senken Risiko niedriger Lebensqualität; verheiratet und weniger Komorbiditäten erhöhen Wahrscheinlichkeit hoher Lebensqualität. Signifikante Prädiktoren: Einkommen, Bildung, Familienstand, Komorbiditätenanzahl (alle p&lt;0,05).</w:t>
      </w:r>
    </w:p>
    <w:p>
      <w:r>
        <w:rPr>
          <w:b/>
          <w:sz w:val="19"/>
        </w:rPr>
        <w:t xml:space="preserve">Übertragbarkeit: </w:t>
      </w:r>
      <w:r>
        <w:rPr>
          <w:sz w:val="19"/>
        </w:rPr>
        <w:t>Low-Resource-Setting; Patient-reported Outcomes-Methodik international anwendbar</w:t>
      </w:r>
    </w:p>
    <w:p>
      <w:r>
        <w:rPr>
          <w:color w:val="5A7D3A"/>
          <w:sz w:val="18"/>
        </w:rPr>
        <w:t>https://pubmed.ncbi.nlm.nih.gov/42833721/</w:t>
      </w:r>
    </w:p>
    <w:p>
      <w:pPr>
        <w:pStyle w:val="Heading2"/>
      </w:pPr>
      <w:r>
        <w:t>Verlängerte Fastenpausen beschleunigen Multimorbidität bei älteren Erwachsenen</w:t>
      </w:r>
    </w:p>
    <w:p>
      <w:r>
        <w:rPr>
          <w:i/>
          <w:color w:val="666666"/>
          <w:sz w:val="18"/>
        </w:rPr>
        <w:t>Kalmbach L et al.  ·  J Intern Med  ·  20.08.2026  ·  PMID 42621849</w:t>
      </w:r>
    </w:p>
    <w:p>
      <w:r>
        <w:t>Längskohorte (n=2.981, ≥60 Jahre) mit 15-jähriger Nachverfolgung zum Zusammenhang zwischen habitueller Fastendauer (längste Essenspause in 24h) und Akkumulation chronischer Erkrankungen.</w:t>
      </w:r>
    </w:p>
    <w:p>
      <w:r>
        <w:rPr>
          <w:b/>
        </w:rPr>
        <w:t xml:space="preserve">Ergebnis: </w:t>
      </w:r>
      <w:r>
        <w:t>Gegenüber kürzesten Fastenpausen (6–11,5 h) zeigten längste Pausen (14–24 h) steilere jährliche Zunahme Gesamtkrankheiten (β=0,119; KI 0,070–0,167), kardiovaskuläre (0,022; KI 0,006–0,038) und neuropsychiatrische Erkrankungen (0,019; KI 0,005–0,033). Effekt nur bei ≥78 Jahren signifikant (β=0,099; KI 0,031–0,168), nicht bei &lt;78 Jahren.</w:t>
      </w:r>
    </w:p>
    <w:p>
      <w:r>
        <w:rPr>
          <w:b/>
          <w:sz w:val="19"/>
        </w:rPr>
        <w:t xml:space="preserve">Übertragbarkeit: </w:t>
      </w:r>
      <w:r>
        <w:rPr>
          <w:sz w:val="19"/>
        </w:rPr>
        <w:t>Schwedische Bevölkerungskohorte; Altersgruppen übertragbar auf deutsche Versorgung</w:t>
      </w:r>
    </w:p>
    <w:p>
      <w:r>
        <w:rPr>
          <w:color w:val="5A7D3A"/>
          <w:sz w:val="18"/>
        </w:rPr>
        <w:t>https://pubmed.ncbi.nlm.nih.gov/42621849/</w:t>
      </w:r>
    </w:p>
    <w:p>
      <w:pPr>
        <w:pStyle w:val="Heading1"/>
      </w:pPr>
      <w:r>
        <w:t>Aufgenommen am 06.10.2026</w:t>
      </w:r>
    </w:p>
    <w:p>
      <w:pPr>
        <w:pStyle w:val="Heading2"/>
      </w:pPr>
      <w:r>
        <w:t>Hausarztpraxen für Flüchtlinge mit Hepatitis B besser geeignet als Spezialkliniken</w:t>
      </w:r>
    </w:p>
    <w:p>
      <w:r>
        <w:rPr>
          <w:i/>
          <w:color w:val="666666"/>
          <w:sz w:val="18"/>
        </w:rPr>
        <w:t>Fakhouri A et al.  ·  Aust J Prim Health  ·  20.10.2026  ·  PMID 42833621</w:t>
      </w:r>
    </w:p>
    <w:p>
      <w:r>
        <w:t>Qualitative australische Studie (15 semi-strukturierte Interviews): Erkundung, wie Hausarztpraxen für Flüchtlinge chronische Hepatitis-B-Versorgung gestalten und wo Verbesserungen nötig sind.</w:t>
      </w:r>
    </w:p>
    <w:p>
      <w:r>
        <w:rPr>
          <w:b/>
        </w:rPr>
        <w:t xml:space="preserve">Ergebnis: </w:t>
      </w:r>
      <w:r>
        <w:t>Hausarztpraxen bieten Vorteile: Comunity-Integration, Rapport, Dolmetscher-Services. Barrieren sind Gesundheitskompetenz und Kosten. Empfehlung: Finanzierung und Schulung von Hausarztpraxen zur HBV-Versorgung würden bessere Ergebnisse für vulnerable Bevölkerung bringen.</w:t>
      </w:r>
    </w:p>
    <w:p>
      <w:r>
        <w:rPr>
          <w:b/>
          <w:sz w:val="19"/>
        </w:rPr>
        <w:t xml:space="preserve">Übertragbarkeit: </w:t>
      </w:r>
      <w:r>
        <w:rPr>
          <w:sz w:val="19"/>
        </w:rPr>
        <w:t>Australien - hohes Einkommen, andere Struktur, aber Ungleichheitsfrage universell</w:t>
      </w:r>
    </w:p>
    <w:p>
      <w:r>
        <w:rPr>
          <w:color w:val="5A7D3A"/>
          <w:sz w:val="18"/>
        </w:rPr>
        <w:t>https://pubmed.ncbi.nlm.nih.gov/42833621/</w:t>
      </w:r>
    </w:p>
    <w:p>
      <w:pPr>
        <w:pStyle w:val="Heading2"/>
      </w:pPr>
      <w:r>
        <w:t>Ein Viertel der COPD-Patienten hat Exazerbationen trotz Doppel- oder Tripeltherapie</w:t>
      </w:r>
    </w:p>
    <w:p>
      <w:r>
        <w:rPr>
          <w:i/>
          <w:color w:val="666666"/>
          <w:sz w:val="18"/>
        </w:rPr>
        <w:t>Radovanovic D et al.  ·  Int J Chron Obstruct Pulmon Dis  ·  30.09.2026  ·  PMID 42831088</w:t>
      </w:r>
    </w:p>
    <w:p>
      <w:r>
        <w:t>Italienische GULP-Kohorte (1.111 COPD-Patienten): Exploratorische Analyse zur Häufigkeit anhaltender Symptome unter optimaler Erhaltungstherapie und Identifikation von Kandidaten für Biologika.</w:t>
      </w:r>
    </w:p>
    <w:p>
      <w:r>
        <w:rPr>
          <w:b/>
        </w:rPr>
        <w:t xml:space="preserve">Ergebnis: </w:t>
      </w:r>
      <w:r>
        <w:t>Von 1.111 Patienten hatten 286 (25,7%) ≥2 moderate oder ≥1 schwere Exazerbation/Jahr trotz Doppel- oder Tripeltherapie. Davon zeigten 51–75% hohe Symptombelastung (Dyspnoe, Husten, Sputum), nur 7,2% eosinophile COPD. Dupilumab in Italien für eosinophile exazerbierende COPD zugelassen.</w:t>
      </w:r>
    </w:p>
    <w:p>
      <w:r>
        <w:rPr>
          <w:b/>
          <w:sz w:val="19"/>
        </w:rPr>
        <w:t xml:space="preserve">Übertragbarkeit: </w:t>
      </w:r>
      <w:r>
        <w:rPr>
          <w:sz w:val="19"/>
        </w:rPr>
        <w:t>Italien, europäisches Sozialversicherungssystem, vergleichbare DMP-Struktur</w:t>
      </w:r>
    </w:p>
    <w:p>
      <w:r>
        <w:rPr>
          <w:color w:val="5A7D3A"/>
          <w:sz w:val="18"/>
        </w:rPr>
        <w:t>https://pubmed.ncbi.nlm.nih.gov/42831088/</w:t>
      </w:r>
    </w:p>
    <w:p>
      <w:pPr>
        <w:pStyle w:val="Heading2"/>
      </w:pPr>
      <w:r>
        <w:t>Schwere Fettleber assoziiert mit Fibrose bei chronischer Hepatitis B in Afrika</w:t>
      </w:r>
    </w:p>
    <w:p>
      <w:r>
        <w:rPr>
          <w:i/>
          <w:color w:val="666666"/>
          <w:sz w:val="18"/>
        </w:rPr>
        <w:t>Chabala FW et al.  ·  J Viral Hepat  ·  Nov. 2026  ·  PMID 42830592</w:t>
      </w:r>
    </w:p>
    <w:p>
      <w:r>
        <w:t>Multiländer-Studie (HEPSANET) mit 1.601 CHB-Patienten in sechs afrikanischen Ländern: Transiente Elastographie zeigte, dass schwere Steatose unabhängig mit erhöhtem Fibrose-Risiko verbunden war.</w:t>
      </w:r>
    </w:p>
    <w:p>
      <w:r>
        <w:rPr>
          <w:b/>
        </w:rPr>
        <w:t xml:space="preserve">Ergebnis: </w:t>
      </w:r>
      <w:r>
        <w:t>Schwere Steatose (CAP ≥280 dB/m) war mit 8,4% erhöhter Fibrose-Wahrscheinlichkeit assoziiert (95%-KI 1,9-14,9%). Milde und moderate Steatose zeigten diese Assoziation nicht. Prävalenz von Fettleber: 26,3%, davon 13,7% schwer.</w:t>
      </w:r>
    </w:p>
    <w:p>
      <w:r>
        <w:rPr>
          <w:b/>
          <w:sz w:val="19"/>
        </w:rPr>
        <w:t xml:space="preserve">Übertragbarkeit: </w:t>
      </w:r>
      <w:r>
        <w:rPr>
          <w:sz w:val="19"/>
        </w:rPr>
        <w:t>Afrika, andere Soziostruktur - Screening-Implikation übertragbar</w:t>
      </w:r>
    </w:p>
    <w:p>
      <w:r>
        <w:rPr>
          <w:color w:val="5A7D3A"/>
          <w:sz w:val="18"/>
        </w:rPr>
        <w:t>https://pubmed.ncbi.nlm.nih.gov/42830592/</w:t>
      </w:r>
    </w:p>
    <w:p>
      <w:pPr>
        <w:pStyle w:val="Heading2"/>
      </w:pPr>
      <w:r>
        <w:t>Bewegung reduzierte Mortalität und Leberversagen bei chronischer Hepatitis B um 11 Prozent</w:t>
      </w:r>
    </w:p>
    <w:p>
      <w:r>
        <w:rPr>
          <w:i/>
          <w:color w:val="666666"/>
          <w:sz w:val="18"/>
        </w:rPr>
        <w:t>Song BG et al.  ·  J Viral Hepat  ·  Nov. 2026  ·  PMID 42830566</w:t>
      </w:r>
    </w:p>
    <w:p>
      <w:r>
        <w:t>Südkoreanische Kohortenstudie mit 318.131 CHB-Patienten: Wer körperliche Aktivität aufnahm, hatte niedrigere Risiken für Tod und Komplikationen als körperlich Inaktive.</w:t>
      </w:r>
    </w:p>
    <w:p>
      <w:r>
        <w:rPr>
          <w:b/>
        </w:rPr>
        <w:t xml:space="preserve">Ergebnis: </w:t>
      </w:r>
      <w:r>
        <w:t>Hazard Ratio für Mortalität 0,89 (95%-KI 0,84-0,94) bei Aufnahme von Ausdaueraktivität; für Leberversagen subdistribution HR 0,94 (95%-KI 0,92-0,97) über 7,9 Jahre Nachfolge. Der Effekt war stärker in älteren, weiblichen und nicht-rauchenden Patienten.</w:t>
      </w:r>
    </w:p>
    <w:p>
      <w:r>
        <w:rPr>
          <w:b/>
          <w:sz w:val="19"/>
        </w:rPr>
        <w:t xml:space="preserve">Übertragbarkeit: </w:t>
      </w:r>
      <w:r>
        <w:rPr>
          <w:sz w:val="19"/>
        </w:rPr>
        <w:t>Südkorea - vergleichbares Gesundheitssystem, Versicherungsdaten hochwertig</w:t>
      </w:r>
    </w:p>
    <w:p>
      <w:r>
        <w:rPr>
          <w:color w:val="5A7D3A"/>
          <w:sz w:val="18"/>
        </w:rPr>
        <w:t>https://pubmed.ncbi.nlm.nih.gov/42830566/</w:t>
      </w:r>
    </w:p>
    <w:p>
      <w:pPr>
        <w:pStyle w:val="Heading2"/>
      </w:pPr>
      <w:r>
        <w:t>Chronische Erkrankungen bei Kindern: Register unterschätzen Prävalenz um mindestens 10 Prozent</w:t>
      </w:r>
    </w:p>
    <w:p>
      <w:r>
        <w:rPr>
          <w:i/>
          <w:color w:val="666666"/>
          <w:sz w:val="18"/>
        </w:rPr>
        <w:t>Andersen A et al.  ·  Eur J Pediatr  ·  03.10.2026  ·  PMID 42828548</w:t>
      </w:r>
    </w:p>
    <w:p>
      <w:r>
        <w:t>Dänische Studie: Verglich nationale Register mit Selbstberichten auf Prävalenz chronischer Erkrankungen bei Kindern und Jugendlichen; Registerbasierte Methode erfasst nur einen Teil.</w:t>
      </w:r>
    </w:p>
    <w:p>
      <w:r>
        <w:rPr>
          <w:b/>
        </w:rPr>
        <w:t xml:space="preserve">Ergebnis: </w:t>
      </w:r>
      <w:r>
        <w:t>Register zeigten Prävalenz 9,3–22,0% je nach Alter und Geschlecht; Selbstberichte 28,4–34,2%. 14,6–15,3% der Jugendlichen mit selbstberichteter chronischer Erkrankung waren im Alltag beeinträchtigt – im Register nicht sichtbar.</w:t>
      </w:r>
    </w:p>
    <w:p>
      <w:r>
        <w:rPr>
          <w:b/>
          <w:sz w:val="19"/>
        </w:rPr>
        <w:t xml:space="preserve">Übertragbarkeit: </w:t>
      </w:r>
      <w:r>
        <w:rPr>
          <w:sz w:val="19"/>
        </w:rPr>
        <w:t>Dänemark - skandinavisches System, enge Datenbankqualität wie in Deutschland, Methodenfrage universal</w:t>
      </w:r>
    </w:p>
    <w:p>
      <w:r>
        <w:rPr>
          <w:color w:val="5A7D3A"/>
          <w:sz w:val="18"/>
        </w:rPr>
        <w:t>https://pubmed.ncbi.nlm.nih.gov/42828548/</w:t>
      </w:r>
    </w:p>
    <w:p>
      <w:pPr>
        <w:pStyle w:val="Heading2"/>
      </w:pPr>
      <w:r>
        <w:t>Biologika spielen zentrale Rolle in schwerem Asthma, COPD-Klassifikation vereinfacht</w:t>
      </w:r>
    </w:p>
    <w:p>
      <w:r>
        <w:rPr>
          <w:i/>
          <w:color w:val="666666"/>
          <w:sz w:val="18"/>
        </w:rPr>
        <w:t>Salah Manoh JL et al.  ·  Rev Med Suisse  ·  23.09.2026  ·  PMID 42779315</w:t>
      </w:r>
    </w:p>
    <w:p>
      <w:r>
        <w:t>Schweizer Reviewartikel (nicht empirisch): Aktuelle GOLD- und globale Guidelines zur COPD und Asthma – Vereinfachung der COPD-Stratifizierung, erweiterte Rolle von Biologika, geänderte Exazerbationsdefinition.</w:t>
      </w:r>
    </w:p>
    <w:p>
      <w:r>
        <w:rPr>
          <w:b/>
        </w:rPr>
        <w:t xml:space="preserve">Ergebnis: </w:t>
      </w:r>
      <w:r>
        <w:t>COPD wird nun in nur 3 Gruppen eingeteilt (A, B, E); eine einzelne moderate Exazerbation reicht für Hochrisiko-Kategorie E. Asthma: Biologika zentral in schwerer Form, Salbutamol-Monotherapie nicht mehr empfohlen.</w:t>
      </w:r>
    </w:p>
    <w:p>
      <w:r>
        <w:rPr>
          <w:b/>
          <w:sz w:val="19"/>
        </w:rPr>
        <w:t xml:space="preserve">Übertragbarkeit: </w:t>
      </w:r>
      <w:r>
        <w:rPr>
          <w:sz w:val="19"/>
        </w:rPr>
        <w:t>Schweiz, vergleichbares Versicherungssystem, Leitlinien gelten auch in Deutschland</w:t>
      </w:r>
    </w:p>
    <w:p>
      <w:r>
        <w:rPr>
          <w:color w:val="5A7D3A"/>
          <w:sz w:val="18"/>
        </w:rPr>
        <w:t>https://pubmed.ncbi.nlm.nih.gov/42779315/</w:t>
      </w:r>
    </w:p>
    <w:p>
      <w:pPr>
        <w:pStyle w:val="Heading1"/>
      </w:pPr>
      <w:r>
        <w:t>Aufgenommen am 05.10.2026</w:t>
      </w:r>
    </w:p>
    <w:p>
      <w:pPr>
        <w:pStyle w:val="Heading2"/>
      </w:pPr>
      <w:r>
        <w:t>Glucose Disposal Rate assoziiert mit chronischer Nierenkrankheit bei älteren Diabetikern</w:t>
      </w:r>
    </w:p>
    <w:p>
      <w:r>
        <w:rPr>
          <w:i/>
          <w:color w:val="666666"/>
          <w:sz w:val="18"/>
        </w:rPr>
        <w:t>Chen X et al.  ·  Clin Interv Aging  ·  28.09.2026  ·  PMID 42829537</w:t>
      </w:r>
    </w:p>
    <w:p>
      <w:r>
        <w:t>Querschnittsstudie mit 713 älteren (≥60 J.) Typ-2-Diabetes-Patienten aus Zhejiang, China; CKD nach eGFR oder UACR definiert.</w:t>
      </w:r>
    </w:p>
    <w:p>
      <w:r>
        <w:rPr>
          <w:b/>
        </w:rPr>
        <w:t xml:space="preserve">Ergebnis: </w:t>
      </w:r>
      <w:r>
        <w:t>Pro 1-Unit eGDR-Anstieg: OR 0,78 (95%-KI 0,70–0,86) für CKD. Höchstes vs. niedrigstes Tertil: OR 0,31 (95%-KI 0,20–0,48). Linear inverse Beziehung (RCS p&gt;0,05). eGDR inversiv mit UACR (ρ=−0,277, p&lt;0,001), nicht mit eGFR. AUC 0,65 – Diskriminationsfähigkeit bescheiden; prospektive Studien nötig.</w:t>
      </w:r>
    </w:p>
    <w:p>
      <w:r>
        <w:rPr>
          <w:b/>
          <w:sz w:val="19"/>
        </w:rPr>
        <w:t xml:space="preserve">Übertragbarkeit: </w:t>
      </w:r>
      <w:r>
        <w:rPr>
          <w:sz w:val="19"/>
        </w:rPr>
        <w:t>China – Mechanismus für deutsches DMP-System bedingt übertragbar</w:t>
      </w:r>
    </w:p>
    <w:p>
      <w:r>
        <w:rPr>
          <w:color w:val="5A7D3A"/>
          <w:sz w:val="18"/>
        </w:rPr>
        <w:t>https://pubmed.ncbi.nlm.nih.gov/42829537/</w:t>
      </w:r>
    </w:p>
    <w:p>
      <w:pPr>
        <w:pStyle w:val="Heading2"/>
      </w:pPr>
      <w:r>
        <w:t>COPD erhöht Sturz- und Osteoporoserisiko deutlich</w:t>
      </w:r>
    </w:p>
    <w:p>
      <w:r>
        <w:rPr>
          <w:i/>
          <w:color w:val="666666"/>
          <w:sz w:val="18"/>
        </w:rPr>
        <w:t>Liu P et al.  ·  Int J Chron Obstruct Pulmon Dis  ·  28.09.2026  ·  PMID 42827947</w:t>
      </w:r>
    </w:p>
    <w:p>
      <w:r>
        <w:t>Kohortenstudie mit 474.669 UK-Biobank-Teilnehmern untersuchte die Assoziation von COPD mit Stürzen und Osteoporose über 12 Jahre.</w:t>
      </w:r>
    </w:p>
    <w:p>
      <w:r>
        <w:rPr>
          <w:b/>
        </w:rPr>
        <w:t xml:space="preserve">Ergebnis: </w:t>
      </w:r>
      <w:r>
        <w:t>COPD war assoziiert mit höherem Sturzrisiko (HR 1,51; 95%-KI 1,45–1,58) und Osteoporoserisiko (HR 2,37; 95%-KI 2,22–2,53). Rauchen modifizierte die Sturzassoziation (aktuelle Raucher HR 1,77 vs. Niemals-Raucher HR 1,37). Die Befunde zeigen bedeutsame Mehrfacherkrankungen bei COPD.</w:t>
      </w:r>
    </w:p>
    <w:p>
      <w:r>
        <w:rPr>
          <w:b/>
          <w:sz w:val="19"/>
        </w:rPr>
        <w:t xml:space="preserve">Übertragbarkeit: </w:t>
      </w:r>
      <w:r>
        <w:rPr>
          <w:sz w:val="19"/>
        </w:rPr>
        <w:t>UK-Biobank mit vergleichbar strukturiertem Gesundheitssystem</w:t>
      </w:r>
    </w:p>
    <w:p>
      <w:r>
        <w:rPr>
          <w:color w:val="5A7D3A"/>
          <w:sz w:val="18"/>
        </w:rPr>
        <w:t>https://pubmed.ncbi.nlm.nih.gov/42827947/</w:t>
      </w:r>
    </w:p>
    <w:p>
      <w:pPr>
        <w:pStyle w:val="Heading2"/>
      </w:pPr>
      <w:r>
        <w:t>SGLT2-Inhibitoren bei Diabetes mit chronischer Nierenkrankheit: Meta-Analyse</w:t>
      </w:r>
    </w:p>
    <w:p>
      <w:r>
        <w:rPr>
          <w:i/>
          <w:color w:val="666666"/>
          <w:sz w:val="18"/>
        </w:rPr>
        <w:t>Shi X et al.  ·  Medicine (Baltimore)  ·  02.10.2026  ·  PMID 42826278</w:t>
      </w:r>
    </w:p>
    <w:p>
      <w:r>
        <w:t>Systematische Übersicht und Meta-Analyse von 17 RCTs mit 29.192 Patienten mit Diabetes und CKD zur Wirksamkeit von SGLT2-Inhibitoren.</w:t>
      </w:r>
    </w:p>
    <w:p>
      <w:r>
        <w:rPr>
          <w:b/>
        </w:rPr>
        <w:t xml:space="preserve">Ergebnis: </w:t>
      </w:r>
      <w:r>
        <w:t>SGLT2-Inhibitoren reduzierten HbA1c (−0,40 %), Körpergewicht (−1,36 kg) und Blutdruck (−2,98 mmHg systolisch); eGFR und Albuminurie neutral kurzfristig (p&gt;0,05). Volumendepletion-Ereignisse erhöht (RR 1,36; 95%-KI 1,16–1,59). Kardiorenal-protektive Effekte langfristig dokumentiert, Monitoring essentiell.</w:t>
      </w:r>
    </w:p>
    <w:p>
      <w:r>
        <w:rPr>
          <w:b/>
          <w:sz w:val="19"/>
        </w:rPr>
        <w:t xml:space="preserve">Übertragbarkeit: </w:t>
      </w:r>
      <w:r>
        <w:rPr>
          <w:sz w:val="19"/>
        </w:rPr>
        <w:t>Europäische und deutsche Registerstudien zur SGLT2-Anwendung vorhanden</w:t>
      </w:r>
    </w:p>
    <w:p>
      <w:r>
        <w:rPr>
          <w:color w:val="5A7D3A"/>
          <w:sz w:val="18"/>
        </w:rPr>
        <w:t>https://pubmed.ncbi.nlm.nih.gov/42826278/</w:t>
      </w:r>
    </w:p>
    <w:p>
      <w:pPr>
        <w:pStyle w:val="Heading2"/>
      </w:pPr>
      <w:r>
        <w:t>SIRI-Index prognostiziert Mortalität bei COPD-Exazerbation</w:t>
      </w:r>
    </w:p>
    <w:p>
      <w:r>
        <w:rPr>
          <w:i/>
          <w:color w:val="666666"/>
          <w:sz w:val="18"/>
        </w:rPr>
        <w:t>Bai Y  ·  Medicine (Baltimore)  ·  02.10.2026  ·  PMID 42826271</w:t>
      </w:r>
    </w:p>
    <w:p>
      <w:r>
        <w:t>Retrospektive Kohortenanalyse aus MIMIC-III-Datenbank: 426 AECOPD-Patienten; 30-Tage-Mortalität 26,6 %.</w:t>
      </w:r>
    </w:p>
    <w:p>
      <w:r>
        <w:rPr>
          <w:b/>
        </w:rPr>
        <w:t xml:space="preserve">Ergebnis: </w:t>
      </w:r>
      <w:r>
        <w:t>SIRI (Systemische Inflammations-Response-Index) war unabhängiger Risikofaktor für 30-Tage-Mortalität (HR 1,743; 95%-KI 1,169–2,598; p=0,006). Optimaler Schwellwert 10,56 × 10⁹/L. AUC 0,612 besser als WBC/Neutrophile (0,584/0,557), ähnlich SOFA (0,619). SIRI könnte Triage und Prognose in der Akutversorgung lenken.</w:t>
      </w:r>
    </w:p>
    <w:p>
      <w:r>
        <w:rPr>
          <w:b/>
          <w:sz w:val="19"/>
        </w:rPr>
        <w:t xml:space="preserve">Übertragbarkeit: </w:t>
      </w:r>
      <w:r>
        <w:rPr>
          <w:sz w:val="19"/>
        </w:rPr>
        <w:t>Intensivmedizinische Datenbanken in Deutschland ähnlich verfügbar</w:t>
      </w:r>
    </w:p>
    <w:p>
      <w:r>
        <w:rPr>
          <w:color w:val="5A7D3A"/>
          <w:sz w:val="18"/>
        </w:rPr>
        <w:t>https://pubmed.ncbi.nlm.nih.gov/42826271/</w:t>
      </w:r>
    </w:p>
    <w:p>
      <w:pPr>
        <w:pStyle w:val="Heading2"/>
      </w:pPr>
      <w:r>
        <w:t>Nebulisiertes Furosemid plus Bronchodilatatoren senkt Symptome und Entzündung bei COPD-Exazerbation</w:t>
      </w:r>
    </w:p>
    <w:p>
      <w:r>
        <w:rPr>
          <w:i/>
          <w:color w:val="666666"/>
          <w:sz w:val="18"/>
        </w:rPr>
        <w:t>Behi M et al.  ·  Iran J Allergy Asthma Immunol  ·  12.08.2026  ·  PMID 42825900</w:t>
      </w:r>
    </w:p>
    <w:p>
      <w:r>
        <w:t>Randomisierte kontrollierte Studie mit 92 hospitalisierten COPD-Exazerbationspatienten verglich Salbutamol-Ipratropium allein versus mit Furosemid (20 mg).</w:t>
      </w:r>
    </w:p>
    <w:p>
      <w:r>
        <w:rPr>
          <w:b/>
        </w:rPr>
        <w:t xml:space="preserve">Ergebnis: </w:t>
      </w:r>
      <w:r>
        <w:t>Interventionsgruppe zeigte signifikante Verbesserungen: mMRC- und CAT-Scores abgesunken, FEV₁/FVC-Ratio erhöht, IL-6 und IL-8 abgesunken (p&lt;0,05), höhere PaO₂ und niedrigere PaCO₂. Keine Nebenwirkungen berichtet. Adjuvante Therapie verbesserte Lungenfunktion und reduzierte Systementzündung.</w:t>
      </w:r>
    </w:p>
    <w:p>
      <w:r>
        <w:rPr>
          <w:b/>
          <w:sz w:val="19"/>
        </w:rPr>
        <w:t xml:space="preserve">Übertragbarkeit: </w:t>
      </w:r>
      <w:r>
        <w:rPr>
          <w:sz w:val="19"/>
        </w:rPr>
        <w:t>Iran – Machbarkeit für strukturierte Inhalationstherapieprogramme prüfen</w:t>
      </w:r>
    </w:p>
    <w:p>
      <w:r>
        <w:rPr>
          <w:color w:val="5A7D3A"/>
          <w:sz w:val="18"/>
        </w:rPr>
        <w:t>https://pubmed.ncbi.nlm.nih.gov/42825900/</w:t>
      </w:r>
    </w:p>
    <w:p>
      <w:pPr>
        <w:pStyle w:val="Heading2"/>
      </w:pPr>
      <w:r>
        <w:t>Unreife Neutrophilen und erhöhte Myeloperoxidase bei CKD mit kardiovaskulären Komorbiditäten</w:t>
      </w:r>
    </w:p>
    <w:p>
      <w:r>
        <w:rPr>
          <w:i/>
          <w:color w:val="666666"/>
          <w:sz w:val="18"/>
        </w:rPr>
        <w:t>Vondenhoff S et al.  ·  Acta Physiol (Oxf)  ·  Sept. 2026  ·  PMID 42613304</w:t>
      </w:r>
    </w:p>
    <w:p>
      <w:r>
        <w:t>Vergleichende Flow-Cytometrie-Studie an zwei unabhängigen Kohorten männlicher CKD-Patienten (moderat bis fortgeschritten) versus gesunde Kontrollen.</w:t>
      </w:r>
    </w:p>
    <w:p>
      <w:r>
        <w:rPr>
          <w:b/>
        </w:rPr>
        <w:t xml:space="preserve">Ergebnis: </w:t>
      </w:r>
      <w:r>
        <w:t>CKD-Patienten zeigten reduzierte CD10-Expression auf Neutrophilen und erhöhte Plasma-Myeloperoxidase unabhängig von Entzündungsgrad oder NT-proBNP (p&lt;0,001). Unreife Neutrophilen-Phänotyp war kardiorenal-übergreifend konsistent, könnte zum erhöhten kardiovaskulären Risiko beitragen.</w:t>
      </w:r>
    </w:p>
    <w:p>
      <w:r>
        <w:rPr>
          <w:b/>
          <w:sz w:val="19"/>
        </w:rPr>
        <w:t xml:space="preserve">Übertragbarkeit: </w:t>
      </w:r>
      <w:r>
        <w:rPr>
          <w:sz w:val="19"/>
        </w:rPr>
        <w:t>Deutsche Krankenhaus-Daten zur Neutrophilen-Phenotypisierung verfügbar</w:t>
      </w:r>
    </w:p>
    <w:p>
      <w:r>
        <w:rPr>
          <w:color w:val="5A7D3A"/>
          <w:sz w:val="18"/>
        </w:rPr>
        <w:t>https://pubmed.ncbi.nlm.nih.gov/42613304/</w:t>
      </w:r>
    </w:p>
    <w:p>
      <w:pPr>
        <w:pStyle w:val="Heading1"/>
      </w:pPr>
      <w:r>
        <w:t>Aufgenommen am 04.10.2026</w:t>
      </w:r>
    </w:p>
    <w:p>
      <w:pPr>
        <w:pStyle w:val="Heading2"/>
      </w:pPr>
      <w:r>
        <w:t>Integriertes NCD-Screening in HIV- und COVID-Kliniken verbessert Früherkennung um 74 %</w:t>
      </w:r>
    </w:p>
    <w:p>
      <w:r>
        <w:rPr>
          <w:i/>
          <w:color w:val="666666"/>
          <w:sz w:val="18"/>
        </w:rPr>
        <w:t>Jithoo N et al.  ·  Front Public Health  ·  17.09.2026  ·  PMID 42824930</w:t>
      </w:r>
    </w:p>
    <w:p>
      <w:r>
        <w:t>Südafrika: Pilotprojekt zur Integration von Screening auf chronische Erkrankungen (Nierenerkrankung, Übergewicht, Dyslipidämie) in bestehende HIV- und COVID-19-Impfkliniken bei 461 Teilnehmern; Prävalenz neuer Diagnosen und Versorgungsgaps untersucht.</w:t>
      </w:r>
    </w:p>
    <w:p>
      <w:r>
        <w:rPr>
          <w:b/>
        </w:rPr>
        <w:t xml:space="preserve">Ergebnis: </w:t>
      </w:r>
      <w:r>
        <w:t>73,9 % der Teilnehmer erhielten neue NCD-Diagnosen: Nierenerkrankung (31,7 %), Adipositas (28,9 %), Dyslipidämie (25,8 %). Modifizierbare kardiovaskuläre Risikofaktoren waren weit verbreitet: Adipositas (63,9 %), Alkoholkonsum (50 %). Integriertes Screening erwies sich als machbar und bot Gelegenheit für frühe Intervention.</w:t>
      </w:r>
    </w:p>
    <w:p>
      <w:r>
        <w:rPr>
          <w:b/>
          <w:sz w:val="19"/>
        </w:rPr>
        <w:t xml:space="preserve">Übertragbarkeit: </w:t>
      </w:r>
      <w:r>
        <w:rPr>
          <w:sz w:val="19"/>
        </w:rPr>
        <w:t>Ressourcenbegrenzte Länder, ähnliche Gesundheitssystem-Herausforderungen wie LMIC</w:t>
      </w:r>
    </w:p>
    <w:p>
      <w:r>
        <w:rPr>
          <w:color w:val="5A7D3A"/>
          <w:sz w:val="18"/>
        </w:rPr>
        <w:t>https://pubmed.ncbi.nlm.nih.gov/42824930/</w:t>
      </w:r>
    </w:p>
    <w:p>
      <w:pPr>
        <w:pStyle w:val="Heading2"/>
      </w:pPr>
      <w:r>
        <w:t>Untergewicht vorhersagt Nierenerkrankung bei Typ-2-Diabetes besser als Adipositas</w:t>
      </w:r>
    </w:p>
    <w:p>
      <w:r>
        <w:rPr>
          <w:i/>
          <w:color w:val="666666"/>
          <w:sz w:val="18"/>
        </w:rPr>
        <w:t>Chung SM et al.  ·  Front Endocrinol (Lausanne)  ·  17.09.2026  ·  PMID 42823990</w:t>
      </w:r>
    </w:p>
    <w:p>
      <w:r>
        <w:t>Südkorea: Nationale Kohortenstudie (1.824.317 Erwachsene ≥40 Jahre mit Typ-2-Diabetes): Assoziation zwischen BMI, Taillenumfang und Inzidenz von Nierenerkrankung (definiert nach altersgerechten eGFR-Schwellwerten) über 4 Jahre Follow-up, stratifiziert nach Alter und Geschlecht.</w:t>
      </w:r>
    </w:p>
    <w:p>
      <w:r>
        <w:rPr>
          <w:b/>
        </w:rPr>
        <w:t xml:space="preserve">Ergebnis: </w:t>
      </w:r>
      <w:r>
        <w:t>CKD-Inzidenz: 2,8 % (Untergewicht), 2,3 % (keine Adipositas), 2,9 % (Übergewicht). Untergewicht mit höherem CKD-Risiko als Übergewicht assoziiert (OR 1,41 [95%-KI 1,29–1,54] vs. OR 1,03 [1,01–1,05]). Alters-/Geschlechts-stratifiziert: Untergewicht durchgängig erhöhtes Risiko, bes. mittelalte Männer; Übergewicht nur bei Frauen mit erhöhtem Risiko. Befund erklärt bisherige Inkonsistenzen in Adipositas-CKD-Assoziationen.</w:t>
      </w:r>
    </w:p>
    <w:p>
      <w:r>
        <w:rPr>
          <w:b/>
          <w:sz w:val="19"/>
        </w:rPr>
        <w:t xml:space="preserve">Übertragbarkeit: </w:t>
      </w:r>
      <w:r>
        <w:rPr>
          <w:sz w:val="19"/>
        </w:rPr>
        <w:t>Südkorea, großes Register; Adipositas-Paradoxon relevant für stratifizierte Prävention, aber regionales Modell unklar</w:t>
      </w:r>
    </w:p>
    <w:p>
      <w:r>
        <w:rPr>
          <w:color w:val="5A7D3A"/>
          <w:sz w:val="18"/>
        </w:rPr>
        <w:t>https://pubmed.ncbi.nlm.nih.gov/42823990/</w:t>
      </w:r>
    </w:p>
    <w:p>
      <w:pPr>
        <w:pStyle w:val="Heading2"/>
      </w:pPr>
      <w:r>
        <w:t>Klinische Phänotypisierung identifiziert Hochrisiko-COPD-Patienten mit raschem FEV1-Verlust</w:t>
      </w:r>
    </w:p>
    <w:p>
      <w:r>
        <w:rPr>
          <w:i/>
          <w:color w:val="666666"/>
          <w:sz w:val="18"/>
        </w:rPr>
        <w:t>Yang Z et al.  ·  Ann Med  ·  01.10.2026  ·  PMID 42817919</w:t>
      </w:r>
    </w:p>
    <w:p>
      <w:r>
        <w:t>Chinesische Kohortenstudie (38.863 COPD-Patienten, 1.215 mit Verlaufsparametern): Latent-Class-Analyse zur Identifikation klinischer Phänotypen; Machine Learning-Modell zur Vorhersage raschen Lungenfunktionsabbaus (FEV1-Abfall ≥40 mL/Jahr oder &gt;1,5% predicted).</w:t>
      </w:r>
    </w:p>
    <w:p>
      <w:r>
        <w:rPr>
          <w:b/>
        </w:rPr>
        <w:t xml:space="preserve">Ergebnis: </w:t>
      </w:r>
      <w:r>
        <w:t>Drei Phänotypen identifiziert: Phänotyp 1 (25,8 %, GOLD Stadium 2, nicht-rauchende Frauen), Phänotyp 2 (44,8 %, GOLD Stadium 1, rauchende Männer), Phänotyp 3 (29,4 %, GOLD Stadium 3, intensive Raucher). Phänotyp 2 zeigte höchste Verfall-Rate (55,8 %). Das CatBoost-Modell erreichte AUC 0,712; bei Schwellenwert 0,365: Sensitivität 95,5 %, negativer Vorhersagewert 86,4 %. Sechs einfache Prädiktoren: Region, Brennstofftyp, Einkommensstufe, Pfeifen, Hüftumfang, Basis-FEV1.</w:t>
      </w:r>
    </w:p>
    <w:p>
      <w:r>
        <w:rPr>
          <w:b/>
          <w:sz w:val="19"/>
        </w:rPr>
        <w:t xml:space="preserve">Übertragbarkeit: </w:t>
      </w:r>
      <w:r>
        <w:rPr>
          <w:sz w:val="19"/>
        </w:rPr>
        <w:t>China, großes Register; Phänotypisierung für Zielgruppendefinition relevant, Übertragbarkeit auf deutsche Phänotypen unklar</w:t>
      </w:r>
    </w:p>
    <w:p>
      <w:r>
        <w:rPr>
          <w:color w:val="5A7D3A"/>
          <w:sz w:val="18"/>
        </w:rPr>
        <w:t>https://pubmed.ncbi.nlm.nih.gov/42817919/</w:t>
      </w:r>
    </w:p>
    <w:p>
      <w:pPr>
        <w:pStyle w:val="Heading2"/>
      </w:pPr>
      <w:r>
        <w:t>Leitliniengerechte Antibiotika senken 30-Tage-Komplikationen bei COPD-Exazerbationen</w:t>
      </w:r>
    </w:p>
    <w:p>
      <w:r>
        <w:rPr>
          <w:i/>
          <w:color w:val="666666"/>
          <w:sz w:val="18"/>
        </w:rPr>
        <w:t>Perales-Muñoz R et al.  ·  Rev Esp Quimioter  ·  21.09.2026  ·  PMID 42768888</w:t>
      </w:r>
    </w:p>
    <w:p>
      <w:r>
        <w:t>Spanische Notaufnahme-Registerstudie an 4.136 COPD-Exazerbations-Episoden: Antibiotika-Auswahl nach nationalen Empfehlungen vs. Fehlauswahl und deren Assoziation mit Mortalität, Rehospitalisierung, Rezidiiv und Notfall-Revisiten.</w:t>
      </w:r>
    </w:p>
    <w:p>
      <w:r>
        <w:rPr>
          <w:b/>
        </w:rPr>
        <w:t xml:space="preserve">Ergebnis: </w:t>
      </w:r>
      <w:r>
        <w:t>Von 1.736 Patienten mit Entlassung aus der Notaufnahme erhielten 987 (56,9 %) Antibiotika; 158 (16,0 %) bekamen inadäquate Therapie. Inadäquate Behandlung korrelierte mit höherer 30-Tage-Morbidität (20,9 % vs. 13,3 %, p=0,019). In der multivariablen Analyse war leitliniengerechte Therapie der einzige modifizierbare Faktor mit signifikant reduziertem Ereignisrisiko (adjustierte RR 0,59; 95%-KI 0,41–0,85; p=0,004). Zugleich waren vorherige Exazerbationen (RR 1,80) und mittelschwere Exazerbationen (RR 1,52) mit höherem Risiko assoziiert.</w:t>
      </w:r>
    </w:p>
    <w:p>
      <w:r>
        <w:rPr>
          <w:b/>
          <w:sz w:val="19"/>
        </w:rPr>
        <w:t xml:space="preserve">Übertragbarkeit: </w:t>
      </w:r>
      <w:r>
        <w:rPr>
          <w:sz w:val="19"/>
        </w:rPr>
        <w:t>Spanische Notaufnahmedaten, vergleichbare Behandlungsprotokolle europäischer Systeme</w:t>
      </w:r>
    </w:p>
    <w:p>
      <w:r>
        <w:rPr>
          <w:color w:val="5A7D3A"/>
          <w:sz w:val="18"/>
        </w:rPr>
        <w:t>https://pubmed.ncbi.nlm.nih.gov/42768888/</w:t>
      </w:r>
    </w:p>
    <w:p>
      <w:pPr>
        <w:pStyle w:val="Heading2"/>
      </w:pPr>
      <w:r>
        <w:t>Dynamisches Risiko-Scoring vorhersagt CLL-Progression nach Limited-Duration-Therapie besser</w:t>
      </w:r>
    </w:p>
    <w:p>
      <w:r>
        <w:rPr>
          <w:i/>
          <w:color w:val="666666"/>
          <w:sz w:val="18"/>
        </w:rPr>
        <w:t>Al-Sawaf O et al.  ·  J Clin Oncol  ·  27.08.2026  ·  PMID 42659576</w:t>
      </w:r>
    </w:p>
    <w:p>
      <w:r>
        <w:t>Deutsche multizentrische Kohortenstudie zu chronisch-lymphatischer Leukämie: Entwicklung und Validierung eines verfeinerten kontinuierlichen Risikoindex (CIRI2-CLL) mit messbaren Resterkrankungen (MRD) zur Vorhersage von progressionsfreiem Überleben nach zeitlich begrenzter Targetted Therapy.</w:t>
      </w:r>
    </w:p>
    <w:p>
      <w:r>
        <w:rPr>
          <w:b/>
        </w:rPr>
        <w:t xml:space="preserve">Ergebnis: </w:t>
      </w:r>
      <w:r>
        <w:t>CIRI2-CLL zeigte gute Kalibrierung (ca. 5 % Unterschied zwischen beobachteter und vorhergesagter Progressionswahrscheinlichkeit). Überlegene Performance vs. einzelne Indizes (C-Statistiken 0,82–0,98 an allen Zeitpunkten), FEV-Vorhersage um 14–37 % verbessert. Risk-Stratifikation in drei Gruppen: 3-Jahres-PFS von 100,0 % (niedrig), 70,2 % (mittel), 10,8 % (hoch). Performance für Gesamtüberleben bestätigt.</w:t>
      </w:r>
    </w:p>
    <w:p>
      <w:r>
        <w:rPr>
          <w:b/>
          <w:sz w:val="19"/>
        </w:rPr>
        <w:t xml:space="preserve">Übertragbarkeit: </w:t>
      </w:r>
      <w:r>
        <w:rPr>
          <w:sz w:val="19"/>
        </w:rPr>
        <w:t>Deutschland/DACH, multizentrisch; CLL-spezifisch, aber Methode der MRD-Integration für andere Chroniker relevant</w:t>
      </w:r>
    </w:p>
    <w:p>
      <w:r>
        <w:rPr>
          <w:color w:val="5A7D3A"/>
          <w:sz w:val="18"/>
        </w:rPr>
        <w:t>https://pubmed.ncbi.nlm.nih.gov/42659576/</w:t>
      </w:r>
    </w:p>
    <w:p>
      <w:pPr>
        <w:pStyle w:val="Heading2"/>
      </w:pPr>
      <w:r>
        <w:t>HBsAg-Schnelltest-Positivierungszeit schätzt Viruslast und erleichtert POC-Diagnostik</w:t>
      </w:r>
    </w:p>
    <w:p>
      <w:r>
        <w:rPr>
          <w:i/>
          <w:color w:val="666666"/>
          <w:sz w:val="18"/>
        </w:rPr>
        <w:t>Asmamaw A et al.  ·  Aliment Pharmacol Ther  ·  06.08.2026  ·  PMID 42558028</w:t>
      </w:r>
    </w:p>
    <w:p>
      <w:r>
        <w:t>Multizentrische Proof-of-Concept-Studie (Spanien, Äthiopien): Prüfung, ob die Positivierungszeit eines Schnelltests für Hepatitis-B-Oberflächenantigen (HBsAg) ein Surrogat für quantitatives HBsAg und HBV-DNA-Aktivität ist; Paarvergleiche Kapillar- vs. Venöses Blut mit qHBsAg und PCR.</w:t>
      </w:r>
    </w:p>
    <w:p>
      <w:r>
        <w:rPr>
          <w:b/>
        </w:rPr>
        <w:t xml:space="preserve">Ergebnis: </w:t>
      </w:r>
      <w:r>
        <w:t>513 HBsAg-positive Personen analysiert. Positivierungszeit korrelierte invers mit qHBsAg (Spanien r=−0,749, Äthiopien r=−0,374; p&lt;0,001 beide). Keine Assoziation mit HBV-DNA. Diskriminationsfähigkeit für HBsAg &lt;1000 IU/mL: Spanien AUROC 0,86, Äthiopien AUROC 0,65; für &lt;100 IU/mL: AUROC 0,96 und 0,77. Gesunde und mit ausgeheilter Infektion: durchweg negativ.</w:t>
      </w:r>
    </w:p>
    <w:p>
      <w:r>
        <w:rPr>
          <w:b/>
          <w:sz w:val="19"/>
        </w:rPr>
        <w:t xml:space="preserve">Übertragbarkeit: </w:t>
      </w:r>
      <w:r>
        <w:rPr>
          <w:sz w:val="19"/>
        </w:rPr>
        <w:t>Spanien/Äthiopien; POC-Test für ressourcenlimitierte Länder, Relevanz für deutsche POC-Diagnostik begrenzt</w:t>
      </w:r>
    </w:p>
    <w:p>
      <w:r>
        <w:rPr>
          <w:color w:val="5A7D3A"/>
          <w:sz w:val="18"/>
        </w:rPr>
        <w:t>https://pubmed.ncbi.nlm.nih.gov/42558028/</w:t>
      </w:r>
    </w:p>
    <w:p>
      <w:pPr>
        <w:pStyle w:val="Heading1"/>
      </w:pPr>
      <w:r>
        <w:t>Aufgenommen am 03.10.2026</w:t>
      </w:r>
    </w:p>
    <w:p>
      <w:pPr>
        <w:pStyle w:val="Heading2"/>
      </w:pPr>
      <w:r>
        <w:t>Depression senkte das Risiko für Mehrfacherkrankung: Remission assoziiert mit niedrigerem Kardiometabolen-Risiko</w:t>
      </w:r>
    </w:p>
    <w:p>
      <w:r>
        <w:rPr>
          <w:i/>
          <w:color w:val="666666"/>
          <w:sz w:val="18"/>
        </w:rPr>
        <w:t>Yao M et al.  ·  J Glob Health  ·  02.10.2026  ·  PMID 42825401</w:t>
      </w:r>
    </w:p>
    <w:p>
      <w:r>
        <w:t>Prospektive Kohortenstudie mit 51.416 Teilnehmern aus China, USA und Europa untersuchte, ob langfristige depressive Belastung (gemessen durch Verlauf und kumulative Scores) mit neuaufgetretener Mehrfacherkrankung (Herz-Kreislauf und Diabetes) assoziiert ist.</w:t>
      </w:r>
    </w:p>
    <w:p>
      <w:r>
        <w:rPr>
          <w:b/>
        </w:rPr>
        <w:t xml:space="preserve">Ergebnis: </w:t>
      </w:r>
      <w:r>
        <w:t>Depressionsfortschritt erhöhte CMM-Risiko: China HR 1,47 (95%-CI 1,00–2,17), USA HR 1,33 (1,01–1,74), Europa HR 1,46 (1,26–1,69). Depressionsremission reduzierte Risiko: China HR 0,56 (0,36–0,87), Europa HR 0,76 (0,63–0,92). Frauen stärker betroffen in USA und Europa.</w:t>
      </w:r>
    </w:p>
    <w:p>
      <w:r>
        <w:rPr>
          <w:b/>
          <w:sz w:val="19"/>
        </w:rPr>
        <w:t xml:space="preserve">Übertragbarkeit: </w:t>
      </w:r>
      <w:r>
        <w:rPr>
          <w:sz w:val="19"/>
        </w:rPr>
        <w:t>Internationale Kohorte mit vergleichbarem Design; deutsches System ohne direkte Abbildung, aber Mehrfacherkrankungen-Prävention zentral für DMPs</w:t>
      </w:r>
    </w:p>
    <w:p>
      <w:r>
        <w:rPr>
          <w:color w:val="5A7D3A"/>
          <w:sz w:val="18"/>
        </w:rPr>
        <w:t>https://pubmed.ncbi.nlm.nih.gov/42825401/</w:t>
      </w:r>
    </w:p>
    <w:p>
      <w:pPr>
        <w:pStyle w:val="Heading2"/>
      </w:pPr>
      <w:r>
        <w:t>Peer-Support-Programme für chronische Nierenerkrankung: Systemische Unterstützung und Engagement zentral</w:t>
      </w:r>
    </w:p>
    <w:p>
      <w:r>
        <w:rPr>
          <w:i/>
          <w:color w:val="666666"/>
          <w:sz w:val="18"/>
        </w:rPr>
        <w:t>Faravan A et al.  ·  J Ren Care  ·  Dez. 2026  ·  PMID 42820648</w:t>
      </w:r>
    </w:p>
    <w:p>
      <w:r>
        <w:t>Qualitative Metasynthese von 15 Studien zu Facilitators von Peer-Support-Programmen für Patienten mit chronischer Nierenerkrankung.</w:t>
      </w:r>
    </w:p>
    <w:p>
      <w:r>
        <w:rPr>
          <w:b/>
        </w:rPr>
        <w:t xml:space="preserve">Ergebnis: </w:t>
      </w:r>
      <w:r>
        <w:t>Drei Hauptfacilitators identifiziert: (1) supportive Organisationskultur im Gesundheitssystem, (2) tiefe peer-Verbindungen und gutes rapport, (3) engagierte und motivierte Peer-Supporter und -Empfänger. Erfolgreiche Programme erfordern Interaktion zwischen organisationaler Unterstützung, sinnvoller Peer-Beziehung und aktiver Partizipation.</w:t>
      </w:r>
    </w:p>
    <w:p>
      <w:r>
        <w:rPr>
          <w:b/>
          <w:sz w:val="19"/>
        </w:rPr>
        <w:t xml:space="preserve">Übertragbarkeit: </w:t>
      </w:r>
      <w:r>
        <w:rPr>
          <w:sz w:val="19"/>
        </w:rPr>
        <w:t>Überwiegend europäische und englischsprachige Studien; Peer-Support-Ansätze in Deutschland (Selbsthilfe, DMP-Strukturen) unmittelbar anwendbar</w:t>
      </w:r>
    </w:p>
    <w:p>
      <w:r>
        <w:rPr>
          <w:color w:val="5A7D3A"/>
          <w:sz w:val="18"/>
        </w:rPr>
        <w:t>https://pubmed.ncbi.nlm.nih.gov/42820648/</w:t>
      </w:r>
    </w:p>
    <w:p>
      <w:pPr>
        <w:pStyle w:val="Heading2"/>
      </w:pPr>
      <w:r>
        <w:t>GLP-1-Rezeptor-Agonisten schützen die Niere bei chronischer Nierenerkrankung und Diabetes</w:t>
      </w:r>
    </w:p>
    <w:p>
      <w:r>
        <w:rPr>
          <w:i/>
          <w:color w:val="666666"/>
          <w:sz w:val="18"/>
        </w:rPr>
        <w:t>Boeckhaus J et al.  ·  Clin Sci (Lond)  ·  14.10.2026  ·  PMID 42820470</w:t>
      </w:r>
    </w:p>
    <w:p>
      <w:r>
        <w:t>Übersichtsarbeit zur Evidenz für Nephroprotektivität von GLP-1 Agonisten bei Patienten mit Typ-2-Diabetes und chronischer Nierenerkrankung jenseits von Glukosekontrolle.</w:t>
      </w:r>
    </w:p>
    <w:p>
      <w:r>
        <w:rPr>
          <w:b/>
        </w:rPr>
        <w:t xml:space="preserve">Ergebnis: </w:t>
      </w:r>
      <w:r>
        <w:t>GLP-1-RA reduzieren eGFR-Abfall, albuminurie und kardiovaskuläre Ereignisse durch anti-inflammatorische und anti-fibrotische Mechanismen. Effekte teilweise unabhängig von Gewichtsreduktion. Sicherheitsprofil vergleichbar mit Standard; potenzielle neue Indikation auch ohne Diabetes bei CKD.</w:t>
      </w:r>
    </w:p>
    <w:p>
      <w:r>
        <w:rPr>
          <w:b/>
          <w:sz w:val="19"/>
        </w:rPr>
        <w:t xml:space="preserve">Übertragbarkeit: </w:t>
      </w:r>
      <w:r>
        <w:rPr>
          <w:sz w:val="19"/>
        </w:rPr>
        <w:t>Wirkmechanismus-Review ohne Versorgungsdaten; Evidenz aus RCTs übertragbar auf deutsches System</w:t>
      </w:r>
    </w:p>
    <w:p>
      <w:r>
        <w:rPr>
          <w:color w:val="5A7D3A"/>
          <w:sz w:val="18"/>
        </w:rPr>
        <w:t>https://pubmed.ncbi.nlm.nih.gov/42820470/</w:t>
      </w:r>
    </w:p>
    <w:p>
      <w:pPr>
        <w:pStyle w:val="Heading2"/>
      </w:pPr>
      <w:r>
        <w:t>Actualisiertes WHO-Modul für Mundgesundheit in Überwachungssystemen für nicht übertragbare Erkrankungen</w:t>
      </w:r>
    </w:p>
    <w:p>
      <w:r>
        <w:rPr>
          <w:i/>
          <w:color w:val="666666"/>
          <w:sz w:val="18"/>
        </w:rPr>
        <w:t>Rendell N et al.  ·  Bull World Health Organ  ·  01.10.2026  ·  PMID 42820175</w:t>
      </w:r>
    </w:p>
    <w:p>
      <w:r>
        <w:t>WHO präsentiert überarbeitetes Modul für STEPS-Surveillance (Überwachung von Risikofaktoren) mit klinischer Untersuchungskomponente für Mundgesundheit, die von geschultem Nicht-Zahnarzt-Personal durchführbar ist.</w:t>
      </w:r>
    </w:p>
    <w:p>
      <w:r>
        <w:rPr>
          <w:b/>
        </w:rPr>
        <w:t xml:space="preserve">Ergebnis: </w:t>
      </w:r>
      <w:r>
        <w:t>Neues Modul integriert aktualisierte Selbstangaben und klinische Bewertung statt nur Wahrnehmungsangaben. Praktisch und skalierbar für Länder ohne zahnärztliche Kapazität, unterstützt Integration von Mundgesundheit in Strategien zur universellen Gesundheitsversorgung.</w:t>
      </w:r>
    </w:p>
    <w:p>
      <w:r>
        <w:rPr>
          <w:b/>
          <w:sz w:val="19"/>
        </w:rPr>
        <w:t xml:space="preserve">Übertragbarkeit: </w:t>
      </w:r>
      <w:r>
        <w:rPr>
          <w:sz w:val="19"/>
        </w:rPr>
        <w:t>WHO-Standard für alle Länder; direkt auf deutsches RKI-Surveillance-System übertragbar</w:t>
      </w:r>
    </w:p>
    <w:p>
      <w:r>
        <w:rPr>
          <w:color w:val="5A7D3A"/>
          <w:sz w:val="18"/>
        </w:rPr>
        <w:t>https://pubmed.ncbi.nlm.nih.gov/42820175/</w:t>
      </w:r>
    </w:p>
    <w:p>
      <w:pPr>
        <w:pStyle w:val="Heading2"/>
      </w:pPr>
      <w:r>
        <w:t>Krankenhausinfektionen bei Kindern mit Sepsis zeigten höhere Sterblichkeit als ambulant erworbene Infektionen</w:t>
      </w:r>
    </w:p>
    <w:p>
      <w:r>
        <w:rPr>
          <w:i/>
          <w:color w:val="666666"/>
          <w:sz w:val="18"/>
        </w:rPr>
        <w:t>Ravichandran N et al.  ·  Eur J Pediatr  ·  19.09.2026  ·  PMID 42763313</w:t>
      </w:r>
    </w:p>
    <w:p>
      <w:r>
        <w:t>Retrospektive nationale Kohortenstudie zur Epidemiologie pädiatrischer Sepsis in Irland 2020–2025 mit Analyse von Krankheitsverlauf, Multimorbidität und Outcomes.</w:t>
      </w:r>
    </w:p>
    <w:p>
      <w:r>
        <w:rPr>
          <w:b/>
        </w:rPr>
        <w:t xml:space="preserve">Ergebnis: </w:t>
      </w:r>
      <w:r>
        <w:t>4.442 Sepsis-Aufnahmen: 30,7% nosokomial, 69,3% ambulant. Nosokomiale Sepsis: 84,0% Intensivaufnahmen vs. 32,3%, Sterblichkeit 7,6% vs. 1,8% (p&lt;0,001). Komorbidität assoziiert mit kritischem Verlauf (aOR neonatal 2,66; nicht-neonatal 4,88), aber schwere Verläufe auch ohne dokumentierte Komorbiditäten.</w:t>
      </w:r>
    </w:p>
    <w:p>
      <w:r>
        <w:rPr>
          <w:b/>
          <w:sz w:val="19"/>
        </w:rPr>
        <w:t xml:space="preserve">Übertragbarkeit: </w:t>
      </w:r>
      <w:r>
        <w:rPr>
          <w:sz w:val="19"/>
        </w:rPr>
        <w:t>Europäische Klinikdaten; vergleichbar mit deutschem Krankenhausmanagementsystem für Infektionsprävention</w:t>
      </w:r>
    </w:p>
    <w:p>
      <w:r>
        <w:rPr>
          <w:color w:val="5A7D3A"/>
          <w:sz w:val="18"/>
        </w:rPr>
        <w:t>https://pubmed.ncbi.nlm.nih.gov/42763313/</w:t>
      </w:r>
    </w:p>
    <w:p>
      <w:pPr>
        <w:pStyle w:val="Heading2"/>
      </w:pPr>
      <w:r>
        <w:t>Sterblichkeitsüberwachung mit multiplen Todesursachen zur Verfolgung chronischer Erkrankungen in der COVID-19-Ära</w:t>
      </w:r>
    </w:p>
    <w:p>
      <w:r>
        <w:rPr>
          <w:i/>
          <w:color w:val="666666"/>
          <w:sz w:val="18"/>
        </w:rPr>
        <w:t>Jones J  ·  Ann Epidemiol  ·  15.09.2026  ·  PMID 42744417</w:t>
      </w:r>
    </w:p>
    <w:p>
      <w:r>
        <w:t>Educational Module zu Mortalitäts-Surveillance-Methoden, das sich auf einen bereits publizierten Artikel zur Nutzung von Mehrfach-Todesursachen-Daten konzentriert (Referenz: Durán et al., Ann Epidemiol 2026;113:23-29).</w:t>
      </w:r>
    </w:p>
    <w:p>
      <w:r>
        <w:rPr>
          <w:b/>
        </w:rPr>
        <w:t xml:space="preserve">Ergebnis: </w:t>
      </w:r>
      <w:r>
        <w:t>Modul demonstriert Nutzen von Mehrfach-Todesursachen-Kodierung zur Erfassung von Trends chronischer Erkrankungen; Fallbeispiel Schweiz COVID-19-Pandemie zeigt, wie Überwachungsmethoden Versorgungsmuster offenbaren.</w:t>
      </w:r>
    </w:p>
    <w:p>
      <w:r>
        <w:rPr>
          <w:b/>
          <w:sz w:val="19"/>
        </w:rPr>
        <w:t xml:space="preserve">Übertragbarkeit: </w:t>
      </w:r>
      <w:r>
        <w:rPr>
          <w:sz w:val="19"/>
        </w:rPr>
        <w:t>Schweiz mit ähnlichem System wie Deutschland; Mortalitäts-Surveillance-Design direkt auf deutsches Todesbescheinigungssystem übertragbar</w:t>
      </w:r>
    </w:p>
    <w:p>
      <w:r>
        <w:rPr>
          <w:color w:val="5A7D3A"/>
          <w:sz w:val="18"/>
        </w:rPr>
        <w:t>https://pubmed.ncbi.nlm.nih.gov/42744417/</w:t>
      </w:r>
    </w:p>
    <w:p>
      <w:pPr>
        <w:pStyle w:val="Heading2"/>
      </w:pPr>
      <w:r>
        <w:t>COPD ist zu heterogen für Single-Trial-Zulassungen: Mehrfach-Studien-Evidenz erforderlich</w:t>
      </w:r>
    </w:p>
    <w:p>
      <w:r>
        <w:rPr>
          <w:i/>
          <w:color w:val="666666"/>
          <w:sz w:val="18"/>
        </w:rPr>
        <w:t>Cazzola M et al.  ·  Lung  ·  31.07.2026  ·  PMID 42536190</w:t>
      </w:r>
    </w:p>
    <w:p>
      <w:r>
        <w:t>Expertenpapier zur FDA-Proposal, einzelne RCTs als Standard für COPD-Medikamentenzulassung zu akzeptieren; erörtert Heterogenität, Effektgrößen und Generalisierbarkeit.</w:t>
      </w:r>
    </w:p>
    <w:p>
      <w:r>
        <w:rPr>
          <w:b/>
        </w:rPr>
        <w:t xml:space="preserve">Ergebnis: </w:t>
      </w:r>
      <w:r>
        <w:t>COPD zeigt variable Trajektorien, modest treatment effects, limitierte validierte Biomarker. Single RCTs risikieren Type-I-Fehler und begrenzte Übertragbarkeit durch restriktive Einschlusskriterien. Empfehlung: mindestens zwei unabhängige Studien bei CKD oder äquivalente Post-Marketing-Validierung erforderlich.</w:t>
      </w:r>
    </w:p>
    <w:p>
      <w:r>
        <w:rPr>
          <w:b/>
          <w:sz w:val="19"/>
        </w:rPr>
        <w:t xml:space="preserve">Übertragbarkeit: </w:t>
      </w:r>
      <w:r>
        <w:rPr>
          <w:sz w:val="19"/>
        </w:rPr>
        <w:t>COPD-Versorgung international vergleichbar; Argument für robuste Evidenzstandards in allen Gesundheitssystemen relevant</w:t>
      </w:r>
    </w:p>
    <w:p>
      <w:r>
        <w:rPr>
          <w:color w:val="5A7D3A"/>
          <w:sz w:val="18"/>
        </w:rPr>
        <w:t>https://pubmed.ncbi.nlm.nih.gov/42536190/</w:t>
      </w:r>
    </w:p>
    <w:p>
      <w:pPr>
        <w:pStyle w:val="Heading1"/>
      </w:pPr>
      <w:r>
        <w:t>Aufgenommen am 02.10.2026</w:t>
      </w:r>
    </w:p>
    <w:p>
      <w:pPr>
        <w:pStyle w:val="Heading2"/>
      </w:pPr>
      <w:r>
        <w:t>Peritoneal-Dialyse-Peritonitis: Nomogramm zur Vorhersage von Peritonitifreiheit</w:t>
      </w:r>
    </w:p>
    <w:p>
      <w:r>
        <w:rPr>
          <w:i/>
          <w:color w:val="666666"/>
          <w:sz w:val="18"/>
        </w:rPr>
        <w:t>Tian Z et al.  ·  Ren Fail  ·  01.10.2026  ·  PMID 42823121</w:t>
      </w:r>
    </w:p>
    <w:p>
      <w:r>
        <w:t>Retrospektive Kohortenstudie entwickelte und validierte ein Cox-Nomogramm zur Vorhersage der Peritonitis-freien Überlebenszeit bei peritonealer Dialyse (372 Patienten, 26,3 Monate Nachverfolgung).</w:t>
      </w:r>
    </w:p>
    <w:p>
      <w:r>
        <w:rPr>
          <w:b/>
        </w:rPr>
        <w:t xml:space="preserve">Ergebnis: </w:t>
      </w:r>
      <w:r>
        <w:t>Über Median 26,3 Monate: 35,4% Peritonitis-Ereignisse (Training), 30,4% (Validierung). Neun unabhängige Prädiktoren identifiziert (u.a. Bildung, BMI, Albumin, Kalzium, Phosphor). C-Index 0,707; ROC-AUC bei 6/12/24 Monaten: 75,8%/77,5%/69,7% (Training) bzw. 77,7%/63,8%/58,4% (Validierung). Modell zeigt moderate Diskrimination und befriedigende Kalibration.</w:t>
      </w:r>
    </w:p>
    <w:p>
      <w:r>
        <w:rPr>
          <w:b/>
          <w:sz w:val="19"/>
        </w:rPr>
        <w:t xml:space="preserve">Übertragbarkeit: </w:t>
      </w:r>
      <w:r>
        <w:rPr>
          <w:sz w:val="19"/>
        </w:rPr>
        <w:t>China, klinisch routinemäßig erhobene Parameter, externe Validierung vor Routineeinsatz erforderlich.</w:t>
      </w:r>
    </w:p>
    <w:p>
      <w:r>
        <w:rPr>
          <w:color w:val="5A7D3A"/>
          <w:sz w:val="18"/>
        </w:rPr>
        <w:t>https://pubmed.ncbi.nlm.nih.gov/42823121/</w:t>
      </w:r>
    </w:p>
    <w:p>
      <w:pPr>
        <w:pStyle w:val="Heading2"/>
      </w:pPr>
      <w:r>
        <w:t>Bewegungsmangel verursacht 2% der Krankheitslast in der Schweiz</w:t>
      </w:r>
    </w:p>
    <w:p>
      <w:r>
        <w:rPr>
          <w:i/>
          <w:color w:val="666666"/>
          <w:sz w:val="18"/>
        </w:rPr>
        <w:t>Güntert L et al.  ·  Swiss Med Wkly  ·  24.09.2026  ·  PMID 42821881</w:t>
      </w:r>
    </w:p>
    <w:p>
      <w:r>
        <w:t>Bevölkerungsgestützte Modellierungsstudie quantifizierte die durch körperliche Inaktivität verursachte Krankheitslast (YLD und YLL) in der Schweiz 2022 nach Sprachregionen.</w:t>
      </w:r>
    </w:p>
    <w:p>
      <w:r>
        <w:rPr>
          <w:b/>
        </w:rPr>
        <w:t xml:space="preserve">Ergebnis: </w:t>
      </w:r>
      <w:r>
        <w:t>Physische Inaktivität führte zu 227,08 YLD und 424,23 YLL pro 100.000 Personen &gt;20 Jahren (2% der DALYs insgesamt). Italienisch- und französischsprachige Regionen zeigten erheblich höhere Raten als deutschsprachige Regionen. Depression (93,38 YLD) und Herzkoronarerkrankung (132,12 YLL) waren Hauptkontributoren; Frauen waren stärker belastet als Männer.</w:t>
      </w:r>
    </w:p>
    <w:p>
      <w:r>
        <w:rPr>
          <w:b/>
          <w:sz w:val="19"/>
        </w:rPr>
        <w:t xml:space="preserve">Übertragbarkeit: </w:t>
      </w:r>
      <w:r>
        <w:rPr>
          <w:sz w:val="19"/>
        </w:rPr>
        <w:t>Schweizer Bevölkerungsdaten, ähnliche Struktur und Prävention wie im deutschsprachigen Raum.</w:t>
      </w:r>
    </w:p>
    <w:p>
      <w:r>
        <w:rPr>
          <w:color w:val="5A7D3A"/>
          <w:sz w:val="18"/>
        </w:rPr>
        <w:t>https://pubmed.ncbi.nlm.nih.gov/42821881/</w:t>
      </w:r>
    </w:p>
    <w:p>
      <w:pPr>
        <w:pStyle w:val="Heading2"/>
      </w:pPr>
      <w:r>
        <w:t>Antidiabetika und COPD-Exazerbationen: Netzwerk-Metaanalyse bei Typ-2-Diabetes</w:t>
      </w:r>
    </w:p>
    <w:p>
      <w:r>
        <w:rPr>
          <w:i/>
          <w:color w:val="666666"/>
          <w:sz w:val="18"/>
        </w:rPr>
        <w:t>Shabil M et al.  ·  Diab Vasc Dis Res  ·  01.10.2026  ·  PMID 42821775</w:t>
      </w:r>
    </w:p>
    <w:p>
      <w:r>
        <w:t>Systematische Übersicht mit Netzwerk-Metaanalyse evaluierte Effekte verschiedener Antidiabetika auf COPD-Exazerbationen bei Patienten mit T2DM (13 Beobachtungsstudien, 755.206 Teilnehmer).</w:t>
      </w:r>
    </w:p>
    <w:p>
      <w:r>
        <w:rPr>
          <w:b/>
        </w:rPr>
        <w:t xml:space="preserve">Ergebnis: </w:t>
      </w:r>
      <w:r>
        <w:t>Im Vergleich zu Sulfonylharnstoffen: SGLT-2-Inhibitoren zeigten tiefste COPD-Exazerbationsrate (RR 0,71; 95% CI 0,66–0,77), gefolgt von GLP-1-Agonisten (RR 0,77; 95% CI 0,71–0,84). Metformin neutral (RR 0,89), DPP-4-Inhibitoren (RR 1,05) und Meglitinide ohne klaren Nutzen. Ähnliche Befunde für schwere Exazerbationen.</w:t>
      </w:r>
    </w:p>
    <w:p>
      <w:r>
        <w:rPr>
          <w:b/>
          <w:sz w:val="19"/>
        </w:rPr>
        <w:t xml:space="preserve">Übertragbarkeit: </w:t>
      </w:r>
      <w:r>
        <w:rPr>
          <w:sz w:val="19"/>
        </w:rPr>
        <w:t>Internationale Beobachtungsdaten, Effektstärken unabhängig von Versorgungssystem.</w:t>
      </w:r>
    </w:p>
    <w:p>
      <w:r>
        <w:rPr>
          <w:color w:val="5A7D3A"/>
          <w:sz w:val="18"/>
        </w:rPr>
        <w:t>https://pubmed.ncbi.nlm.nih.gov/42821775/</w:t>
      </w:r>
    </w:p>
    <w:p>
      <w:pPr>
        <w:pStyle w:val="Heading2"/>
      </w:pPr>
      <w:r>
        <w:t>Rauchentwöhnung bei COPD: Klinik-Zuweisung verbesserte Abstinenzquote deutlich</w:t>
      </w:r>
    </w:p>
    <w:p>
      <w:r>
        <w:rPr>
          <w:i/>
          <w:color w:val="666666"/>
          <w:sz w:val="18"/>
        </w:rPr>
        <w:t>Marım F et al.  ·  Int J Chron Obstruct Pulmon Dis  ·  26.09.2026  ·  PMID 42820089</w:t>
      </w:r>
    </w:p>
    <w:p>
      <w:r>
        <w:t>Subgruppenanalyse einer multizentrischen RCT untersuchte Faktoren, die mit 1-Jahres-Rauchentwöhnung bei COPD-Patienten assoziiert sind (Vergleich: sofortige Klinik-Zuweisung vs. Standard-Versorgung).</w:t>
      </w:r>
    </w:p>
    <w:p>
      <w:r>
        <w:rPr>
          <w:b/>
        </w:rPr>
        <w:t xml:space="preserve">Ergebnis: </w:t>
      </w:r>
      <w:r>
        <w:t>Von 172 Patienten quit 32 (18,6%): 24 von 93 (25,8%) mit sofortiger Zuweisung vs. 8 von 79 (10,1%) mit Standardversorgung (p=0,010). Im multivariablen Modell: Standardversorgung senkte Erfolgschancen (OR 0,25; 95% CI 0,09–0,64); Fehlen von Komorbiditäten (OR 2,64) und &gt;1 exazerbationsbedingte Hospitalisierung (OR 9,32) erhöhten sie. Strukturierte Versorgungspfade sind zentral.</w:t>
      </w:r>
    </w:p>
    <w:p>
      <w:r>
        <w:rPr>
          <w:b/>
          <w:sz w:val="19"/>
        </w:rPr>
        <w:t xml:space="preserve">Übertragbarkeit: </w:t>
      </w:r>
      <w:r>
        <w:rPr>
          <w:sz w:val="19"/>
        </w:rPr>
        <w:t>Türkische Multizenterstudie, aber Versorgungsprinzipien (Koordination, Strukturierung) auf Deutschland übertragbar.</w:t>
      </w:r>
    </w:p>
    <w:p>
      <w:r>
        <w:rPr>
          <w:color w:val="5A7D3A"/>
          <w:sz w:val="18"/>
        </w:rPr>
        <w:t>https://pubmed.ncbi.nlm.nih.gov/42820089/</w:t>
      </w:r>
    </w:p>
    <w:p>
      <w:pPr>
        <w:pStyle w:val="Heading2"/>
      </w:pPr>
      <w:r>
        <w:t>Gicht-Akutbehandlung bei Nierenkrankheit: Anakinra versus Steroide</w:t>
      </w:r>
    </w:p>
    <w:p>
      <w:r>
        <w:rPr>
          <w:i/>
          <w:color w:val="666666"/>
          <w:sz w:val="18"/>
        </w:rPr>
        <w:t>Balasubramaniam G et al.  ·  BMJ Open  ·  30.09.2026  ·  PMID 42816092</w:t>
      </w:r>
    </w:p>
    <w:p>
      <w:r>
        <w:t>Feasibility-Studie testete Durchführbarkeit einer doppelblinden RCT von Anakinra versus Methylprednisolon bei Gicht-Anfällen in chronischer Nierenkrankheit (eGFR &lt;60).</w:t>
      </w:r>
    </w:p>
    <w:p>
      <w:r>
        <w:rPr>
          <w:b/>
        </w:rPr>
        <w:t xml:space="preserve">Ergebnis: </w:t>
      </w:r>
      <w:r>
        <w:t>21 Patienten randomisiert, 17 behandelt. Schmerzreduktion nach 7 Tagen: 46,8 von 100 auf visueller Analogskala. Anakinra zeigte Trend zu schnellerem Schmerzrückgang. Machbarkeit demonstriert; Unter-Rekrutierung war Hauptproblem. Empfehlung für optimierte Fall-Findung in der Gemeinschaft vor definitivem Trial.</w:t>
      </w:r>
    </w:p>
    <w:p>
      <w:r>
        <w:rPr>
          <w:b/>
          <w:sz w:val="19"/>
        </w:rPr>
        <w:t xml:space="preserve">Übertragbarkeit: </w:t>
      </w:r>
      <w:r>
        <w:rPr>
          <w:sz w:val="19"/>
        </w:rPr>
        <w:t>UK-Sekundärversorger, transferierbar auf multimorbide ältere Patienten in Deutschland.</w:t>
      </w:r>
    </w:p>
    <w:p>
      <w:r>
        <w:rPr>
          <w:color w:val="5A7D3A"/>
          <w:sz w:val="18"/>
        </w:rPr>
        <w:t>https://pubmed.ncbi.nlm.nih.gov/42816092/</w:t>
      </w:r>
    </w:p>
    <w:p>
      <w:pPr>
        <w:pStyle w:val="Heading2"/>
      </w:pPr>
      <w:r>
        <w:t>Sarcopenie bei Mehrfacherkrankungen: europäische Leitlinie mit praktischen Empfehlungen</w:t>
      </w:r>
    </w:p>
    <w:p>
      <w:r>
        <w:rPr>
          <w:i/>
          <w:color w:val="666666"/>
          <w:sz w:val="18"/>
        </w:rPr>
        <w:t>Bernabeu-Wittel M et al.  ·  Eur J Intern Med  ·  13.08.2026  ·  PMID 42595648</w:t>
      </w:r>
    </w:p>
    <w:p>
      <w:r>
        <w:t>EFIM-adaptierte Leitlinie für Identifikation und Management von Sarcopenie bei Patienten mit Mehrfacherkrankungen, basierend auf kritischer Bewertung bestehender Guidelines.</w:t>
      </w:r>
    </w:p>
    <w:p>
      <w:r>
        <w:rPr>
          <w:b/>
        </w:rPr>
        <w:t xml:space="preserve">Ergebnis: </w:t>
      </w:r>
      <w:r>
        <w:t>37 Empfehlungen (30 strong, 7 weak): Proaktives Screening ab 65 Jahren und bei jüngeren mit Risikofaktoren; Handgriffkraft als Eintrittspunkt; flexible diagnostische Wege; individualisierte multimodale Interventionen. 8 auf hoher, 12 auf moderater, 17 auf niedriger Evidenz oder Konsens. Adressiert iatrogene Risiken (Corticosteroide, GLP-1-Agonisten).</w:t>
      </w:r>
    </w:p>
    <w:p>
      <w:r>
        <w:rPr>
          <w:b/>
          <w:sz w:val="19"/>
        </w:rPr>
        <w:t xml:space="preserve">Übertragbarkeit: </w:t>
      </w:r>
      <w:r>
        <w:rPr>
          <w:sz w:val="19"/>
        </w:rPr>
        <w:t>Europäische Innere Medizin, direkt auf deutsches Versorgungssystem übertragbar.</w:t>
      </w:r>
    </w:p>
    <w:p>
      <w:r>
        <w:rPr>
          <w:color w:val="5A7D3A"/>
          <w:sz w:val="18"/>
        </w:rPr>
        <w:t>https://pubmed.ncbi.nlm.nih.gov/42595648/</w:t>
      </w:r>
    </w:p>
    <w:p>
      <w:pPr>
        <w:pStyle w:val="Heading1"/>
      </w:pPr>
      <w:r>
        <w:t>Aufgenommen am 01.10.2026</w:t>
      </w:r>
    </w:p>
    <w:p>
      <w:pPr>
        <w:pStyle w:val="Heading2"/>
      </w:pPr>
      <w:r>
        <w:t>Psychosomatic Belastung bei Jugendlichen mit chronischen Erkrankungen im Übergang zur Erwachsenenmedizin</w:t>
      </w:r>
    </w:p>
    <w:p>
      <w:r>
        <w:rPr>
          <w:i/>
          <w:color w:val="666666"/>
          <w:sz w:val="18"/>
        </w:rPr>
        <w:t>Choukair D et al.  ·  PLoS One  ·  30.09.2026  ·  PMID 42814714</w:t>
      </w:r>
    </w:p>
    <w:p>
      <w:r>
        <w:t>Querschnittsstudie an 92 Jugendlichen mit chronischen Erkrankungen zur Erfassung psychosozialer Belastung, Familienstruktur und Unterstützungsbedarf beim Transition-Prozess mit validierten Fragebögen.</w:t>
      </w:r>
    </w:p>
    <w:p>
      <w:r>
        <w:rPr>
          <w:b/>
        </w:rPr>
        <w:t xml:space="preserve">Ergebnis: </w:t>
      </w:r>
      <w:r>
        <w:t>39,6% moderate somatische Beschwerden, 20,6% depressive Symptome, 11,9% Angststörungssymptome; reduzierte Familienstruktur korrelierte signifikant mit höherer psychosomatischer Symptombelastung (p&lt;0,05). Psychosoziale Belastung sollte systematisch in Transition-Programme integriert werden.</w:t>
      </w:r>
    </w:p>
    <w:p>
      <w:r>
        <w:rPr>
          <w:b/>
          <w:sz w:val="19"/>
        </w:rPr>
        <w:t xml:space="preserve">Übertragbarkeit: </w:t>
      </w:r>
      <w:r>
        <w:rPr>
          <w:sz w:val="19"/>
        </w:rPr>
        <w:t>Deutschland, vergleichbare Strukturen der Kindermedizin und Transitionsmedizin.</w:t>
      </w:r>
    </w:p>
    <w:p>
      <w:r>
        <w:rPr>
          <w:color w:val="5A7D3A"/>
          <w:sz w:val="18"/>
        </w:rPr>
        <w:t>https://pubmed.ncbi.nlm.nih.gov/42814714/</w:t>
      </w:r>
    </w:p>
    <w:p>
      <w:pPr>
        <w:pStyle w:val="Heading2"/>
      </w:pPr>
      <w:r>
        <w:t>Kostenwirksamkeit eines dezentralen Versorgungsmodells für Hepatitis B in remote Gemeinden</w:t>
      </w:r>
    </w:p>
    <w:p>
      <w:r>
        <w:rPr>
          <w:i/>
          <w:color w:val="666666"/>
          <w:sz w:val="18"/>
        </w:rPr>
        <w:t>Nguyen H et al.  ·  Med J Aust  ·  Okt. 2026  ·  PMID 42811936</w:t>
      </w:r>
    </w:p>
    <w:p>
      <w:r>
        <w:t>Retrospektive Kohortenstudie (2014-2023) von 1063 First-Nations-Personen mit chronischer Hepatitis B zur Kosten-Analyse des Hep-B-PAST-Programms versus Standard-Versorgung in Australien.</w:t>
      </w:r>
    </w:p>
    <w:p>
      <w:r>
        <w:rPr>
          <w:b/>
        </w:rPr>
        <w:t xml:space="preserve">Ergebnis: </w:t>
      </w:r>
      <w:r>
        <w:t>Mediane Jahreskosten pro Person ähnlich: Standard $639 (IQR 366–1156) vs. Hep-B-PAST $770 (IQR 400–1272), p=0,12; Mittelwerte Standard $1701 vs. $1970 (p=0,12); dezentrales Modell führte nicht zu Kostensteigerung bei verbesserter Therapie-Adhärenz.</w:t>
      </w:r>
    </w:p>
    <w:p>
      <w:r>
        <w:rPr>
          <w:b/>
          <w:sz w:val="19"/>
        </w:rPr>
        <w:t xml:space="preserve">Übertragbarkeit: </w:t>
      </w:r>
      <w:r>
        <w:rPr>
          <w:sz w:val="19"/>
        </w:rPr>
        <w:t>Australien, vergleichbare öffentliche Versorgungssysteme; Dezentralisierung ist kosteneffizient.</w:t>
      </w:r>
    </w:p>
    <w:p>
      <w:r>
        <w:rPr>
          <w:color w:val="5A7D3A"/>
          <w:sz w:val="18"/>
        </w:rPr>
        <w:t>https://pubmed.ncbi.nlm.nih.gov/42811936/</w:t>
      </w:r>
    </w:p>
    <w:p>
      <w:pPr>
        <w:pStyle w:val="Heading2"/>
      </w:pPr>
      <w:r>
        <w:t>Krankheitslast nicht-übertragbarer Erkrankungen in bangladeschischen Krankenhäusern</w:t>
      </w:r>
    </w:p>
    <w:p>
      <w:r>
        <w:rPr>
          <w:i/>
          <w:color w:val="666666"/>
          <w:sz w:val="18"/>
        </w:rPr>
        <w:t>Proma SB et al.  ·  Mymensingh Med J  ·  Okt. 2026  ·  PMID 42811840</w:t>
      </w:r>
    </w:p>
    <w:p>
      <w:r>
        <w:t>Retrospektive Querschnittsanalyse von 6698 Krankenhausaufnahmen 2022 an einem Tertiärzentrum zur Erfassung der Häufigkeit, Muster und Mortalität durch nicht-übertragbare Erkrankungen.</w:t>
      </w:r>
    </w:p>
    <w:p>
      <w:r>
        <w:rPr>
          <w:b/>
        </w:rPr>
        <w:t xml:space="preserve">Ergebnis: </w:t>
      </w:r>
      <w:r>
        <w:t>42,05% aller Aufnahmen NCDs; weiblich 56,37%, männlich 43,63%; Häufigste Erkrankungen Hypertonie (33,22%), Diabetes (25,34%), Schlaganfall (17,85%), kardiovaskulär (12,14%); NCDs verursachten 88,41% aller Todesfälle (n=164), hauptsächlich kardiovaskulär, Schlaganfall, chronische Atemwegserkrankungen.</w:t>
      </w:r>
    </w:p>
    <w:p>
      <w:r>
        <w:rPr>
          <w:b/>
          <w:sz w:val="19"/>
        </w:rPr>
        <w:t xml:space="preserve">Übertragbarkeit: </w:t>
      </w:r>
      <w:r>
        <w:rPr>
          <w:sz w:val="19"/>
        </w:rPr>
        <w:t>Bangladesch, Ressourcen-limitierte Versorgung; Handlungsbedarf zur Prävention und Früherkennung NCDs evident.</w:t>
      </w:r>
    </w:p>
    <w:p>
      <w:r>
        <w:rPr>
          <w:color w:val="5A7D3A"/>
          <w:sz w:val="18"/>
        </w:rPr>
        <w:t>https://pubmed.ncbi.nlm.nih.gov/42811840/</w:t>
      </w:r>
    </w:p>
    <w:p>
      <w:pPr>
        <w:pStyle w:val="Heading2"/>
      </w:pPr>
      <w:r>
        <w:t>Bewegung in die Krankenhausversorgung: Integrierung von Physiotherapie in die chronische Versorgung</w:t>
      </w:r>
    </w:p>
    <w:p>
      <w:r>
        <w:rPr>
          <w:i/>
          <w:color w:val="666666"/>
          <w:sz w:val="18"/>
        </w:rPr>
        <w:t>Barrera-Garcimartín A et al.  ·  Int J Qual Stud Health Well-being  ·  31.12.2026  ·  PMID 42808772</w:t>
      </w:r>
    </w:p>
    <w:p>
      <w:r>
        <w:t>Qualitative Fokusgruppentudie mit 8 Fachpersonen eines öffentlichen Krankenhauses in Spanien zur Rolle von körperlicher Aktivität in der chronischen Versorgung.</w:t>
      </w:r>
    </w:p>
    <w:p>
      <w:r>
        <w:rPr>
          <w:b/>
        </w:rPr>
        <w:t xml:space="preserve">Ergebnis: </w:t>
      </w:r>
      <w:r>
        <w:t>Teilnehmende beschrieben niedrige Aktivität, mangelnde Ressourcen, fehlende institutionelle Unterstützung und schwache Rahmenbedingungen als Barrieren. Als zentral identifiziert: Integration von Sportfachpersonen, Entwicklung strukturierter Programme, stärkere Collaboration mit externen Institutionen.</w:t>
      </w:r>
    </w:p>
    <w:p>
      <w:r>
        <w:rPr>
          <w:b/>
          <w:sz w:val="19"/>
        </w:rPr>
        <w:t xml:space="preserve">Übertragbarkeit: </w:t>
      </w:r>
      <w:r>
        <w:rPr>
          <w:sz w:val="19"/>
        </w:rPr>
        <w:t>Spanien, öffentliche Krankenhaussysteme; Umsetzungshindernisse sind System-unabhängig.</w:t>
      </w:r>
    </w:p>
    <w:p>
      <w:r>
        <w:rPr>
          <w:color w:val="5A7D3A"/>
          <w:sz w:val="18"/>
        </w:rPr>
        <w:t>https://pubmed.ncbi.nlm.nih.gov/42808772/</w:t>
      </w:r>
    </w:p>
    <w:p>
      <w:pPr>
        <w:pStyle w:val="Heading2"/>
      </w:pPr>
      <w:r>
        <w:t>Minimale klinische Relevanz der EQ-VAS bei Post-COVID: Tagesschwankungen und Mess-Standards</w:t>
      </w:r>
    </w:p>
    <w:p>
      <w:r>
        <w:rPr>
          <w:i/>
          <w:color w:val="666666"/>
          <w:sz w:val="18"/>
        </w:rPr>
        <w:t>Kopp J et al.  ·  BMJ Open  ·  25.09.2026  ·  PMID 42790915</w:t>
      </w:r>
    </w:p>
    <w:p>
      <w:r>
        <w:t>Sekundäranalyse von täglichen EQ-VAS-Werten über 7 Tage bei 153 Post-COVID-Patienten aus einem randomisierten Kontrollversuch zur Bestimmung der minimalen wichtigen Differenz (MID).</w:t>
      </w:r>
    </w:p>
    <w:p>
      <w:r>
        <w:rPr>
          <w:b/>
        </w:rPr>
        <w:t xml:space="preserve">Ergebnis: </w:t>
      </w:r>
      <w:r>
        <w:t>Baseline-Median EQ-VAS 48,7 (0-100 Skala); tageszeitliche Variabilität (Median wpSD 6,4); verteilungsbasierte MID 5,9–8,9 Punkte; ankerbasierte MID 8,96 Punkte (FACIT-Fatigue); empfohlener MID-Wert 8 Punkte für zukünftige Studien.</w:t>
      </w:r>
    </w:p>
    <w:p>
      <w:r>
        <w:rPr>
          <w:b/>
          <w:sz w:val="19"/>
        </w:rPr>
        <w:t xml:space="preserve">Übertragbarkeit: </w:t>
      </w:r>
      <w:r>
        <w:rPr>
          <w:sz w:val="19"/>
        </w:rPr>
        <w:t>Schweiz, vergleichbare Versorgungsstrukturen; Messstandardisierung ist System-unabhängig.</w:t>
      </w:r>
    </w:p>
    <w:p>
      <w:r>
        <w:rPr>
          <w:color w:val="5A7D3A"/>
          <w:sz w:val="18"/>
        </w:rPr>
        <w:t>https://pubmed.ncbi.nlm.nih.gov/42790915/</w:t>
      </w:r>
    </w:p>
    <w:p>
      <w:pPr>
        <w:pStyle w:val="Heading1"/>
      </w:pPr>
      <w:r>
        <w:t>Aufgenommen am 30.09.2026</w:t>
      </w:r>
    </w:p>
    <w:p>
      <w:pPr>
        <w:pStyle w:val="Heading2"/>
      </w:pPr>
      <w:r>
        <w:t>Diagnostische Verzögerung bei POTS-Syndrom: 3 Jahre Median, massive Beeinträchtigung</w:t>
      </w:r>
    </w:p>
    <w:p>
      <w:r>
        <w:rPr>
          <w:i/>
          <w:color w:val="666666"/>
          <w:sz w:val="18"/>
        </w:rPr>
        <w:t>Seeley MC et al.  ·  BMJ Open  ·  29.09.2026  ·  PMID 42810796</w:t>
      </w:r>
    </w:p>
    <w:p>
      <w:r>
        <w:t>Beobachtungskohorte mit 500 Patienten mit bestätigtem Postural-Orthostatic-Tachycardia-Syndrom (POTS) aus australischer Registry dokumentierte Symptombürde, diagnostische Verzögerung und Funktionsbeeinträchtigung.</w:t>
      </w:r>
    </w:p>
    <w:p>
      <w:r>
        <w:rPr>
          <w:b/>
        </w:rPr>
        <w:t xml:space="preserve">Ergebnis: </w:t>
      </w:r>
      <w:r>
        <w:t>Mediane diagnostische Verzögerung 3,0 Jahre (IQR 9,0), 25,5% hatten ≥10 Jahre Verzögerung. Trotz jungen Alters (Durchschnitt 31,3 Jahre) und hoher Bildung: 22% arbeitslos oder könnten nicht zur Schule gehen. Infektion war der häufigste Auslöser (39,4%). Höhere autonome Symptombelastung korrelierte mit mehr Fatigue (FSS 56,0 vs. 48,0; p&lt;0,001), Magen-Darm-Symptomen (GCSI 1,60 vs. 0,89; p&lt;0,001) und schlechterer Lebensqualität (EQ-5D 0,547 vs. 0,717; p&lt;0,001).</w:t>
      </w:r>
    </w:p>
    <w:p>
      <w:r>
        <w:rPr>
          <w:b/>
          <w:sz w:val="19"/>
        </w:rPr>
        <w:t xml:space="preserve">Übertragbarkeit: </w:t>
      </w:r>
      <w:r>
        <w:rPr>
          <w:sz w:val="19"/>
        </w:rPr>
        <w:t>Australien, vergleichbare Primärversorgungsstrukturen, ähnlicher Versorgungsauftrag</w:t>
      </w:r>
    </w:p>
    <w:p>
      <w:r>
        <w:rPr>
          <w:color w:val="5A7D3A"/>
          <w:sz w:val="18"/>
        </w:rPr>
        <w:t>https://pubmed.ncbi.nlm.nih.gov/42810796/</w:t>
      </w:r>
    </w:p>
    <w:p>
      <w:pPr>
        <w:pStyle w:val="Heading2"/>
      </w:pPr>
      <w:r>
        <w:t>Mehrfacherkrankung in Alltag und Versorgung: Qualitative Studie zu komplexer Multimorbidität in Dänemark</w:t>
      </w:r>
    </w:p>
    <w:p>
      <w:r>
        <w:rPr>
          <w:i/>
          <w:color w:val="666666"/>
          <w:sz w:val="18"/>
        </w:rPr>
        <w:t>Poulsen AG et al.  ·  Prim Health Care Res Dev  ·  29.09.2026  ·  PMID 42808657</w:t>
      </w:r>
    </w:p>
    <w:p>
      <w:r>
        <w:t>Qualitative Interviews mit 8 Patienten mit komplexer Multimorbidität zeigten, dass diese Patienten trotz mehrerer Diagnosen keine Kontinuität über alle Erkrankungen hinweg erwarten, sondern wünschen sich spezialisierte Betreuung pro Fachgebiet und einen professionellen Lotsen – häufig den Hausarzt – als Unterstützung.</w:t>
      </w:r>
    </w:p>
    <w:p>
      <w:r>
        <w:rPr>
          <w:b/>
        </w:rPr>
        <w:t xml:space="preserve">Ergebnis: </w:t>
      </w:r>
      <w:r>
        <w:t>Kernfindung: Patienten verfolgen aktiv Bewältigungsstrategien zwischen medizinischen Empfehlungen und persönlichen Prioritäten. Ein Ansprechpartner (oft der Hausarzt) war ein signifikanter Unterstützungsfaktor. Die Ergebnisse unterstreichen die Notwendigkeit einer patientenzentrierten Versorgung, die individuelle Ressourcen anerkennt.</w:t>
      </w:r>
    </w:p>
    <w:p>
      <w:r>
        <w:rPr>
          <w:b/>
          <w:sz w:val="19"/>
        </w:rPr>
        <w:t xml:space="preserve">Übertragbarkeit: </w:t>
      </w:r>
      <w:r>
        <w:rPr>
          <w:sz w:val="19"/>
        </w:rPr>
        <w:t>Dänemark, vergleichbares Primärarztsystem mit Gatekeeper-Funktion</w:t>
      </w:r>
    </w:p>
    <w:p>
      <w:r>
        <w:rPr>
          <w:color w:val="5A7D3A"/>
          <w:sz w:val="18"/>
        </w:rPr>
        <w:t>https://pubmed.ncbi.nlm.nih.gov/42808657/</w:t>
      </w:r>
    </w:p>
    <w:p>
      <w:pPr>
        <w:pStyle w:val="Heading2"/>
      </w:pPr>
      <w:r>
        <w:t>Post-COVID-19-Symptome bei Asthma und COPD: Risikofaktoren identifiziert</w:t>
      </w:r>
    </w:p>
    <w:p>
      <w:r>
        <w:rPr>
          <w:i/>
          <w:color w:val="666666"/>
          <w:sz w:val="18"/>
        </w:rPr>
        <w:t>Andreason A et al.  ·  NPJ Prim Care Respir Med  ·  29.09.2026  ·  PMID 42805994</w:t>
      </w:r>
    </w:p>
    <w:p>
      <w:r>
        <w:t>Querschnittstudie mit 494 Patienten mit bestätigter COVID-19-Infektion aus dem schwedischen PRAXIS-Register untersuchte Häufigkeit und Risikofaktoren für persistierende Symptome bei Asthma oder COPD.</w:t>
      </w:r>
    </w:p>
    <w:p>
      <w:r>
        <w:rPr>
          <w:b/>
        </w:rPr>
        <w:t xml:space="preserve">Ergebnis: </w:t>
      </w:r>
      <w:r>
        <w:t>59% (289/494) berichteten Post-COVID-19-Symptome. Unabhängige Risikofaktoren: schwere akute Infektion (aOR 8,91), höheres Alter (aOR 1,25 pro Jahr), weibliches Geschlecht (aOR 1,52), Adipositas (aOR 2,24), Angststörung/Depression (aOR 1,79) und chronischer Schmerz (aOR 3,61). Patienten mit Asthma/COPD hatten höhere Prävalenz persistierender Symptome als andere Populationen.</w:t>
      </w:r>
    </w:p>
    <w:p>
      <w:r>
        <w:rPr>
          <w:b/>
          <w:sz w:val="19"/>
        </w:rPr>
        <w:t xml:space="preserve">Übertragbarkeit: </w:t>
      </w:r>
      <w:r>
        <w:rPr>
          <w:sz w:val="19"/>
        </w:rPr>
        <w:t>Schweden, europäisches Primärversorgungssystem, vergleichbare Dokumentation</w:t>
      </w:r>
    </w:p>
    <w:p>
      <w:r>
        <w:rPr>
          <w:color w:val="5A7D3A"/>
          <w:sz w:val="18"/>
        </w:rPr>
        <w:t>https://pubmed.ncbi.nlm.nih.gov/42805994/</w:t>
      </w:r>
    </w:p>
    <w:p>
      <w:pPr>
        <w:pStyle w:val="Heading2"/>
      </w:pPr>
      <w:r>
        <w:t>Spezialistisch versorgte chronische Erkrankungen im Primärarztsystem: Analyse deutscher Kassendaten</w:t>
      </w:r>
    </w:p>
    <w:p>
      <w:r>
        <w:rPr>
          <w:i/>
          <w:color w:val="666666"/>
          <w:sz w:val="18"/>
        </w:rPr>
        <w:t>Mangiapane S et al.  ·  Bundesgesundheitsblatt Gesundheitsforschung Gesundheitsschutz  ·  08.09.2026  ·  PMID 42709072</w:t>
      </w:r>
    </w:p>
    <w:p>
      <w:r>
        <w:t>Analyse von bundesweiten Abrechnungsdaten für 2024 identifizierte 173 Diagnosegruppen mit hoher fachärztlicher Versorgungsrelevanz, um zu prüfen, welche chronischen Erkrankungen primärärztlich von Spezialisten koordiniert werden könnten.</w:t>
      </w:r>
    </w:p>
    <w:p>
      <w:r>
        <w:rPr>
          <w:b/>
        </w:rPr>
        <w:t xml:space="preserve">Ergebnis: </w:t>
      </w:r>
      <w:r>
        <w:t>Bei Patienten mit Nierenfunktionsstörung (N25) höchster fachärztlicher Anteil: 83% erhielten nephrologische Behandlung, Nephrologen verantwortlich für 77% krankheitsspezifischer Fälle, aber nur 37% aller Behandlungstage. Bei allen fünf exemplarisch analysierten Indikationen (F33, G35, K51, M05, N25) entfielen 43–55% aller Behandlungstage auf Hausärzte, 92–97% der Patienten wurden hausärztlich versorgt. Schlussfolgerung: Spezialistisch geleitete primärärztliche Versorgung würde umfassende fachübergreifende Koordination erfordern, die wahrscheinlich nur für Einzelfälle realistisch ist.</w:t>
      </w:r>
    </w:p>
    <w:p>
      <w:r>
        <w:rPr>
          <w:b/>
          <w:sz w:val="19"/>
        </w:rPr>
        <w:t xml:space="preserve">Übertragbarkeit: </w:t>
      </w:r>
      <w:r>
        <w:rPr>
          <w:sz w:val="19"/>
        </w:rPr>
        <w:t>Deutschland, eigene Kassendaten, Struktur des Versicherungssystems identisch</w:t>
      </w:r>
    </w:p>
    <w:p>
      <w:r>
        <w:rPr>
          <w:color w:val="5A7D3A"/>
          <w:sz w:val="18"/>
        </w:rPr>
        <w:t>https://pubmed.ncbi.nlm.nih.gov/42709072/</w:t>
      </w:r>
    </w:p>
    <w:p>
      <w:pPr>
        <w:pStyle w:val="Heading2"/>
      </w:pPr>
      <w:r>
        <w:t>Steatose bei chronischer Hepatitis B: 42% Prävalenz bei vulnerablen Patienten, HBeAg protektiv, T2DM risikosteigernd</w:t>
      </w:r>
    </w:p>
    <w:p>
      <w:r>
        <w:rPr>
          <w:i/>
          <w:color w:val="666666"/>
          <w:sz w:val="18"/>
        </w:rPr>
        <w:t>Trifan A et al.  ·  J Gastrointestin Liver Dis  ·  29.08.2026  ·  PMID 42667659</w:t>
      </w:r>
    </w:p>
    <w:p>
      <w:r>
        <w:t>Prospektive Querschnittsstudie mit 1.970 Patienten mit chronischer Hepatitis B aus Screening-Programm in Rumänien (LIVE(RO)2) identifizierte metabolische Risikofaktoren für hepatische Steatose mittels kontrollierter Dämpfungsparameter (CAP).</w:t>
      </w:r>
    </w:p>
    <w:p>
      <w:r>
        <w:rPr>
          <w:b/>
        </w:rPr>
        <w:t xml:space="preserve">Ergebnis: </w:t>
      </w:r>
      <w:r>
        <w:t>Steatose-Prävalenz 42,2% bei vulnerablen (sozial benachteiligten) Patienten vs. 26,4% bei nicht-vulnerablen. Vulnerable Patienten hatten höhere Prävalenz von T2DM (11,5%), Hypertonie (41,3%) und Übergewicht (71,3%). HBeAg-Positivität war protektiv gegen Steatose (aOR 0,397), aber erhöhte Zirrhose-Risiko um Faktor 6. Schwere Fibrose (≥F3): 17,1% bei vulnerablen vs. 9,7% bei nicht-vulnerablen.</w:t>
      </w:r>
    </w:p>
    <w:p>
      <w:r>
        <w:rPr>
          <w:b/>
          <w:sz w:val="19"/>
        </w:rPr>
        <w:t xml:space="preserve">Übertragbarkeit: </w:t>
      </w:r>
      <w:r>
        <w:rPr>
          <w:sz w:val="19"/>
        </w:rPr>
        <w:t>Rumänien, Länder Südosteuropas, Primärversorgungsdaten, Struktur ähnlich mitteleuro­päischen Systemen</w:t>
      </w:r>
    </w:p>
    <w:p>
      <w:r>
        <w:rPr>
          <w:color w:val="5A7D3A"/>
          <w:sz w:val="18"/>
        </w:rPr>
        <w:t>https://pubmed.ncbi.nlm.nih.gov/42667659/</w:t>
      </w:r>
    </w:p>
    <w:p>
      <w:pPr>
        <w:pStyle w:val="Heading2"/>
      </w:pPr>
      <w:r>
        <w:t>Point-of-Care-Ultraschall in Zambia erkennt Zirrhose mit moderater Genauigkeit</w:t>
      </w:r>
    </w:p>
    <w:p>
      <w:r>
        <w:rPr>
          <w:i/>
          <w:color w:val="666666"/>
          <w:sz w:val="18"/>
        </w:rPr>
        <w:t>Bertoni C et al.  ·  J Viral Hepat  ·  Sept. 2026  ·  PMID 42547938</w:t>
      </w:r>
    </w:p>
    <w:p>
      <w:r>
        <w:t>Machbarkeitsstudie mit 197 Patienten mit chronischer Hepatitis B ± HIV in Zambia testete, ob trainierte nicht-radiologische Fachkräfte ein vereinfachtes Ultraschallprotokoll (PUSH) zur Erkennung von Fibrose, Zirrhose und HCC einsetzen können.</w:t>
      </w:r>
    </w:p>
    <w:p>
      <w:r>
        <w:rPr>
          <w:b/>
        </w:rPr>
        <w:t xml:space="preserve">Ergebnis: </w:t>
      </w:r>
      <w:r>
        <w:t>Nach kurzer Schulung: PUSH zeigte niedrige Genauigkeit für signifikante Fibrose (Sensitivität 8,3%, Spezifität 100%, AUROC 0,54), moderate Genauigkeit für Zirrhose (Sensitivität 60,9%, Spezifität 97,7%, AUROC 0,79) und höhere Genauigkeit für Leberläsionen verdächtig auf HCC (Sensitivität 85,7%, Spezifität 98,4%, AUROC 0,92). Schlussfolgerung: Frontline-Fachkräfte können PUSH für Zirrhose und Leberläsionen nutzen, wenn Labor- und Elastographiesysteme fehlen.</w:t>
      </w:r>
    </w:p>
    <w:p>
      <w:r>
        <w:rPr>
          <w:b/>
          <w:sz w:val="19"/>
        </w:rPr>
        <w:t xml:space="preserve">Übertragbarkeit: </w:t>
      </w:r>
      <w:r>
        <w:rPr>
          <w:sz w:val="19"/>
        </w:rPr>
        <w:t>Ressourcenarm-Setting, Übertragbarkeit auf Deutschland gering, aber Methodische Relevanz für Versorgung ohne hochwertige Labordiagnostik</w:t>
      </w:r>
    </w:p>
    <w:p>
      <w:r>
        <w:rPr>
          <w:color w:val="5A7D3A"/>
          <w:sz w:val="18"/>
        </w:rPr>
        <w:t>https://pubmed.ncbi.nlm.nih.gov/42547938/</w:t>
      </w:r>
    </w:p>
    <w:p>
      <w:pPr>
        <w:pStyle w:val="Heading1"/>
      </w:pPr>
      <w:r>
        <w:t>Aufgenommen am 29.09.2026</w:t>
      </w:r>
    </w:p>
    <w:p>
      <w:pPr>
        <w:pStyle w:val="Heading2"/>
      </w:pPr>
      <w:r>
        <w:t>Sarcopenie bei chronischer Nierenkrankheit: 28 % Prävalenz bei ESRD, assoziiert mit Metabolik und Frailty</w:t>
      </w:r>
    </w:p>
    <w:p>
      <w:r>
        <w:rPr>
          <w:i/>
          <w:color w:val="666666"/>
          <w:sz w:val="18"/>
        </w:rPr>
        <w:t>Agidew MM et al.  ·  BMJ Open  ·  28.09.2026  ·  PMID 42805656</w:t>
      </w:r>
    </w:p>
    <w:p>
      <w:r>
        <w:t>Querschnittstudie aus Äthiopien zu Sarcopenie-Prävalenz und Risikofaktoren bei erwachsenen CKD-Patienten (n=120) in einer nephrologischen Klinik, mit fokus auf ESRD-Differenzierung.</w:t>
      </w:r>
    </w:p>
    <w:p>
      <w:r>
        <w:rPr>
          <w:b/>
        </w:rPr>
        <w:t xml:space="preserve">Ergebnis: </w:t>
      </w:r>
      <w:r>
        <w:t>Sarcopenie-Prävalenz war signifikant höher bei ESRD als ohne ESRD (28,3 % vs. 10,0 %; p=0,01). Unabhängige Prädiktoren waren niedriges HDL, erhöhtes Triglycerid, Hyperglykämie, Hypertonie und Frailty. Korrelationen mit Nierenfunktion (r=−0,291; p=0,001) und oxidativem Stress bestätigt.</w:t>
      </w:r>
    </w:p>
    <w:p>
      <w:r>
        <w:rPr>
          <w:b/>
          <w:sz w:val="19"/>
        </w:rPr>
        <w:t xml:space="preserve">Übertragbarkeit: </w:t>
      </w:r>
      <w:r>
        <w:rPr>
          <w:sz w:val="19"/>
        </w:rPr>
        <w:t>Äthiopien, aber CKD-Komplikationen global, Screening-Empfehlungen übertragbar</w:t>
      </w:r>
    </w:p>
    <w:p>
      <w:r>
        <w:rPr>
          <w:color w:val="5A7D3A"/>
          <w:sz w:val="18"/>
        </w:rPr>
        <w:t>https://pubmed.ncbi.nlm.nih.gov/42805656/</w:t>
      </w:r>
    </w:p>
    <w:p>
      <w:pPr>
        <w:pStyle w:val="Heading2"/>
      </w:pPr>
      <w:r>
        <w:t>Nierentransplantate von Spendern mit Diabetes: 5-Jahres-Funktion nach Matchingvergleich unbedenklich</w:t>
      </w:r>
    </w:p>
    <w:p>
      <w:r>
        <w:rPr>
          <w:i/>
          <w:color w:val="666666"/>
          <w:sz w:val="18"/>
        </w:rPr>
        <w:t>Colella-Santos M et al.  ·  Clin Transplant  ·  Okt. 2026  ·  PMID 42804549</w:t>
      </w:r>
    </w:p>
    <w:p>
      <w:r>
        <w:t>Retrospektive brasilianische Kohortenstudie zu 5-Jahres-Nierenfunktion und Transplantat-Überleben nach Nierentransplantation mit verstorbenen Spendern mit oder ohne Diabetes mellitus (n=3.058), mit Propensity-Score-Matching.</w:t>
      </w:r>
    </w:p>
    <w:p>
      <w:r>
        <w:rPr>
          <w:b/>
        </w:rPr>
        <w:t xml:space="preserve">Ergebnis: </w:t>
      </w:r>
      <w:r>
        <w:t>Nach Matching unterschieden sich eGFR über 5 Jahre, eGFR-Steigung und zensiertes Transplantat-Überleben nicht zwischen Spendern mit und ohne Diabetes. Pre-implantations-Biopsien zeigten selten Diabetes-assoziierte glomeruläre Läsionen; keine Banff-Parameter sagten eGFR&lt;30 oder Transplantatverlust voraus (alle p&gt;0,05).</w:t>
      </w:r>
    </w:p>
    <w:p>
      <w:r>
        <w:rPr>
          <w:b/>
          <w:sz w:val="19"/>
        </w:rPr>
        <w:t xml:space="preserve">Übertragbarkeit: </w:t>
      </w:r>
      <w:r>
        <w:rPr>
          <w:sz w:val="19"/>
        </w:rPr>
        <w:t>Brasilien, aber Organallokation und Transplantat-Qualitätskriterien überträglich</w:t>
      </w:r>
    </w:p>
    <w:p>
      <w:r>
        <w:rPr>
          <w:color w:val="5A7D3A"/>
          <w:sz w:val="18"/>
        </w:rPr>
        <w:t>https://pubmed.ncbi.nlm.nih.gov/42804549/</w:t>
      </w:r>
    </w:p>
    <w:p>
      <w:pPr>
        <w:pStyle w:val="Heading2"/>
      </w:pPr>
      <w:r>
        <w:t>Ältere mit konservativer Nierenfunktions-Erhaltung lehnen Dialyse ab – Nephrologie stellt sie selten bereit</w:t>
      </w:r>
    </w:p>
    <w:p>
      <w:r>
        <w:rPr>
          <w:i/>
          <w:color w:val="666666"/>
          <w:sz w:val="18"/>
        </w:rPr>
        <w:t>Geiger MP et al.  ·  JAMA Netw Open  ·  01.09.2026  ·  PMID 42804203</w:t>
      </w:r>
    </w:p>
    <w:p>
      <w:r>
        <w:t>Qualitative Sekundäranalyse von Klinikakten aus zwei US-RCTs (CKD-EDU und DIAL-SDM, 2019–2024) zur Entscheidungsfindung von älteren (≥75 Jahren) mit ESRD bezüglich konservativer Nierenbehandlung ohne Dialyse.</w:t>
      </w:r>
    </w:p>
    <w:p>
      <w:r>
        <w:rPr>
          <w:b/>
        </w:rPr>
        <w:t xml:space="preserve">Ergebnis: </w:t>
      </w:r>
      <w:r>
        <w:t>35 von 118 Patienten (mittl. Alter 82 J.) wählten konservative Behandlung. Gründe: Vermeidung von Dialyse-Belastung zur Qualitätserhaltung, schlechte Gesundheit, Beobachtung von Dialyse-Folgen bei Angehörigen, Schutz vor Übermedikalisierung am Lebensende. Nephrologists hinterfragten häufig zielkonkordante Entscheidungen, initiierten selten Advance-Care-Planning.</w:t>
      </w:r>
    </w:p>
    <w:p>
      <w:r>
        <w:rPr>
          <w:b/>
          <w:sz w:val="19"/>
        </w:rPr>
        <w:t xml:space="preserve">Übertragbarkeit: </w:t>
      </w:r>
      <w:r>
        <w:rPr>
          <w:sz w:val="19"/>
        </w:rPr>
        <w:t>USA, aber Shared Decision Making und Palliativversorgung international relevant</w:t>
      </w:r>
    </w:p>
    <w:p>
      <w:r>
        <w:rPr>
          <w:color w:val="5A7D3A"/>
          <w:sz w:val="18"/>
        </w:rPr>
        <w:t>https://pubmed.ncbi.nlm.nih.gov/42804203/</w:t>
      </w:r>
    </w:p>
    <w:p>
      <w:pPr>
        <w:pStyle w:val="Heading2"/>
      </w:pPr>
      <w:r>
        <w:t>Therapietreue senkt HCC-Inzidenz bei Hepatitis-B-Zirrhose um 23 %</w:t>
      </w:r>
    </w:p>
    <w:p>
      <w:r>
        <w:rPr>
          <w:i/>
          <w:color w:val="666666"/>
          <w:sz w:val="18"/>
        </w:rPr>
        <w:t>Shin YE et al.  ·  J Med Virol  ·  Okt. 2026  ·  PMID 42803662</w:t>
      </w:r>
    </w:p>
    <w:p>
      <w:r>
        <w:t>Kohortenstudie mit südkoreanischen Abrechnungsdaten zur Assoziation zwischen Therapietreue (Medikamentenpossession-Ratio ≥90 %) bei Nukleosid-Analoga-Therapie und Hepatozellulären Karzinom-Risiko bei chronischer Hepatitis B.</w:t>
      </w:r>
    </w:p>
    <w:p>
      <w:r>
        <w:rPr>
          <w:b/>
        </w:rPr>
        <w:t xml:space="preserve">Ergebnis: </w:t>
      </w:r>
      <w:r>
        <w:t>Bei Patienten mit Claims-definierter Zirrhose zeigte hohe Therapietreue eine 34 % niedrigere HCC-Inzidenz als geringe Treue (32,92 vs. 49,59 pro 1000 Personenjahre; IR-Ratio 0,66; 95%-KI 0,57–0,78), in multivariaten Cox-Regressionen bestätigt (HR 0,77; 95%-KI 0,66–0,90).</w:t>
      </w:r>
    </w:p>
    <w:p>
      <w:r>
        <w:rPr>
          <w:b/>
          <w:sz w:val="19"/>
        </w:rPr>
        <w:t xml:space="preserve">Übertragbarkeit: </w:t>
      </w:r>
      <w:r>
        <w:rPr>
          <w:sz w:val="19"/>
        </w:rPr>
        <w:t>Südkorea, nationales Versicherungssystem vergleichbar mit Deutschland</w:t>
      </w:r>
    </w:p>
    <w:p>
      <w:r>
        <w:rPr>
          <w:color w:val="5A7D3A"/>
          <w:sz w:val="18"/>
        </w:rPr>
        <w:t>https://pubmed.ncbi.nlm.nih.gov/42803662/</w:t>
      </w:r>
    </w:p>
    <w:p>
      <w:pPr>
        <w:pStyle w:val="Heading2"/>
      </w:pPr>
      <w:r>
        <w:t>Automatische Peritonealdialyse senkt Restfunktion schneller als CAPD</w:t>
      </w:r>
    </w:p>
    <w:p>
      <w:r>
        <w:rPr>
          <w:i/>
          <w:color w:val="666666"/>
          <w:sz w:val="18"/>
        </w:rPr>
        <w:t>Sun L et al.  ·  Ren Fail  ·  27.09.2026  ·  PMID 42802590</w:t>
      </w:r>
    </w:p>
    <w:p>
      <w:r>
        <w:t>Retrospektive chinesische Kohortenstudie zu Nierenrestfunktion (RKF) bei Peritonealdialyse-Patienten mit Neudiagnose ESKD, vergleichend nach Modalität (APD vs. CAPD).</w:t>
      </w:r>
    </w:p>
    <w:p>
      <w:r>
        <w:rPr>
          <w:b/>
        </w:rPr>
        <w:t xml:space="preserve">Ergebnis: </w:t>
      </w:r>
      <w:r>
        <w:t>Nach 6 Monaten Peritonealdialyse zeigte die APD-Gruppe signifikant niedrigere RKF (1,9±1,6 vs. 3,0±1,7 mL/min/1,73 m²; p=0,043) und schnelleren mittleren RKF-Rückgang (−6,6±2,5 vs. −4,3±2,3 mL/min/1,73 m²/Jahr; p=0,002). In multivariater Regression war APD unabhängig mit beschleunigtem RKF-Rückgang assoziiert (β=0,93; p=0,004).</w:t>
      </w:r>
    </w:p>
    <w:p>
      <w:r>
        <w:rPr>
          <w:b/>
          <w:sz w:val="19"/>
        </w:rPr>
        <w:t xml:space="preserve">Übertragbarkeit: </w:t>
      </w:r>
      <w:r>
        <w:rPr>
          <w:sz w:val="19"/>
        </w:rPr>
        <w:t>China, aber Nierenersatzverfahren und Organschutz universal relevant</w:t>
      </w:r>
    </w:p>
    <w:p>
      <w:r>
        <w:rPr>
          <w:color w:val="5A7D3A"/>
          <w:sz w:val="18"/>
        </w:rPr>
        <w:t>https://pubmed.ncbi.nlm.nih.gov/42802590/</w:t>
      </w:r>
    </w:p>
    <w:p>
      <w:pPr>
        <w:pStyle w:val="Heading2"/>
      </w:pPr>
      <w:r>
        <w:t>Direkt-wirkende Antivirale sind sicher bei Hepatitis-C-Patienten mit Hypertonie</w:t>
      </w:r>
    </w:p>
    <w:p>
      <w:r>
        <w:rPr>
          <w:i/>
          <w:color w:val="666666"/>
          <w:sz w:val="18"/>
        </w:rPr>
        <w:t>Brzdęk M et al.  ·  Viruses  ·  12.07.2026  ·  PMID 42515615</w:t>
      </w:r>
    </w:p>
    <w:p>
      <w:r>
        <w:t>Retrospektive Kohortenstudie von 2015–2023 aus Polen zu Sicherheit und Wirksamkeit direkt-wirkender Antiviraler (DAA) bei HCV-infizierten Patienten mit arterieller Hypertonie.</w:t>
      </w:r>
    </w:p>
    <w:p>
      <w:r>
        <w:rPr>
          <w:b/>
        </w:rPr>
        <w:t xml:space="preserve">Ergebnis: </w:t>
      </w:r>
      <w:r>
        <w:t>Von 18.968 DAA-behandelten HCV-Patienten hatten 5.976 Hypertonie. Anhaltendes virologisches Ansprechen (SVR) war hoch und vergleichbar zwischen Hypertonie- und Nicht-Hypertonie-Gruppe (94,8 % vs. 94,2 % ITT-Analyse, 97,6 % vs. 97,6 % per-Protokoll). Hypertonie war nicht unabhängig mit Therapieversagen assoziiert (OR 0,87; 95%-KI 0,69–1,10).</w:t>
      </w:r>
    </w:p>
    <w:p>
      <w:r>
        <w:rPr>
          <w:b/>
          <w:sz w:val="19"/>
        </w:rPr>
        <w:t xml:space="preserve">Übertragbarkeit: </w:t>
      </w:r>
      <w:r>
        <w:rPr>
          <w:sz w:val="19"/>
        </w:rPr>
        <w:t>Polen, Struktur und Kostenträgermodell europäisch vergleichbar</w:t>
      </w:r>
    </w:p>
    <w:p>
      <w:r>
        <w:rPr>
          <w:color w:val="5A7D3A"/>
          <w:sz w:val="18"/>
        </w:rPr>
        <w:t>https://pubmed.ncbi.nlm.nih.gov/42515615/</w:t>
      </w:r>
    </w:p>
    <w:p>
      <w:pPr>
        <w:pStyle w:val="Heading1"/>
      </w:pPr>
      <w:r>
        <w:t>Aufgenommen am 28.09.2026</w:t>
      </w:r>
    </w:p>
    <w:p>
      <w:pPr>
        <w:pStyle w:val="Heading2"/>
      </w:pPr>
      <w:r>
        <w:t>Strukturierte COPD-Versorgung senkte Sterblichkeit nach akuter Exazerbation um 36 %</w:t>
      </w:r>
    </w:p>
    <w:p>
      <w:r>
        <w:rPr>
          <w:i/>
          <w:color w:val="666666"/>
          <w:sz w:val="18"/>
        </w:rPr>
        <w:t>Flury JS et al.  ·  Swiss Med Wkly  ·  31.08.2026  ·  PMID 42801453</w:t>
      </w:r>
    </w:p>
    <w:p>
      <w:r>
        <w:t>Retrospektive Kohorte von 1.855 Patienten mit akuter COPD-Exazerbation: Wer vor Hospitalisierung langwirkende inhalative Therapie erhielt, hatte deutlich bessere 1-Jahres-Überlebenschancen.</w:t>
      </w:r>
    </w:p>
    <w:p>
      <w:r>
        <w:rPr>
          <w:b/>
        </w:rPr>
        <w:t xml:space="preserve">Ergebnis: </w:t>
      </w:r>
      <w:r>
        <w:t>15,9 % Mortalität ohne Vortherapie vs. 10,1 % mit Vortherapie (adjustierte HR 1,95; 95%-KI 1,48–2,56; p&lt;0,001). Diagnostische und therapeutische Lücken waren erheblich: 50,6 % fehlte GOLD-Spirometrie-Staging, 82,6 % fehlte Risikostratifizierung.</w:t>
      </w:r>
    </w:p>
    <w:p>
      <w:r>
        <w:rPr>
          <w:b/>
          <w:sz w:val="19"/>
        </w:rPr>
        <w:t xml:space="preserve">Übertragbarkeit: </w:t>
      </w:r>
      <w:r>
        <w:rPr>
          <w:sz w:val="19"/>
        </w:rPr>
        <w:t>Schweiz, sekundäres Krankenhaus, vergleichbar mit deutscher Dokumentationspraxis und Strukturen.</w:t>
      </w:r>
    </w:p>
    <w:p>
      <w:r>
        <w:rPr>
          <w:color w:val="5A7D3A"/>
          <w:sz w:val="18"/>
        </w:rPr>
        <w:t>https://pubmed.ncbi.nlm.nih.gov/42801453/</w:t>
      </w:r>
    </w:p>
    <w:p>
      <w:pPr>
        <w:pStyle w:val="Heading2"/>
      </w:pPr>
      <w:r>
        <w:t>Natrium-Bikarbonat verbesserte Lebensqualität nicht bei CKD mit metabolischer Azidose</w:t>
      </w:r>
    </w:p>
    <w:p>
      <w:r>
        <w:rPr>
          <w:i/>
          <w:color w:val="666666"/>
          <w:sz w:val="18"/>
        </w:rPr>
        <w:t>Chan JYM et al.  ·  Qual Life Res  ·  27.09.2026  ·  PMID 42801387</w:t>
      </w:r>
    </w:p>
    <w:p>
      <w:r>
        <w:t>Pragmatische 18-Monats-RCT in Malaysia: 74 Patienten mit CKD Stadium 3–4 und metabolischer Azidose randomisiert zu Natrium-Bikarbonat (Tablette/Lösung) oder Standardbetreuung; Lebensqualität mittels KDQOL-36 und EQ-VAS gemessen.</w:t>
      </w:r>
    </w:p>
    <w:p>
      <w:r>
        <w:rPr>
          <w:b/>
        </w:rPr>
        <w:t xml:space="preserve">Ergebnis: </w:t>
      </w:r>
      <w:r>
        <w:t>Natrium-Bikarbonat erhöhte Serum-Bikarbonat initial, aber nur 1/3 erreichte Zielbereich 22–26 mmol/L. KDQOL-36- und EQ-VAS-Scores verbesserten sich nicht signifikant. CKD-Progression war unabhängig mit niedrigerer Lebensqualität assoziiert. Keine signifikanten Unterschiede in Blutdruck, Körpergewicht oder Hospitalisierungen.</w:t>
      </w:r>
    </w:p>
    <w:p>
      <w:r>
        <w:rPr>
          <w:b/>
          <w:sz w:val="19"/>
        </w:rPr>
        <w:t xml:space="preserve">Übertragbarkeit: </w:t>
      </w:r>
      <w:r>
        <w:rPr>
          <w:sz w:val="19"/>
        </w:rPr>
        <w:t>Malaysia, Primäre Versorgung, zeigt, dass Laborwerte nicht automatisch Patientenbefinden verbessern.</w:t>
      </w:r>
    </w:p>
    <w:p>
      <w:r>
        <w:rPr>
          <w:color w:val="5A7D3A"/>
          <w:sz w:val="18"/>
        </w:rPr>
        <w:t>https://pubmed.ncbi.nlm.nih.gov/42801387/</w:t>
      </w:r>
    </w:p>
    <w:p>
      <w:pPr>
        <w:pStyle w:val="Heading2"/>
      </w:pPr>
      <w:r>
        <w:t>Depression und Angst bei COPD-Patienten: Großflächig unterdiagnostiziert und untertherapiert</w:t>
      </w:r>
    </w:p>
    <w:p>
      <w:r>
        <w:rPr>
          <w:i/>
          <w:color w:val="666666"/>
          <w:sz w:val="18"/>
        </w:rPr>
        <w:t>Valiulis T et al.  ·  Int J Chron Obstruct Pulmon Dis  ·  22.09.2026  ·  PMID 42801175</w:t>
      </w:r>
    </w:p>
    <w:p>
      <w:r>
        <w:t>Landesweite Sekundärdatenanalyse aus Litauen mit 64.246 COPD-Patienten zur Häufigkeit psychiatrischer Komorbiditäten und deren Behandlung.</w:t>
      </w:r>
    </w:p>
    <w:p>
      <w:r>
        <w:rPr>
          <w:b/>
        </w:rPr>
        <w:t xml:space="preserve">Ergebnis: </w:t>
      </w:r>
      <w:r>
        <w:t>18,1 % hatte diagnostizierte psychiatrische Störung (26,8 % Frauen vs. 12,1 % Männer; adjustierte OR 2,40; p&lt;0,001). Angststörungen 15,0 %, depressive Störungen 4,6 %. 61,9 % der betroffenen Patienten erhielten Psychopharmaka, davon 89,9 % Anxiolytika. Hausärzte verschrieben 10,66-fach häufiger Anxiolytika als Psychiater.</w:t>
      </w:r>
    </w:p>
    <w:p>
      <w:r>
        <w:rPr>
          <w:b/>
          <w:sz w:val="19"/>
        </w:rPr>
        <w:t xml:space="preserve">Übertragbarkeit: </w:t>
      </w:r>
      <w:r>
        <w:rPr>
          <w:sz w:val="19"/>
        </w:rPr>
        <w:t>Litauen, Primäre Versorgung, zeigt Versorgungslücke auch in europäischen Gesundheitssystemen.</w:t>
      </w:r>
    </w:p>
    <w:p>
      <w:r>
        <w:rPr>
          <w:color w:val="5A7D3A"/>
          <w:sz w:val="18"/>
        </w:rPr>
        <w:t>https://pubmed.ncbi.nlm.nih.gov/42801175/</w:t>
      </w:r>
    </w:p>
    <w:p>
      <w:pPr>
        <w:pStyle w:val="Heading2"/>
      </w:pPr>
      <w:r>
        <w:t>Multidimensionale COPD-Phänotypen lassen sich clustern, benötigen aber externe Validierung</w:t>
      </w:r>
    </w:p>
    <w:p>
      <w:r>
        <w:rPr>
          <w:i/>
          <w:color w:val="666666"/>
          <w:sz w:val="18"/>
        </w:rPr>
        <w:t>Portacci A et al.  ·  Medicina (Kaunas)  ·  29.08.2026  ·  PMID 42796263</w:t>
      </w:r>
    </w:p>
    <w:p>
      <w:r>
        <w:t>Explorative Querschnittsstudie mit 161 COPD-Patienten: Unüberwachte Clusteranalyse (PAM) auf klinische, funktionelle, radiologische und Labordaten zur Identifikation von Phänotyp-Subgruppen.</w:t>
      </w:r>
    </w:p>
    <w:p>
      <w:r>
        <w:rPr>
          <w:b/>
        </w:rPr>
        <w:t xml:space="preserve">Ergebnis: </w:t>
      </w:r>
      <w:r>
        <w:t>Zwei-Cluster-Lösung hatte höchste Silhouetten-Breite (0,184), aber geringe Trennung. Cluster 1 (n=78): höhere Symptom- und Exazerbationslast, schlechtere Lungenfunktion, stärkere statische Hyperinflation, kürzere 6-Minuten-Gehstrecke, häufiger Emphysem. Bootstrap-Resampling zeigte interne Stabilität, externe Validierung aber erforderlich. Nur LAMA/LABA/ICS-Einsatz unterschied sich signifikant zwischen Clustern.</w:t>
      </w:r>
    </w:p>
    <w:p>
      <w:r>
        <w:rPr>
          <w:b/>
          <w:sz w:val="19"/>
        </w:rPr>
        <w:t xml:space="preserve">Übertragbarkeit: </w:t>
      </w:r>
      <w:r>
        <w:rPr>
          <w:sz w:val="19"/>
        </w:rPr>
        <w:t>Italien, Sekundärversorgung; explorativ, externe Validierung ausstehend.</w:t>
      </w:r>
    </w:p>
    <w:p>
      <w:r>
        <w:rPr>
          <w:color w:val="5A7D3A"/>
          <w:sz w:val="18"/>
        </w:rPr>
        <w:t>https://pubmed.ncbi.nlm.nih.gov/42796263/</w:t>
      </w:r>
    </w:p>
    <w:p>
      <w:pPr>
        <w:pStyle w:val="Heading2"/>
      </w:pPr>
      <w:r>
        <w:t>RDW sagt 1-Jahres-Mortalität bei CKD mit Hypertonie voraus – praktisch anwendbar</w:t>
      </w:r>
    </w:p>
    <w:p>
      <w:r>
        <w:rPr>
          <w:i/>
          <w:color w:val="666666"/>
          <w:sz w:val="18"/>
        </w:rPr>
        <w:t>Li L et al.  ·  BMC Cardiovasc Disord  ·  08.08.2026  ·  PMID 42791552</w:t>
      </w:r>
    </w:p>
    <w:p>
      <w:r>
        <w:t>Retrospektive Kohorte von 6.731 ICU-Patienten mit hypertensiver CKD aus MIMIC-IV: Assoziation von Blutbild-Parametern (RDW, HRR, RPR) mit 1-Jahres-Mortalität mittels Cox-Regression und ROC-Analysen.</w:t>
      </w:r>
    </w:p>
    <w:p>
      <w:r>
        <w:rPr>
          <w:b/>
        </w:rPr>
        <w:t xml:space="preserve">Ergebnis: </w:t>
      </w:r>
      <w:r>
        <w:t>37,2 % (2.505/6.731) starben innerhalb eines Jahres. Erhöhtes RDW assoziiert mit erhöhtem Mortalitätsrisiko (HR 1,19; 95%-KI 1,16–1,21; p&lt;0,001). AUC für RDW 0,668, für HRR 0,600. RDW verbesserte Vorhersageleistung etablierter Risikomodelle; Subgruppen-Interaktionen mit CRRT-Einsatz und CKD-Stadium nachgewiesen.</w:t>
      </w:r>
    </w:p>
    <w:p>
      <w:r>
        <w:rPr>
          <w:b/>
          <w:sz w:val="19"/>
        </w:rPr>
        <w:t xml:space="preserve">Übertragbarkeit: </w:t>
      </w:r>
      <w:r>
        <w:rPr>
          <w:sz w:val="19"/>
        </w:rPr>
        <w:t>MIMIC-IV-Datenbank (USA), aber einfache Laborparameter ohne Kostensperre übertragbar.</w:t>
      </w:r>
    </w:p>
    <w:p>
      <w:r>
        <w:rPr>
          <w:color w:val="5A7D3A"/>
          <w:sz w:val="18"/>
        </w:rPr>
        <w:t>https://pubmed.ncbi.nlm.nih.gov/42791552/</w:t>
      </w:r>
    </w:p>
    <w:p>
      <w:pPr>
        <w:pStyle w:val="Heading2"/>
      </w:pPr>
      <w:r>
        <w:t>Kindliche Traumata verdoppeln Multimorbidität im Alter – Dosis-Wirkungs-Beziehung nachgewiesen</w:t>
      </w:r>
    </w:p>
    <w:p>
      <w:r>
        <w:rPr>
          <w:i/>
          <w:color w:val="666666"/>
          <w:sz w:val="18"/>
        </w:rPr>
        <w:t>Ahmed A et al.  ·  PLoS One  ·  25.09.2026  ·  PMID 42789523</w:t>
      </w:r>
    </w:p>
    <w:p>
      <w:r>
        <w:t>Querschnittsstudie mit 734 Nigeranern ≥60 Jahren: Kumulative adverse Kindheitserlebnisse (ACEs) und deren Assoziation mit Multimorbidität (≥2 chronische Erkrankungen).</w:t>
      </w:r>
    </w:p>
    <w:p>
      <w:r>
        <w:rPr>
          <w:b/>
        </w:rPr>
        <w:t xml:space="preserve">Ergebnis: </w:t>
      </w:r>
      <w:r>
        <w:t>68,4 % berichteten ≥4 ACEs. Multimorbidität bei 38,4 % (≥3 Erkrankungen). Unadjustierte OR für ≥4 ACEs: 67,14 (95%-KI 9,25–487,04). Nach Adjustierung (Alter, Geschlecht, Haushaltsgröße) OR 15,58 (95%-KI 1,33–182,21). Klare Dosis-Wirkungs-Beziehung nachgewiesen.</w:t>
      </w:r>
    </w:p>
    <w:p>
      <w:r>
        <w:rPr>
          <w:b/>
          <w:sz w:val="19"/>
        </w:rPr>
        <w:t xml:space="preserve">Übertragbarkeit: </w:t>
      </w:r>
      <w:r>
        <w:rPr>
          <w:sz w:val="19"/>
        </w:rPr>
        <w:t>Nigeria, aber Lebensverlauf-Mechanismus transkulturell relevant; zeigt Ungleichheit als Untersuchungsgegenstand.</w:t>
      </w:r>
    </w:p>
    <w:p>
      <w:r>
        <w:rPr>
          <w:color w:val="5A7D3A"/>
          <w:sz w:val="18"/>
        </w:rPr>
        <w:t>https://pubmed.ncbi.nlm.nih.gov/42789523/</w:t>
      </w:r>
    </w:p>
    <w:p>
      <w:pPr>
        <w:pStyle w:val="Heading1"/>
      </w:pPr>
      <w:r>
        <w:t>Aufgenommen am 27.09.2026</w:t>
      </w:r>
    </w:p>
    <w:p>
      <w:pPr>
        <w:pStyle w:val="Heading2"/>
      </w:pPr>
      <w:r>
        <w:t>Kritische Fehler bei 73 % der Patienten: Inhalationstechnik in Asthma und COPD deutlich verbesserbar</w:t>
      </w:r>
    </w:p>
    <w:p>
      <w:r>
        <w:rPr>
          <w:i/>
          <w:color w:val="666666"/>
          <w:sz w:val="18"/>
        </w:rPr>
        <w:t>Damasceno IHM et al.  ·  Can Respir J  ·  2026  ·  PMID 42799340</w:t>
      </w:r>
    </w:p>
    <w:p>
      <w:r>
        <w:t>Querschnittstudie an 575 Patienten (≥18 Jahre) mit Asthma und/oder COPD, die ihre Inhalationstechnik mit standardisierten Checklisten demonstrierten.</w:t>
      </w:r>
    </w:p>
    <w:p>
      <w:r>
        <w:rPr>
          <w:b/>
        </w:rPr>
        <w:t xml:space="preserve">Ergebnis: </w:t>
      </w:r>
      <w:r>
        <w:t>Nur 8,2% führten alle Schritte korrekt aus; 73,4% hatten ≥1 kritischen Fehler. Unabhängig assoziiert mit kritischen Fehlern: höheres Alter (OR 1,029 pro Jahr), Mehrgeräte-Nutzung (OR 2,500), schützend: inspiratorisch-unabhängige Mechanismen (OR 0,262). Ältere Patienten und Mehrgerätenutzer besonders vulnerabel.</w:t>
      </w:r>
    </w:p>
    <w:p>
      <w:r>
        <w:rPr>
          <w:b/>
          <w:sz w:val="19"/>
        </w:rPr>
        <w:t xml:space="preserve">Übertragbarkeit: </w:t>
      </w:r>
      <w:r>
        <w:rPr>
          <w:sz w:val="19"/>
        </w:rPr>
        <w:t>Brasilien, aber Technikmängel universell; Intervention mit lokalem Ressourcentransfer übertragbar</w:t>
      </w:r>
    </w:p>
    <w:p>
      <w:r>
        <w:rPr>
          <w:color w:val="5A7D3A"/>
          <w:sz w:val="18"/>
        </w:rPr>
        <w:t>https://pubmed.ncbi.nlm.nih.gov/42799340/</w:t>
      </w:r>
    </w:p>
    <w:p>
      <w:pPr>
        <w:pStyle w:val="Heading2"/>
      </w:pPr>
      <w:r>
        <w:t>Finerenon reduziert Proteinurie um 52 % bei Typ-2-Diabetes mit CKD und hoher Proteinausscheidung</w:t>
      </w:r>
    </w:p>
    <w:p>
      <w:r>
        <w:rPr>
          <w:i/>
          <w:color w:val="666666"/>
          <w:sz w:val="18"/>
        </w:rPr>
        <w:t>Sun N et al.  ·  Front Endocrinol (Lausanne)  ·  11.09.2026  ·  PMID 42798812</w:t>
      </w:r>
    </w:p>
    <w:p>
      <w:r>
        <w:t>Retrospektive Kohortenstudie an 134 Patienten mit Typ-2-Diabetes und CKD mit Proteinurie &gt;1 g/d, behandelt mit oder ohne Finerenon über 12 Monate.</w:t>
      </w:r>
    </w:p>
    <w:p>
      <w:r>
        <w:rPr>
          <w:b/>
        </w:rPr>
        <w:t xml:space="preserve">Ergebnis: </w:t>
      </w:r>
      <w:r>
        <w:t>Finerenon-Gruppe: 52,8% mit erhaltener gestufter Proteinurie-Verbesserung vs. Kontrolle 33,3%. Nach Propensity Score-Gewichtung: OR 1,26 (95% KI 1,07–1,47; p=0,004). Kaplan-Meier zeigte signifikanten Unterschied in der Zeit bis zur Verbesserung (Log-rank p=0,026–0,033). Kein erhöhtes Hyperkalämie-Risiko über 12 Monate.</w:t>
      </w:r>
    </w:p>
    <w:p>
      <w:r>
        <w:rPr>
          <w:b/>
          <w:sz w:val="19"/>
        </w:rPr>
        <w:t xml:space="preserve">Übertragbarkeit: </w:t>
      </w:r>
      <w:r>
        <w:rPr>
          <w:sz w:val="19"/>
        </w:rPr>
        <w:t>China, aber Finerenon europäisch zugelassen; Mehrfacherkrankung (Diabetes+CKD) zentral</w:t>
      </w:r>
    </w:p>
    <w:p>
      <w:r>
        <w:rPr>
          <w:color w:val="5A7D3A"/>
          <w:sz w:val="18"/>
        </w:rPr>
        <w:t>https://pubmed.ncbi.nlm.nih.gov/42798812/</w:t>
      </w:r>
    </w:p>
    <w:p>
      <w:pPr>
        <w:pStyle w:val="Heading2"/>
      </w:pPr>
      <w:r>
        <w:t>Nach Stoppung antiviraler Therapie bei Hepatitis B: 20 % erzielen HBsAg-Verlust, aber 24 % schwere Schübe</w:t>
      </w:r>
    </w:p>
    <w:p>
      <w:r>
        <w:rPr>
          <w:i/>
          <w:color w:val="666666"/>
          <w:sz w:val="18"/>
        </w:rPr>
        <w:t>Lund K et al.  ·  Viruses  ·  15.09.2026  ·  PMID 42797857</w:t>
      </w:r>
    </w:p>
    <w:p>
      <w:r>
        <w:t>Prospektive Studie an 25 HBeAg-negativen Patienten ohne Zirrhose, die nach ≥3 Jahren Nukleos(t)id-Analog-Therapie abstoppten, mit 2-jähriger monatlicher Nachsorge (initial 6 Monate).</w:t>
      </w:r>
    </w:p>
    <w:p>
      <w:r>
        <w:rPr>
          <w:b/>
        </w:rPr>
        <w:t xml:space="preserve">Ergebnis: </w:t>
      </w:r>
      <w:r>
        <w:t>Nach Therapie-Stopp: 5 Patienten (20%) HBsAg-Seroclearance-Muster (4 HBsAg-Negativität, 1 &lt;1 IU/mL); 7 (28%) immunologische Kontrolle mit persistierend niedriger HBV-DNA und normaler ALT; 6 (24%) schwere Schübe mit Therapie-Wiederaufnahme, einschließlich 1 fulminanter Hepatitis mit Lebertransplantation. Alle mit schwerem Schub hatten detektierbare HBcrAg bei Therapie-Stopp. Spitzen-HBV-DNA korrelierte mit und präzedierte Spitzen-ALT.</w:t>
      </w:r>
    </w:p>
    <w:p>
      <w:r>
        <w:rPr>
          <w:b/>
          <w:sz w:val="19"/>
        </w:rPr>
        <w:t xml:space="preserve">Übertragbarkeit: </w:t>
      </w:r>
      <w:r>
        <w:rPr>
          <w:sz w:val="19"/>
        </w:rPr>
        <w:t>Schweden, aber internationale Patienten; enges Monitoring mit schnellen HBV-DNA-Tests in Deutschland verfügbar</w:t>
      </w:r>
    </w:p>
    <w:p>
      <w:r>
        <w:rPr>
          <w:color w:val="5A7D3A"/>
          <w:sz w:val="18"/>
        </w:rPr>
        <w:t>https://pubmed.ncbi.nlm.nih.gov/42797857/</w:t>
      </w:r>
    </w:p>
    <w:p>
      <w:pPr>
        <w:pStyle w:val="Heading2"/>
      </w:pPr>
      <w:r>
        <w:t>Ketoanaloga-ergänzte Protein-Diät bei CKD und Herzinsuffizienz: Körpergewicht sinkt, Albumin stabil</w:t>
      </w:r>
    </w:p>
    <w:p>
      <w:r>
        <w:rPr>
          <w:i/>
          <w:color w:val="666666"/>
          <w:sz w:val="18"/>
        </w:rPr>
        <w:t>Tanasescu MD et al.  ·  Nutrients  ·  20.09.2026  ·  PMID 42797051</w:t>
      </w:r>
    </w:p>
    <w:p>
      <w:r>
        <w:t>Retrospektive Kohortenstudie an 75 Erwachsenen mit fortgeschrittener nicht-dialysepflichtiger CKD und chronischer Herzinsuffizienz, behandelt mit Ketoanaloga-ergänzter sehr niedriger Protein-Diät (0,28–0,40 g/kg/Tag) über Median 243 Tage mit Ernährungsberater-Unterstützung.</w:t>
      </w:r>
    </w:p>
    <w:p>
      <w:r>
        <w:rPr>
          <w:b/>
        </w:rPr>
        <w:t xml:space="preserve">Ergebnis: </w:t>
      </w:r>
      <w:r>
        <w:t>Primäres Outcome (Körpergewichtsverlust): Hodges-Lehmann-Schätzung −3,99% (95% KI −4,68 bis −3,42; p&lt;0,001). Mittleres Körpergewicht sank von 75,85±7,98 auf 72,65±7,09 kg (−3,10 kg; 95% KI −3,60 bis −2,65). BMI sank (−0,95 kg/m²; p&lt;0,001). ≥5% Gewichtsverlust bei 22 Patienten (29,3%), keiner ≥10%. Serumalbumin und Gesamtprotein stiegen leicht an. eGFR-Abfall moderat (−1,50 mL/min/1,73 m²; p=0,007). Phosphor, Kalzium-Phosphor-Produkt, PTH und alkalische Phosphatase sanken, Kalzium stieg. NYHA-Klasse in 61 Patienten (81,3%) unverändert, LVEF leicht gesunken.</w:t>
      </w:r>
    </w:p>
    <w:p>
      <w:r>
        <w:rPr>
          <w:b/>
          <w:sz w:val="19"/>
        </w:rPr>
        <w:t xml:space="preserve">Übertragbarkeit: </w:t>
      </w:r>
      <w:r>
        <w:rPr>
          <w:sz w:val="19"/>
        </w:rPr>
        <w:t>Rumänien; Mehrfacherkrankung (CKD+Herzinsuffizienz), spezialisierte Ernährungsintervention in Deutschland durch Nephrologie etabliert</w:t>
      </w:r>
    </w:p>
    <w:p>
      <w:r>
        <w:rPr>
          <w:color w:val="5A7D3A"/>
          <w:sz w:val="18"/>
        </w:rPr>
        <w:t>https://pubmed.ncbi.nlm.nih.gov/42797051/</w:t>
      </w:r>
    </w:p>
    <w:p>
      <w:pPr>
        <w:pStyle w:val="Heading2"/>
      </w:pPr>
      <w:r>
        <w:t>Aktives Case Finding mit CAT-Fragebogen verdoppelt COPD-Diagnosen in rumänischer Hausarztpraxis</w:t>
      </w:r>
    </w:p>
    <w:p>
      <w:r>
        <w:rPr>
          <w:i/>
          <w:color w:val="666666"/>
          <w:sz w:val="18"/>
        </w:rPr>
        <w:t>Iana AN et al.  ·  Medicina (Kaunas)  ·  21.09.2026  ·  PMID 42796426</w:t>
      </w:r>
    </w:p>
    <w:p>
      <w:r>
        <w:t>Prospektive Studie unter 220 Patienten über 40 Jahren mit Atemwegsrisikofaktoren, die spirometrische Testung nach Screening mit COPD Assessment Test (CAT) und mMRC-Dyspnoe-Skala durchliefen.</w:t>
      </w:r>
    </w:p>
    <w:p>
      <w:r>
        <w:rPr>
          <w:b/>
        </w:rPr>
        <w:t xml:space="preserve">Ergebnis: </w:t>
      </w:r>
      <w:r>
        <w:t>COPD bei 48,2% diagnostiziert (n=106). CAT-Schwelle ≥17 zeigte beste Kennwerte (64,2% Sensitivität, 74,6% Spezifität), mMRC≥2 hohe Spezifität (82,5%), aber niedrige Sensitivität (41,5%). Symptombelastung (Husten, Sputum, Schlaf) war aussagekräftiger als Dyspnoe allein für Case Finding in der Primärversorgung.</w:t>
      </w:r>
    </w:p>
    <w:p>
      <w:r>
        <w:rPr>
          <w:b/>
          <w:sz w:val="19"/>
        </w:rPr>
        <w:t xml:space="preserve">Übertragbarkeit: </w:t>
      </w:r>
      <w:r>
        <w:rPr>
          <w:sz w:val="19"/>
        </w:rPr>
        <w:t>Rumänische Hausarztpraxis, jedoch generisch übertragbar für spezialisiertes Case Finding ohne nationale DMP-Struktur</w:t>
      </w:r>
    </w:p>
    <w:p>
      <w:r>
        <w:rPr>
          <w:color w:val="5A7D3A"/>
          <w:sz w:val="18"/>
        </w:rPr>
        <w:t>https://pubmed.ncbi.nlm.nih.gov/42796426/</w:t>
      </w:r>
    </w:p>
    <w:p>
      <w:pPr>
        <w:pStyle w:val="Heading2"/>
      </w:pPr>
      <w:r>
        <w:t>Bessere Inhalationstechnik und höheres Wissen verdreifachen Therapietreue bei COPD</w:t>
      </w:r>
    </w:p>
    <w:p>
      <w:r>
        <w:rPr>
          <w:i/>
          <w:color w:val="666666"/>
          <w:sz w:val="18"/>
        </w:rPr>
        <w:t>Nguyen H et al.  ·  JMIR Nurs  ·  25.09.2026  ·  PMID 42789344</w:t>
      </w:r>
    </w:p>
    <w:p>
      <w:r>
        <w:t>Querschnittstudie an 420 ambulanten COPD-Patienten zu Wissen, praktischen Inhalations- und Atemtechniken sowie Therapietreue.</w:t>
      </w:r>
    </w:p>
    <w:p>
      <w:r>
        <w:rPr>
          <w:b/>
        </w:rPr>
        <w:t xml:space="preserve">Ergebnis: </w:t>
      </w:r>
      <w:r>
        <w:t>Nur 36,9% (n=155) adhärent insgesamt. 78,8% mit unzureichendem COPD-Wissen, 63,8% mit adäquaten praktischen Fähigkeiten. Höheres Wissensscore (aOR 1,20; 95% KI 1,06–1,31; p=0,001), korrekte Inhalationstechnik (aOR 3,10; 95% KI 2,10–4,70; p=0,001) und adäquate Atemtechniken (aOR 1,70; 95% KI 1,08–2,71; p=0,02) unabhängig mit besserer Adhärenz assoziiert.</w:t>
      </w:r>
    </w:p>
    <w:p>
      <w:r>
        <w:rPr>
          <w:b/>
          <w:sz w:val="19"/>
        </w:rPr>
        <w:t xml:space="preserve">Übertragbarkeit: </w:t>
      </w:r>
      <w:r>
        <w:rPr>
          <w:sz w:val="19"/>
        </w:rPr>
        <w:t>Vietnam; Patienten-Edukation und Skilltraining sind universell wirksame Versorgungselemente</w:t>
      </w:r>
    </w:p>
    <w:p>
      <w:r>
        <w:rPr>
          <w:color w:val="5A7D3A"/>
          <w:sz w:val="18"/>
        </w:rPr>
        <w:t>https://pubmed.ncbi.nlm.nih.gov/42789344/</w:t>
      </w:r>
    </w:p>
    <w:p>
      <w:pPr>
        <w:pStyle w:val="Heading1"/>
      </w:pPr>
      <w:r>
        <w:t>Aufgenommen am 26.09.2026</w:t>
      </w:r>
    </w:p>
    <w:p>
      <w:pPr>
        <w:pStyle w:val="Heading2"/>
      </w:pPr>
      <w:r>
        <w:t>Multimorbidity erhöht Depressionrisiko: systematische Übersicht von Kohortenstudien</w:t>
      </w:r>
    </w:p>
    <w:p>
      <w:r>
        <w:rPr>
          <w:i/>
          <w:color w:val="666666"/>
          <w:sz w:val="18"/>
        </w:rPr>
        <w:t>Wu J et al.  ·  J Glob Health  ·  25.09.2026  ·  PMID 42788325</w:t>
      </w:r>
    </w:p>
    <w:p>
      <w:r>
        <w:t>Systematische Überprüfung von 17 Kohortenstudien zu Assoziationen zwischen Mehrfacherkrankung und inzidenter Depression oder depressiven Symptomen.</w:t>
      </w:r>
    </w:p>
    <w:p>
      <w:r>
        <w:rPr>
          <w:b/>
        </w:rPr>
        <w:t xml:space="preserve">Ergebnis: </w:t>
      </w:r>
      <w:r>
        <w:t>Mehrfacherkrankung war konsistent mit erhöhtem Depressionrisiko assoziiert; das Risiko stieg mit der Zahl chronischer Erkrankungen. Kardiovaskulär-metabolische und respiratorische Muster zeigten die konsistentesten Assoziationen mit Depression. Diese Assoziation war über Geschlechter und Länder stabil.</w:t>
      </w:r>
    </w:p>
    <w:p>
      <w:r>
        <w:rPr>
          <w:b/>
          <w:sz w:val="19"/>
        </w:rPr>
        <w:t xml:space="preserve">Übertragbarkeit: </w:t>
      </w:r>
      <w:r>
        <w:rPr>
          <w:sz w:val="19"/>
        </w:rPr>
        <w:t>Europäische und internationale Kohortenstudien, Ergebnisse unabhängig von Versorgungsstrukturen übertragbar.</w:t>
      </w:r>
    </w:p>
    <w:p>
      <w:r>
        <w:rPr>
          <w:color w:val="5A7D3A"/>
          <w:sz w:val="18"/>
        </w:rPr>
        <w:t>https://pubmed.ncbi.nlm.nih.gov/42788325/</w:t>
      </w:r>
    </w:p>
    <w:p>
      <w:pPr>
        <w:pStyle w:val="Heading2"/>
      </w:pPr>
      <w:r>
        <w:t>Versicherungslücken erhöhten Kostenhindernisse bei Mehrfacherkrankten um bis zu 3,44-fach</w:t>
      </w:r>
    </w:p>
    <w:p>
      <w:r>
        <w:rPr>
          <w:i/>
          <w:color w:val="666666"/>
          <w:sz w:val="18"/>
        </w:rPr>
        <w:t>Cao Y et al.  ·  Front Public Health  ·  10.09.2026  ·  PMID 42787109</w:t>
      </w:r>
    </w:p>
    <w:p>
      <w:r>
        <w:t>Querschnittstudie mit US-Versichertendaten (MEPS) zur Assoziation zwischen Dauer von Versicherungslücken und nachfolgenden kostenbezogenen Barrieren für medizinische Versorgung bei Erwachsenen mit Mehrfacherkrankung.</w:t>
      </w:r>
    </w:p>
    <w:p>
      <w:r>
        <w:rPr>
          <w:b/>
        </w:rPr>
        <w:t xml:space="preserve">Ergebnis: </w:t>
      </w:r>
      <w:r>
        <w:t>Verglichen mit keiner Lücke hatten Patienten mit 24 Monaten Versicherungslücke eine aOR von 3,44 (95%-KI 1,84–6,44) für Kostenhindernisse; bereinigte Wahrscheinlichkeiten waren 17,4 % (keine Lücke) bis 39,8 % (24 Monate). Kontinuierlich Versicherte hatten höhere Gesamtausgaben ($26.134 vs. $4.884).</w:t>
      </w:r>
    </w:p>
    <w:p>
      <w:r>
        <w:rPr>
          <w:b/>
          <w:sz w:val="19"/>
        </w:rPr>
        <w:t xml:space="preserve">Übertragbarkeit: </w:t>
      </w:r>
      <w:r>
        <w:rPr>
          <w:sz w:val="19"/>
        </w:rPr>
        <w:t>USA-Daten mit anderer Finanzierung; übertragbar nur für Erkenntnisse über Versicherungslücken als Risikofaktor.</w:t>
      </w:r>
    </w:p>
    <w:p>
      <w:r>
        <w:rPr>
          <w:color w:val="5A7D3A"/>
          <w:sz w:val="18"/>
        </w:rPr>
        <w:t>https://pubmed.ncbi.nlm.nih.gov/42787109/</w:t>
      </w:r>
    </w:p>
    <w:p>
      <w:pPr>
        <w:pStyle w:val="Heading2"/>
      </w:pPr>
      <w:r>
        <w:t>Schlafhygiene-Profile bei chronischen Erkrankungen: drei Phenotypen mit unterschiedlichen Risikofaktoren</w:t>
      </w:r>
    </w:p>
    <w:p>
      <w:r>
        <w:rPr>
          <w:i/>
          <w:color w:val="666666"/>
          <w:sz w:val="18"/>
        </w:rPr>
        <w:t>Seong H et al.  ·  Appl Nurs Res  ·  12.09.2026  ·  PMID 42785828</w:t>
      </w:r>
    </w:p>
    <w:p>
      <w:r>
        <w:t>Latent-Class-Analyse von 488 koreanischen Patienten mit chronischen Erkrankungen und Schlafstörungen (PSQI &gt;5) zur Identifikation von Schlafhygiene-Profilen.</w:t>
      </w:r>
    </w:p>
    <w:p>
      <w:r>
        <w:rPr>
          <w:b/>
        </w:rPr>
        <w:t xml:space="preserve">Ergebnis: </w:t>
      </w:r>
      <w:r>
        <w:t>Drei Profile identifiziert: 'Optimale Schlafhygiene' (66,2 %), 'Verhaltensbezogene gestörte Schlaf' (27,7 %) und 'Hochrisiko-dysregulierter Schlaf' (6,1 %). Verhaltensgestörte Gruppe assoziiert mit Rauchen (OR 16,53), Alkohol (OR 3,78) und männlichem Geschlecht (OR 3,53). Hochrisiko-Gruppe mit psychosozialer Belastung (OR 5,38) assoziiert.</w:t>
      </w:r>
    </w:p>
    <w:p>
      <w:r>
        <w:rPr>
          <w:b/>
          <w:sz w:val="19"/>
        </w:rPr>
        <w:t xml:space="preserve">Übertragbarkeit: </w:t>
      </w:r>
      <w:r>
        <w:rPr>
          <w:sz w:val="19"/>
        </w:rPr>
        <w:t>Südkorea; Erkenntnisse zur Identifikation heterogener Schlafhygiene-Phänotypen vergleichbar, Interventionen müssen lokal validiert werden.</w:t>
      </w:r>
    </w:p>
    <w:p>
      <w:r>
        <w:rPr>
          <w:color w:val="5A7D3A"/>
          <w:sz w:val="18"/>
        </w:rPr>
        <w:t>https://pubmed.ncbi.nlm.nih.gov/42785828/</w:t>
      </w:r>
    </w:p>
    <w:p>
      <w:pPr>
        <w:pStyle w:val="Heading2"/>
      </w:pPr>
      <w:r>
        <w:t>Ramadan-Fasten bei Hämodialyse-Patienten mit Diabetes: keine Hypoglykämie unter standardisiertem Protokoll</w:t>
      </w:r>
    </w:p>
    <w:p>
      <w:r>
        <w:rPr>
          <w:i/>
          <w:color w:val="666666"/>
          <w:sz w:val="18"/>
        </w:rPr>
        <w:t>Saman A et al.  ·  Med Sci (Basel)  ·  27.08.2026  ·  PMID 42783395</w:t>
      </w:r>
    </w:p>
    <w:p>
      <w:r>
        <w:t>Prospektive Multizenterstudie mit 153 Patienten mit terminalem Nierenversagen und Diabetes an vier Zentren in Thailand zu Sicherheit von Ramadan-Fasten unter Hämodialyse.</w:t>
      </w:r>
    </w:p>
    <w:p>
      <w:r>
        <w:rPr>
          <w:b/>
        </w:rPr>
        <w:t xml:space="preserve">Ergebnis: </w:t>
      </w:r>
      <w:r>
        <w:t>Keine intradialytischen Hypoglykämien in Vollfast- oder Nicht-Fasten-Gruppen (0 Episoden); eine Episode (0,2 %) in Teilfasten-Gruppe. Hämodialyse-Komplikationen, Blutdruck, Kt/V-Wert und interdialytische Gewichtszunahme vergleichbar über alle Gruppen. Serum-Kalium und Parathormon stiegen ohne klinische Ereignisse.</w:t>
      </w:r>
    </w:p>
    <w:p>
      <w:r>
        <w:rPr>
          <w:b/>
          <w:sz w:val="19"/>
        </w:rPr>
        <w:t xml:space="preserve">Übertragbarkeit: </w:t>
      </w:r>
      <w:r>
        <w:rPr>
          <w:sz w:val="19"/>
        </w:rPr>
        <w:t>Thailand, aber standardisiertes Medikamentenmanagement und Monitoring-Protokoll auf deutsche Dialysezentren übertragbar.</w:t>
      </w:r>
    </w:p>
    <w:p>
      <w:r>
        <w:rPr>
          <w:color w:val="5A7D3A"/>
          <w:sz w:val="18"/>
        </w:rPr>
        <w:t>https://pubmed.ncbi.nlm.nih.gov/42783395/</w:t>
      </w:r>
    </w:p>
    <w:p>
      <w:pPr>
        <w:pStyle w:val="Heading2"/>
      </w:pPr>
      <w:r>
        <w:t>Post-Bronchodilator-COPD mit erhöhtem Mortalitätsrisiko: Lateinamerikanische Populationsstudie</w:t>
      </w:r>
    </w:p>
    <w:p>
      <w:r>
        <w:rPr>
          <w:i/>
          <w:color w:val="666666"/>
          <w:sz w:val="18"/>
        </w:rPr>
        <w:t>Pérez-Padilla R et al.  ·  Respir Res Clin Pract  ·  22.05.2026  ·  PMID 42781375</w:t>
      </w:r>
    </w:p>
    <w:p>
      <w:r>
        <w:t>PLATINO-Kohortenstudie mit 2.942 Teilnehmern über 5–9 Jahre zur Prognostizierung von Mortalität, Exazerbationen und FEV1-Verlauf durch prä- und post-Bronchodilator-Atemwegsobstruktion.</w:t>
      </w:r>
    </w:p>
    <w:p>
      <w:r>
        <w:rPr>
          <w:b/>
        </w:rPr>
        <w:t xml:space="preserve">Ergebnis: </w:t>
      </w:r>
      <w:r>
        <w:t>Persistente Atemwegsobstruktion (post-BD) assoziiert mit Mortalität (HR 2,99; 95%-KI 2,1–4,3) vs. Kontrollen; reversible Obstruktion (HR 1,9; 95%-KI 1,1–3,1) hatte 4,1-fach höheres Risiko für COPD-Entwicklung (OR 4,1; 95%-KI 2,0–8,5). FEV1-Rückgang in persistenter Gruppe –13,4 mL/Jahr.</w:t>
      </w:r>
    </w:p>
    <w:p>
      <w:r>
        <w:rPr>
          <w:b/>
          <w:sz w:val="19"/>
        </w:rPr>
        <w:t xml:space="preserve">Übertragbarkeit: </w:t>
      </w:r>
      <w:r>
        <w:rPr>
          <w:sz w:val="19"/>
        </w:rPr>
        <w:t>Lateinamerika, aber Spirometrie-Standards international vergleichbar; Risikostratifizierung übertragbar auf Deutschland.</w:t>
      </w:r>
    </w:p>
    <w:p>
      <w:r>
        <w:rPr>
          <w:color w:val="5A7D3A"/>
          <w:sz w:val="18"/>
        </w:rPr>
        <w:t>https://pubmed.ncbi.nlm.nih.gov/42781375/</w:t>
      </w:r>
    </w:p>
    <w:p>
      <w:pPr>
        <w:pStyle w:val="Heading2"/>
      </w:pPr>
      <w:r>
        <w:t>Cordyceps sinensis schützte vor CKD-Progression nach virusinduziertem Akutnierenversagen</w:t>
      </w:r>
    </w:p>
    <w:p>
      <w:r>
        <w:rPr>
          <w:i/>
          <w:color w:val="666666"/>
          <w:sz w:val="18"/>
        </w:rPr>
        <w:t>Min M et al.  ·  Ren Fail  ·  23.09.2026  ·  PMID 42779256</w:t>
      </w:r>
    </w:p>
    <w:p>
      <w:r>
        <w:t>Retrospektive Kohortenstudie mit 99 Patienten mit Hämorrhagischem Fieber und Nierensyndrom (HFRS-AKI) an einem chinesischen Zentrum zum Effekt von Cordyceps-sinensis-Präparaten auf Nierenerholung.</w:t>
      </w:r>
    </w:p>
    <w:p>
      <w:r>
        <w:rPr>
          <w:b/>
        </w:rPr>
        <w:t xml:space="preserve">Ergebnis: </w:t>
      </w:r>
      <w:r>
        <w:t>27,3 % der HFRS-AKI-Patienten entwickelten CKD. Cordyceps-sinensis-Behandlung war unabhängiger Schutzfaktor gegen unvollständige Nierenerholung (OR 0,323; 95%-KI 0,114–0,916; p=0,034). Inverse-Probability-Weighting bestätigte Assoziation (β –1,184; p=0,026). Überlebenszeitanalyse zeigte verbesserte Nierenergebnisse (Log-Rank p=0,004).</w:t>
      </w:r>
    </w:p>
    <w:p>
      <w:r>
        <w:rPr>
          <w:b/>
          <w:sz w:val="19"/>
        </w:rPr>
        <w:t xml:space="preserve">Übertragbarkeit: </w:t>
      </w:r>
      <w:r>
        <w:rPr>
          <w:sz w:val="19"/>
        </w:rPr>
        <w:t>China, virales-induziertes Akutnierenversagen; Erkenntnisse zu Adjuvantien-Therapie-Effekten prinzipiell übertragbar, aber Präparat-Verfügbarkeit lokal unterschiedlich.</w:t>
      </w:r>
    </w:p>
    <w:p>
      <w:r>
        <w:rPr>
          <w:color w:val="5A7D3A"/>
          <w:sz w:val="18"/>
        </w:rPr>
        <w:t>https://pubmed.ncbi.nlm.nih.gov/42779256/</w:t>
      </w:r>
    </w:p>
    <w:p>
      <w:pPr>
        <w:pStyle w:val="Heading1"/>
      </w:pPr>
      <w:r>
        <w:t>Aufgenommen am 25.09.2026</w:t>
      </w:r>
    </w:p>
    <w:p>
      <w:pPr>
        <w:pStyle w:val="Heading2"/>
      </w:pPr>
      <w:r>
        <w:t>Neutrophile und Lymphozyten vorhersagen Adipositas-assoziierte CKD bei Älteren</w:t>
      </w:r>
    </w:p>
    <w:p>
      <w:r>
        <w:rPr>
          <w:i/>
          <w:color w:val="666666"/>
          <w:sz w:val="18"/>
        </w:rPr>
        <w:t>Zhu B et al.  ·  Ren Fail  ·  24.09.2026  ·  PMID 42785974</w:t>
      </w:r>
    </w:p>
    <w:p>
      <w:r>
        <w:t>Querschnittsanalyse von 15.000+ älteren Erwachsenen (65–85 J.) in Shanghai: Erhöhte Neutrophile und Lymphozyten sowie niedrigeres Verhältnis Thrombozyt-zu-Lymphozyt wurden unabhängig mit CKD bei Adipösen assoziiert.</w:t>
      </w:r>
    </w:p>
    <w:p>
      <w:r>
        <w:rPr>
          <w:b/>
        </w:rPr>
        <w:t xml:space="preserve">Ergebnis: </w:t>
      </w:r>
      <w:r>
        <w:t>Bei adipösen Teilnehmern: erhöhte Neutrophile aOR 1,42 (95% CI 1,07–1,90) für höchstes vs. niedriges Tertil, erhöhte Lymphozyten aOR 1,53 (95% CI 1,16–2,01); Thrombozyten-Lymphozyten-Verhältnis aOR 0,70 (95% CI 0,53–0,92) – diese Routineblutuntersuchungen könnten frühe Risikoschichtung adipositas-assoziierter CKD ermöglichen.</w:t>
      </w:r>
    </w:p>
    <w:p>
      <w:r>
        <w:rPr>
          <w:b/>
          <w:sz w:val="19"/>
        </w:rPr>
        <w:t xml:space="preserve">Übertragbarkeit: </w:t>
      </w:r>
      <w:r>
        <w:rPr>
          <w:sz w:val="19"/>
        </w:rPr>
        <w:t>China, vergleichbar mit Sozialversicherungssystemen; Blutungsparameter sind Routinemarkierungen</w:t>
      </w:r>
    </w:p>
    <w:p>
      <w:r>
        <w:rPr>
          <w:color w:val="5A7D3A"/>
          <w:sz w:val="18"/>
        </w:rPr>
        <w:t>https://pubmed.ncbi.nlm.nih.gov/42785974/</w:t>
      </w:r>
    </w:p>
    <w:p>
      <w:pPr>
        <w:pStyle w:val="Heading2"/>
      </w:pPr>
      <w:r>
        <w:t>Patient-Provider-Partnerschaft erhöht Advance-Care-Planning-Bereitschaft bei CKD-Patienten</w:t>
      </w:r>
    </w:p>
    <w:p>
      <w:r>
        <w:rPr>
          <w:i/>
          <w:color w:val="666666"/>
          <w:sz w:val="18"/>
        </w:rPr>
        <w:t>Hsu JR et al.  ·  Appl Nurs Res  ·  27.08.2026  ·  PMID 42785824</w:t>
      </w:r>
    </w:p>
    <w:p>
      <w:r>
        <w:t>Querschnittsstudie an 218 nichtdialysepflichtigen CKD-Patienten: Patient-Provider-Partnerschaft war stärkster unabhängiger Prädiktor der Bereitschaft zu Advance Care Planning (ACP), nicht aber Krankheitsstadium oder Nierenfunktion.</w:t>
      </w:r>
    </w:p>
    <w:p>
      <w:r>
        <w:rPr>
          <w:b/>
        </w:rPr>
        <w:t xml:space="preserve">Ergebnis: </w:t>
      </w:r>
      <w:r>
        <w:t>Patient-Provider-Partnerschaft erklärte 12,7 % der Varianz in ACP-Bereitschaft (vs. 6,1 % bei Demografie allein); höheres Alter und stärkere Partnerschaft waren assoziiert mit erhöhter Bereitschaft. ACP-Bereitschaft insgesamt niedrig bis moderat, besonders beim initialen Gespräch mit Fachkräften.</w:t>
      </w:r>
    </w:p>
    <w:p>
      <w:r>
        <w:rPr>
          <w:b/>
          <w:sz w:val="19"/>
        </w:rPr>
        <w:t xml:space="preserve">Übertragbarkeit: </w:t>
      </w:r>
      <w:r>
        <w:rPr>
          <w:sz w:val="19"/>
        </w:rPr>
        <w:t>Taiwan, ambulante Nephrologie; Übertragbarkeit auf Deutschland hängt von Arzt-Patient-Kommunikation ab</w:t>
      </w:r>
    </w:p>
    <w:p>
      <w:r>
        <w:rPr>
          <w:color w:val="5A7D3A"/>
          <w:sz w:val="18"/>
        </w:rPr>
        <w:t>https://pubmed.ncbi.nlm.nih.gov/42785824/</w:t>
      </w:r>
    </w:p>
    <w:p>
      <w:pPr>
        <w:pStyle w:val="Heading2"/>
      </w:pPr>
      <w:r>
        <w:t>Antihypertensive Medikation zeigt minimale Assoziation mit Lebensqualität bei CKD-Jugendlichen</w:t>
      </w:r>
    </w:p>
    <w:p>
      <w:r>
        <w:rPr>
          <w:i/>
          <w:color w:val="666666"/>
          <w:sz w:val="18"/>
        </w:rPr>
        <w:t>Botdorf M et al.  ·  Qual Life Res  ·  24.09.2026  ·  PMID 42782549</w:t>
      </w:r>
    </w:p>
    <w:p>
      <w:r>
        <w:t>Querschnittsanalyse von 395 Jugendlichen (8–21 J.) mit CKD und Hypertonie an 15 US-Zentren: Über 95 % berichten positive Versorgungserfahrungen; antihypertensive Medikamentenlast zeigte nur schwache Assoziation mit Lebensqualität, während körperliche Symptombelastung hoch ist.</w:t>
      </w:r>
    </w:p>
    <w:p>
      <w:r>
        <w:rPr>
          <w:b/>
        </w:rPr>
        <w:t xml:space="preserve">Ergebnis: </w:t>
      </w:r>
      <w:r>
        <w:t>Mehrere Medikamente (23 % der Kohorte) assoziiert mit leicht niedrigerem globalen Gesundheitswert (B –2,6; 95% CI –4,9 bis –0,3); keine Assoziationen mit anderen Lebensqualitätsdimensionen. Jugendliche berichten gesamthaft niedrigere QoL als allgemeine Bevölkerung, besonders in globalem Gesundheitswert und Müdigkeit.</w:t>
      </w:r>
    </w:p>
    <w:p>
      <w:r>
        <w:rPr>
          <w:b/>
          <w:sz w:val="19"/>
        </w:rPr>
        <w:t xml:space="preserve">Übertragbarkeit: </w:t>
      </w:r>
      <w:r>
        <w:rPr>
          <w:sz w:val="19"/>
        </w:rPr>
        <w:t>USA, spezialisierte Pädiatrie; Lebensqualitätsmessung übertragbar, Medikamentenlasten können variieren</w:t>
      </w:r>
    </w:p>
    <w:p>
      <w:r>
        <w:rPr>
          <w:color w:val="5A7D3A"/>
          <w:sz w:val="18"/>
        </w:rPr>
        <w:t>https://pubmed.ncbi.nlm.nih.gov/42782549/</w:t>
      </w:r>
    </w:p>
    <w:p>
      <w:pPr>
        <w:pStyle w:val="Heading2"/>
      </w:pPr>
      <w:r>
        <w:t>Mehrdimensionales Risiko-Screening identifiziert High-Risk-Gruppe mit 41 % aller Adverse Events bei älteren Patienten mit Mehrfacherkrankung</w:t>
      </w:r>
    </w:p>
    <w:p>
      <w:r>
        <w:rPr>
          <w:i/>
          <w:color w:val="666666"/>
          <w:sz w:val="18"/>
        </w:rPr>
        <w:t>Zhou MM et al.  ·  Front Public Health  ·  09.09.2026  ·  PMID 42780304</w:t>
      </w:r>
    </w:p>
    <w:p>
      <w:r>
        <w:t>Retrospektive Entwicklung und interne Validierung eines nomographischen Vorhersagemodells für 12-Monatsereignisse (ungeplante Hospitalisierung, ≥2 Notfallbesuche, funktionaler Niedergang, Mortalität) bei 690 älteren Erwachsenen (≥60 J.) mit Mehrfacherkrankung in China; 7 Prädiktoren identifiziert.</w:t>
      </w:r>
    </w:p>
    <w:p>
      <w:r>
        <w:rPr>
          <w:b/>
        </w:rPr>
        <w:t xml:space="preserve">Ergebnis: </w:t>
      </w:r>
      <w:r>
        <w:t>Modell zeigte gute Diskriminierung (AUC 0,847 Derivation, 0,831 bootstrap-validiert, 0,819 temporal); 41,2 % niedrig-, 42,0 % intermediär-, 16,8 % hochrisiko. Die hochrisiko-Gruppe (16,8 %) machte 41,1 % aller Ereignisse aus. Szenaroanalyse: modellgesteuerte Stratifizierung könnte Adverse Events um 25,3 % reduzieren.</w:t>
      </w:r>
    </w:p>
    <w:p>
      <w:r>
        <w:rPr>
          <w:b/>
          <w:sz w:val="19"/>
        </w:rPr>
        <w:t xml:space="preserve">Übertragbarkeit: </w:t>
      </w:r>
      <w:r>
        <w:rPr>
          <w:sz w:val="19"/>
        </w:rPr>
        <w:t>China, tertiäre Klinik; externe Validierung in primärer/sekundärer Versorgung erforderlich; Risiko-Alert und Monitoring-Stratifizierung übertragbar</w:t>
      </w:r>
    </w:p>
    <w:p>
      <w:r>
        <w:rPr>
          <w:color w:val="5A7D3A"/>
          <w:sz w:val="18"/>
        </w:rPr>
        <w:t>https://pubmed.ncbi.nlm.nih.gov/42780304/</w:t>
      </w:r>
    </w:p>
    <w:p>
      <w:pPr>
        <w:pStyle w:val="Heading2"/>
      </w:pPr>
      <w:r>
        <w:t>Triglycerid-Glucose-Waist-to-Height-Ratio vorhersagt neu auftretende Mehrfacherkrankung</w:t>
      </w:r>
    </w:p>
    <w:p>
      <w:r>
        <w:rPr>
          <w:i/>
          <w:color w:val="666666"/>
          <w:sz w:val="18"/>
        </w:rPr>
        <w:t>Shao Z et al.  ·  Cardiovasc Diabetol  ·  24.08.2026  ·  PMID 42778926</w:t>
      </w:r>
    </w:p>
    <w:p>
      <w:r>
        <w:t>Prospektive Kohortenanalyse von 4 nationalen Studien (CHARLS, ELSA, HRS, NHANES): TyG-WHtR (kombiniert Insulinresistenz und zentrale Adipositas) zeigte nichtlineare Dosis-Wirkungs-Assoziationen mit neuer Mehrfacherkrankung; Inflexionspunkte bei 5,92–6,69 je Kohorte.</w:t>
      </w:r>
    </w:p>
    <w:p>
      <w:r>
        <w:rPr>
          <w:b/>
        </w:rPr>
        <w:t xml:space="preserve">Ergebnis: </w:t>
      </w:r>
      <w:r>
        <w:t>Höchste vs. niedrigste TyG-WHtR-Quartile assoziiert mit incident multimorbidity: HR 1,87 (95% CI 1,59–2,21) in CHARLS, 1,67 (1,30–2,15) in ELSA, 1,57 (1,08–2,29) in HRS; TyG-WHtR hatte größte AUC in beiden Querschnittsstichproben und zwei Längsschnittkohorten.</w:t>
      </w:r>
    </w:p>
    <w:p>
      <w:r>
        <w:rPr>
          <w:b/>
          <w:sz w:val="19"/>
        </w:rPr>
        <w:t xml:space="preserve">Übertragbarkeit: </w:t>
      </w:r>
      <w:r>
        <w:rPr>
          <w:sz w:val="19"/>
        </w:rPr>
        <w:t>China, England, USA; Mehrfacherkrankung ist Regelfall; provisorischer Risiko-Alert ca. 5–7 benötigt externe Validierung</w:t>
      </w:r>
    </w:p>
    <w:p>
      <w:r>
        <w:rPr>
          <w:color w:val="5A7D3A"/>
          <w:sz w:val="18"/>
        </w:rPr>
        <w:t>https://pubmed.ncbi.nlm.nih.gov/42778926/</w:t>
      </w:r>
    </w:p>
    <w:p>
      <w:pPr>
        <w:pStyle w:val="Heading2"/>
      </w:pPr>
      <w:r>
        <w:t>Rauchen und chronische Erkrankungen: Versorgungsungleichheit bei vulnerablen Populationen</w:t>
      </w:r>
    </w:p>
    <w:p>
      <w:r>
        <w:rPr>
          <w:i/>
          <w:color w:val="666666"/>
          <w:sz w:val="18"/>
        </w:rPr>
        <w:t>Higgins ST  ·  Prev Med  ·  25.10.2025  ·  PMID 42777124</w:t>
      </w:r>
    </w:p>
    <w:p>
      <w:r>
        <w:t>Editorischer Überblick zu 13 Fachabhandlungen einer US-Konferenz 2024 über Schnittstellen zwischen Tabakgebrauch, anderen Süchten, chronischen Krankheiten und Gesundheitsungleichheiten; Rauchen bleibt führende vermeidbare Todesursache in den USA (ca. 450.000 Tote/Jahr).</w:t>
      </w:r>
    </w:p>
    <w:p>
      <w:r>
        <w:rPr>
          <w:b/>
        </w:rPr>
        <w:t xml:space="preserve">Ergebnis: </w:t>
      </w:r>
      <w:r>
        <w:t>Die Sonderausgabe zeigt überproportionale Auswirkungen von Rauchen in vulnerablen Populationen, Verflechtungen mit weiteren Abhängigkeiten, Mehrfacherkrankungen und Gesundheitsungleichheiten; dokumentiert klinische und regulatorische Interventionen zur Reduktion und Prävention assoziierter Gesundheitsschäden.</w:t>
      </w:r>
    </w:p>
    <w:p>
      <w:r>
        <w:rPr>
          <w:b/>
          <w:sz w:val="19"/>
        </w:rPr>
        <w:t xml:space="preserve">Übertragbarkeit: </w:t>
      </w:r>
      <w:r>
        <w:rPr>
          <w:sz w:val="19"/>
        </w:rPr>
        <w:t>USA; regulatorische und klinische Strategien sind teilweise übertragbar, strukturelle Unterschiede erheblich</w:t>
      </w:r>
    </w:p>
    <w:p>
      <w:r>
        <w:rPr>
          <w:color w:val="5A7D3A"/>
          <w:sz w:val="18"/>
        </w:rPr>
        <w:t>https://pubmed.ncbi.nlm.nih.gov/42777124/</w:t>
      </w:r>
    </w:p>
    <w:p>
      <w:pPr>
        <w:pStyle w:val="Heading2"/>
      </w:pPr>
      <w:r>
        <w:t>Physiotherapie in der Territorialversorgung verbessert Kontinuität chronischer Erkrankungen</w:t>
      </w:r>
    </w:p>
    <w:p>
      <w:r>
        <w:rPr>
          <w:i/>
          <w:color w:val="666666"/>
          <w:sz w:val="18"/>
        </w:rPr>
        <w:t>Piacenza A et al.  ·  Ig Sanita Pubbl  ·  Juli 2026  ·  PMID 42776156</w:t>
      </w:r>
    </w:p>
    <w:p>
      <w:r>
        <w:t>Narrative Analyse zur Neugestaltung italienischer Rehabilitationspfade: Das Ministerialekret 77/2022 verlangt mehr direkte Verantwortung von Physiotherapeuten für Kontinuität, während bisherige Vorschriften fragmentierte Übergänge erzwingen; Pilotprojekte zeigen Machbarkeit und positive Effekte auf funktionelle Erholung und Ressourcennutzung.</w:t>
      </w:r>
    </w:p>
    <w:p>
      <w:r>
        <w:rPr>
          <w:b/>
        </w:rPr>
        <w:t xml:space="preserve">Ergebnis: </w:t>
      </w:r>
      <w:r>
        <w:t>Internationale Modelle und italienische Pilotprojekte belegen, dass physiotherapeutengeleitete Bewertung und Monitoring sowie einheitliche, zeitlich aktualisierte Rehabilitationsprojekte die Patientenzufriedenheit erhöhen und die Ressourcenallokation verbessern – die fragmentierte Regelpraxis führt zu verzögertem Therapiestart und unzureichender Physiotherapie-Integration.</w:t>
      </w:r>
    </w:p>
    <w:p>
      <w:r>
        <w:rPr>
          <w:b/>
          <w:sz w:val="19"/>
        </w:rPr>
        <w:t xml:space="preserve">Übertragbarkeit: </w:t>
      </w:r>
      <w:r>
        <w:rPr>
          <w:sz w:val="19"/>
        </w:rPr>
        <w:t>Italien, vergleichbares Sozialversicherungssystem; Implementierung an Versorgungsstruktur und Regulierung gebunden</w:t>
      </w:r>
    </w:p>
    <w:p>
      <w:r>
        <w:rPr>
          <w:color w:val="5A7D3A"/>
          <w:sz w:val="18"/>
        </w:rPr>
        <w:t>https://pubmed.ncbi.nlm.nih.gov/42776156/</w:t>
      </w:r>
    </w:p>
    <w:p>
      <w:pPr>
        <w:pStyle w:val="Heading1"/>
      </w:pPr>
      <w:r>
        <w:t>Aufgenommen am 24.09.2026</w:t>
      </w:r>
    </w:p>
    <w:p>
      <w:pPr>
        <w:pStyle w:val="Heading2"/>
      </w:pPr>
      <w:r>
        <w:t>Früher systemischer Lupus erythematosus: Fast-Track zu Mehrfacherkrankung bei hoher Flareaktivität</w:t>
      </w:r>
    </w:p>
    <w:p>
      <w:r>
        <w:rPr>
          <w:i/>
          <w:color w:val="666666"/>
          <w:sz w:val="18"/>
        </w:rPr>
        <w:t>Nikoloudaki M et al.  ·  RMD Open  ·  23.09.2026  ·  PMID 42778333</w:t>
      </w:r>
    </w:p>
    <w:p>
      <w:r>
        <w:t>Inception-Kohorte von 311 SLE-Patienten mit ≤2 Jahren Erkrankungsdauer und 5-jähriger Nachbeobachtung untersuchte Trajektorien der Mehrfacherkrankungsentwicklung und deren Prädiktoren.</w:t>
      </w:r>
    </w:p>
    <w:p>
      <w:r>
        <w:rPr>
          <w:b/>
        </w:rPr>
        <w:t xml:space="preserve">Ergebnis: </w:t>
      </w:r>
      <w:r>
        <w:t>45% der Patienten zeigte accelerierte Mehrfacherkrankungszunahme mit drei Phänotypen: metabolisch-psychiatrisch (65,7% mit ≥2 Erkrankungen) und kardiopulmonal-muskuloskelettal (100%). Schwere Flares (≥20% der Zeit; OR 2,10) und Glukokortikoidexposition (OR 1,06 pro 10 mg/Tag) während der ersten 24 Monate waren unabhängig mit schneller Progression assoziiert. Fast-accruer zeigten weniger Remission und mehr Schäden (IRR 2,28–3,27).</w:t>
      </w:r>
    </w:p>
    <w:p>
      <w:r>
        <w:rPr>
          <w:b/>
          <w:sz w:val="19"/>
        </w:rPr>
        <w:t xml:space="preserve">Übertragbarkeit: </w:t>
      </w:r>
      <w:r>
        <w:rPr>
          <w:sz w:val="19"/>
        </w:rPr>
        <w:t>Griechenland und Italien, europäische Universitätskliniken, vergleichbare SLE-Versorgungsstandards</w:t>
      </w:r>
    </w:p>
    <w:p>
      <w:r>
        <w:rPr>
          <w:color w:val="5A7D3A"/>
          <w:sz w:val="18"/>
        </w:rPr>
        <w:t>https://pubmed.ncbi.nlm.nih.gov/42778333/</w:t>
      </w:r>
    </w:p>
    <w:p>
      <w:pPr>
        <w:pStyle w:val="Heading2"/>
      </w:pPr>
      <w:r>
        <w:t>CAT-Score-Variabilität vorhersagt COPD-Exazerbationen in virtueller Assistenz-Überwachung</w:t>
      </w:r>
    </w:p>
    <w:p>
      <w:r>
        <w:rPr>
          <w:i/>
          <w:color w:val="666666"/>
          <w:sz w:val="18"/>
        </w:rPr>
        <w:t>Aljama C et al.  ·  Adv Respir Med  ·  07.09.2026  ·  PMID 42776698</w:t>
      </w:r>
    </w:p>
    <w:p>
      <w:r>
        <w:t>Prospektive Beobachtungsstudie mit 106 COPD-Patienten mit Exazerbator-Phänotyp nutzte wöchentliche CAT-Messungen durch virtuellen Assistenten zur Vorhersage von Exazerbationen über ein Jahr.</w:t>
      </w:r>
    </w:p>
    <w:p>
      <w:r>
        <w:rPr>
          <w:b/>
        </w:rPr>
        <w:t xml:space="preserve">Ergebnis: </w:t>
      </w:r>
      <w:r>
        <w:t>73 von 106 Patienten (69%) erlitten ≥1 Exazerbation (192 Episoden, 26% mit Hospitalisierung). Jeder 1-Punkt-Anstieg im CAT-Score war mit 11,1% erhöhtem Exazerbationsrisiko assoziiert (OR 1,11; 95%-KI 1,08–1,13). Wöchentliche Variabilität ≥2 Punkte (MCID) war mit sechsfach erhöhtem Risiko verbunden (OR 6,30; 95%-KI 4,28–9,27). Optimaler Cut-off für CAT-Änderung: 3 Punkte (ROC 0,773).</w:t>
      </w:r>
    </w:p>
    <w:p>
      <w:r>
        <w:rPr>
          <w:b/>
          <w:sz w:val="19"/>
        </w:rPr>
        <w:t xml:space="preserve">Übertragbarkeit: </w:t>
      </w:r>
      <w:r>
        <w:rPr>
          <w:sz w:val="19"/>
        </w:rPr>
        <w:t>Spanien/Brasilien, aber App-basiert; Übertragbarkeit auf deutsche Telemedizin-Strukturen bedingt</w:t>
      </w:r>
    </w:p>
    <w:p>
      <w:r>
        <w:rPr>
          <w:color w:val="5A7D3A"/>
          <w:sz w:val="18"/>
        </w:rPr>
        <w:t>https://pubmed.ncbi.nlm.nih.gov/42776698/</w:t>
      </w:r>
    </w:p>
    <w:p>
      <w:pPr>
        <w:pStyle w:val="Heading2"/>
      </w:pPr>
      <w:r>
        <w:t>Netzwerk-Metaanalyse: GLP-1RA, SGLT2i und nsMRA für kardiorenale Outcomes bei Typ-2-Diabetes mit CKD</w:t>
      </w:r>
    </w:p>
    <w:p>
      <w:r>
        <w:rPr>
          <w:i/>
          <w:color w:val="666666"/>
          <w:sz w:val="18"/>
        </w:rPr>
        <w:t>Chen H et al.  ·  Front Endocrinol (Lausanne)  ·  08.09.2026  ·  PMID 42775225</w:t>
      </w:r>
    </w:p>
    <w:p>
      <w:r>
        <w:t>Systematische Übersicht und frequentistische Netzwerk-Metaanalyse von 21 RCTs mit 51.899 Patienten verglich kardiorenale Effektivität und Sicherheit von GLP-1RAs, SGLT2i und nsMRAs.</w:t>
      </w:r>
    </w:p>
    <w:p>
      <w:r>
        <w:rPr>
          <w:b/>
        </w:rPr>
        <w:t xml:space="preserve">Ergebnis: </w:t>
      </w:r>
      <w:r>
        <w:t>Versus Placebo: SGLT2i reduzierten Risiko von MACE, majorem Nieren-Komposit und Herzinsuffizienz-Hospitalisierung; GLP-1RAs reduzierten MACE, Nieren-Komposit, Herzinsuffizienz, Mortalität und kardiovaskulärer Tod; nsMRA reduzierten Nieren-Komposit und Herzinsuffizienz. Indirekte Vergleiche: SGLT2i günstiger für Nieren (RR 0,77 vs GLP-1RA), SGLT2i günstiger für Herzinsuffizienz versus nsMRA. Hyperkalämie mit nsMRA häufiger.</w:t>
      </w:r>
    </w:p>
    <w:p>
      <w:r>
        <w:rPr>
          <w:b/>
          <w:sz w:val="19"/>
        </w:rPr>
        <w:t xml:space="preserve">Übertragbarkeit: </w:t>
      </w:r>
      <w:r>
        <w:rPr>
          <w:sz w:val="19"/>
        </w:rPr>
        <w:t>Globale RCT-Evidenz, aber keine deutschen Subgruppen; Übertragbarkeit für DMP-Strukturen hoch</w:t>
      </w:r>
    </w:p>
    <w:p>
      <w:r>
        <w:rPr>
          <w:color w:val="5A7D3A"/>
          <w:sz w:val="18"/>
        </w:rPr>
        <w:t>https://pubmed.ncbi.nlm.nih.gov/42775225/</w:t>
      </w:r>
    </w:p>
    <w:p>
      <w:pPr>
        <w:pStyle w:val="Heading2"/>
      </w:pPr>
      <w:r>
        <w:t>Kindheitliche Benachteiligung erhöht Risiko für Behinderung und Mehrfacherkrankung im Alter</w:t>
      </w:r>
    </w:p>
    <w:p>
      <w:r>
        <w:rPr>
          <w:i/>
          <w:color w:val="666666"/>
          <w:sz w:val="18"/>
        </w:rPr>
        <w:t>Zhou T et al.  ·  Front Public Health  ·  08.09.2026  ·  PMID 42774187</w:t>
      </w:r>
    </w:p>
    <w:p>
      <w:r>
        <w:t>Prospektive Analyse von Daten aus ELSA und SHARE-Kohorten untersuchte, ob Armut und gesundheitliche Belastungen in der Kindheit das Risiko für Behinderung und Mehrfacherkrankung im späteren Leben vorhersagen.</w:t>
      </w:r>
    </w:p>
    <w:p>
      <w:r>
        <w:rPr>
          <w:b/>
        </w:rPr>
        <w:t xml:space="preserve">Ergebnis: </w:t>
      </w:r>
      <w:r>
        <w:t>Höchste Kindheitsadversität war mit erhöhtem Risiko für Aktivitätsbeschränkungen (HR 1,43; 95%-KI 1,09–1,87) und Mehrfacherkrankung (HR 1,35; 95%-KI 1,02–1,80) assoziiert. In SHARE erhöhte sich das Risiko für Aktivitätsbeschränkungen und Mehrfacherkrankung ebenfalls signifikant. Die Befunde zeigen anhaltende Auswirkungen früher Nachteiligung auf die Gesundheit im Alter.</w:t>
      </w:r>
    </w:p>
    <w:p>
      <w:r>
        <w:rPr>
          <w:b/>
          <w:sz w:val="19"/>
        </w:rPr>
        <w:t xml:space="preserve">Übertragbarkeit: </w:t>
      </w:r>
      <w:r>
        <w:rPr>
          <w:sz w:val="19"/>
        </w:rPr>
        <w:t>Großbritannien und Europa, vergleichbare Langzeitkohortendesigns</w:t>
      </w:r>
    </w:p>
    <w:p>
      <w:r>
        <w:rPr>
          <w:color w:val="5A7D3A"/>
          <w:sz w:val="18"/>
        </w:rPr>
        <w:t>https://pubmed.ncbi.nlm.nih.gov/42774187/</w:t>
      </w:r>
    </w:p>
    <w:p>
      <w:pPr>
        <w:pStyle w:val="Heading2"/>
      </w:pPr>
      <w:r>
        <w:t>Chronische spontane Urtikaria in Finnland: Versorgungslücken in Behandlung und Monitoring</w:t>
      </w:r>
    </w:p>
    <w:p>
      <w:r>
        <w:rPr>
          <w:i/>
          <w:color w:val="666666"/>
          <w:sz w:val="18"/>
        </w:rPr>
        <w:t>Sinikumpu SP et al.  ·  Acta Derm Venereol  ·  22.09.2026  ·  PMID 42770913</w:t>
      </w:r>
    </w:p>
    <w:p>
      <w:r>
        <w:t>Landesweite Registerstudie analysierte Epidemiologie und Behandlungsmuster von chronischer spontaner Urtikaria in finnischen Fachkliniken 2001–2023.</w:t>
      </w:r>
    </w:p>
    <w:p>
      <w:r>
        <w:rPr>
          <w:b/>
        </w:rPr>
        <w:t xml:space="preserve">Ergebnis: </w:t>
      </w:r>
      <w:r>
        <w:t>Unter 8.784 Patienten erhielten 85,8% Antihistaminika und 36,1% benötigten gleichzeitig Kortikosteroide, was auf suboptimale Kontrolle hindeutet. Nur 8,5% erhielten Omalizumab, Median 9 Monate nach Antihistamininitiation. Hochkomorbidität mit Asthma, Hypertonie und Depression. Die Befunde deuten auf Verzögerungen in der Eskalation zur biologischen Therapie und mangelnde Krankheitskontrolle hin.</w:t>
      </w:r>
    </w:p>
    <w:p>
      <w:r>
        <w:rPr>
          <w:b/>
          <w:sz w:val="19"/>
        </w:rPr>
        <w:t xml:space="preserve">Übertragbarkeit: </w:t>
      </w:r>
      <w:r>
        <w:rPr>
          <w:sz w:val="19"/>
        </w:rPr>
        <w:t>Finnland, nordisches Gesundheitssystem, vergleichbare Vergütungsstrukturen</w:t>
      </w:r>
    </w:p>
    <w:p>
      <w:r>
        <w:rPr>
          <w:color w:val="5A7D3A"/>
          <w:sz w:val="18"/>
        </w:rPr>
        <w:t>https://pubmed.ncbi.nlm.nih.gov/42770913/</w:t>
      </w:r>
    </w:p>
    <w:p>
      <w:pPr>
        <w:pStyle w:val="Heading2"/>
      </w:pPr>
      <w:r>
        <w:t>Rehabilitation bei älteren Patienten mit COPD und Post-COVID-Syndrom in Kirgistan zeigte Unterschiede nach Region</w:t>
      </w:r>
    </w:p>
    <w:p>
      <w:r>
        <w:rPr>
          <w:i/>
          <w:color w:val="666666"/>
          <w:sz w:val="18"/>
        </w:rPr>
        <w:t>Zhorobekova M et al.  ·  Georgian Med News  ·  Mai 2026  ·  PMID 42600600</w:t>
      </w:r>
    </w:p>
    <w:p>
      <w:r>
        <w:t>Gemischte Methoden-Studie untersuchte medizinische und soziale Rehabilitation von älteren Patienten mit COPD und/oder Post-COVID-Syndrom in urbanen versus hochalpinen Regionen Kirgistans.</w:t>
      </w:r>
    </w:p>
    <w:p>
      <w:r>
        <w:rPr>
          <w:b/>
        </w:rPr>
        <w:t xml:space="preserve">Ergebnis: </w:t>
      </w:r>
      <w:r>
        <w:t>Patienten mit beiden Erkrankungen zeigten höchste Inflammationsmarker und stärkste Lungenfunktionseinschränkung (FEV1 48,5% Soll). In hochalpinen Gebieten niedrigere Sauerstoffsättigung und höhere Fatigue durch chronische Hypoxie. Rehabilitationsergebnisse besser in urbanen Gebieten mit besserer Infrastruktur und Sauerstofftherapie-Zugang. Die Studie unterstreicht Bedeutung adaptierter, regionalisierter Rehabilitationsstrategien.</w:t>
      </w:r>
    </w:p>
    <w:p>
      <w:r>
        <w:rPr>
          <w:b/>
          <w:sz w:val="19"/>
        </w:rPr>
        <w:t xml:space="preserve">Übertragbarkeit: </w:t>
      </w:r>
      <w:r>
        <w:rPr>
          <w:sz w:val="19"/>
        </w:rPr>
        <w:t>Zentralasien, limitierte Ressourcenlage, zeigt Notwendigkeit dezentraler Versorgungsmodelle</w:t>
      </w:r>
    </w:p>
    <w:p>
      <w:r>
        <w:rPr>
          <w:color w:val="5A7D3A"/>
          <w:sz w:val="18"/>
        </w:rPr>
        <w:t>https://pubmed.ncbi.nlm.nih.gov/42600600/</w:t>
      </w:r>
    </w:p>
    <w:p>
      <w:pPr>
        <w:pStyle w:val="Heading1"/>
      </w:pPr>
      <w:r>
        <w:t>Aufgenommen am 23.09.2026</w:t>
      </w:r>
    </w:p>
    <w:p>
      <w:pPr>
        <w:pStyle w:val="Heading2"/>
      </w:pPr>
      <w:r>
        <w:t>Ultra-verarbeitete Lebensmittel erhöhen Risiko für Mehrfacherkrankungen: Dose-Wirkungs-Analyse mit 8,8 Millionen Teilnehmern</w:t>
      </w:r>
    </w:p>
    <w:p>
      <w:r>
        <w:rPr>
          <w:i/>
          <w:color w:val="666666"/>
          <w:sz w:val="18"/>
        </w:rPr>
        <w:t>Liu X et al.  ·  Fam Med Community Health  ·  22.09.2026  ·  PMID 42773062</w:t>
      </w:r>
    </w:p>
    <w:p>
      <w:r>
        <w:t>Dosisabhängige Metaanalyse von 51 prospektiven Kohortenstudien (n=8.819.894 Erwachsene) untersuchte Assoziation zwischen Ultra-Verarbeitete-Lebensmittel-Konsum und Krankheitslast chronischer nicht-übertragbarer Erkrankungen.</w:t>
      </w:r>
    </w:p>
    <w:p>
      <w:r>
        <w:rPr>
          <w:b/>
        </w:rPr>
        <w:t xml:space="preserve">Ergebnis: </w:t>
      </w:r>
      <w:r>
        <w:t>Erhöhter Ultra-Verarbeitete-Lebensmittel-Konsum assoziiert mit kardiovaskulären Ereignissen (HR 1,24, 95% KI 1,14–1,36), Krebs (HR 1,12, 95% KI 1,04–1,21), Adipositas (HR 1,23), metabolisches Syndrom/Diabetes (HR 1,24), Depression/Angst (HR 1,27), Verdauungserkrankungen (HR 1,31) und Mortalität (HR 1,18). Pro 100 g/Tag: Kardiovaskulär HR 1,14, Krebs HR 1,04, Mortalität HR 1,03.</w:t>
      </w:r>
    </w:p>
    <w:p>
      <w:r>
        <w:rPr>
          <w:b/>
          <w:sz w:val="19"/>
        </w:rPr>
        <w:t xml:space="preserve">Übertragbarkeit: </w:t>
      </w:r>
      <w:r>
        <w:rPr>
          <w:sz w:val="19"/>
        </w:rPr>
        <w:t>Bevölkerungsstudien aus LMIC und Hocheinkommensländern; Ernährungsprävention universell anwendbar.</w:t>
      </w:r>
    </w:p>
    <w:p>
      <w:r>
        <w:rPr>
          <w:color w:val="5A7D3A"/>
          <w:sz w:val="18"/>
        </w:rPr>
        <w:t>https://pubmed.ncbi.nlm.nih.gov/42773062/</w:t>
      </w:r>
    </w:p>
    <w:p>
      <w:pPr>
        <w:pStyle w:val="Heading2"/>
      </w:pPr>
      <w:r>
        <w:t>Hepatitis-C-Versorgungslücken bei australischen First Nations: Weg zur Elimination bis 2030</w:t>
      </w:r>
    </w:p>
    <w:p>
      <w:r>
        <w:rPr>
          <w:i/>
          <w:color w:val="666666"/>
          <w:sz w:val="18"/>
        </w:rPr>
        <w:t>Ward J et al.  ·  Med J Aust  ·  Sept. 2026  ·  PMID 42772855</w:t>
      </w:r>
    </w:p>
    <w:p>
      <w:r>
        <w:t>Analyse der Hepatitis-C-Versorgung unter australischen First Nations zeigte, dass diese Bevölkerung überproportional betroffen ist (18% der chronischen Fälle bei 4% der Bevölkerung), aber langsamere Therapieaufnahme hat als nicht-indigene Australier.</w:t>
      </w:r>
    </w:p>
    <w:p>
      <w:r>
        <w:rPr>
          <w:b/>
        </w:rPr>
        <w:t xml:space="preserve">Ergebnis: </w:t>
      </w:r>
      <w:r>
        <w:t>First Nations Australians haben trotz Überrepräsentation mit 18% der chronischen Hepatitis-C-Fälle langsamere Aufnahme von Direct-Acting-Antiviral-Therapie als nicht-indigene Australier. Erreichung der nationalen Eliminationsziele bis 2030 erfordert Strategien mit Equity-Framework zur Schließung von Versorgungslücken.</w:t>
      </w:r>
    </w:p>
    <w:p>
      <w:r>
        <w:rPr>
          <w:b/>
          <w:sz w:val="19"/>
        </w:rPr>
        <w:t xml:space="preserve">Übertragbarkeit: </w:t>
      </w:r>
      <w:r>
        <w:rPr>
          <w:sz w:val="19"/>
        </w:rPr>
        <w:t>Australien, vergleichbare Inequity-Strukturen; zeigt Versorgungsbarrieren für marginalisierte Gruppen.</w:t>
      </w:r>
    </w:p>
    <w:p>
      <w:r>
        <w:rPr>
          <w:color w:val="5A7D3A"/>
          <w:sz w:val="18"/>
        </w:rPr>
        <w:t>https://pubmed.ncbi.nlm.nih.gov/42772855/</w:t>
      </w:r>
    </w:p>
    <w:p>
      <w:pPr>
        <w:pStyle w:val="Heading2"/>
      </w:pPr>
      <w:r>
        <w:t>Physiotherapie-Assistenten erhöhten Mobilisierungsfrequenz bei älteren Patienten mit Mehrfacherkrankungen im Krankenhaus</w:t>
      </w:r>
    </w:p>
    <w:p>
      <w:r>
        <w:rPr>
          <w:i/>
          <w:color w:val="666666"/>
          <w:sz w:val="18"/>
        </w:rPr>
        <w:t>Snowdon DA et al.  ·  Age Ageing  ·  04.09.2026  ·  PMID 42771780</w:t>
      </w:r>
    </w:p>
    <w:p>
      <w:r>
        <w:t>Machbarkeitsstudie (n=61, mittleres Alter 77 Jahre) untersuchte, ob Physio-Assistenten unter Supervision von Physiotherapeuten die Mobilisierungsintensität bei hospitalisierten älteren Patienten mit Mehrfacherkrankungen erhöhen können.</w:t>
      </w:r>
    </w:p>
    <w:p>
      <w:r>
        <w:rPr>
          <w:b/>
        </w:rPr>
        <w:t xml:space="preserve">Ergebnis: </w:t>
      </w:r>
      <w:r>
        <w:t>Patienten mit Physio-Assistent erhielten durchschnittlich 12 Minuten mehr Therapie pro Tag als Physiotherapie-Gruppe (95% KI 6–17). Patienten mit Assistent liefen häufiger (66% vs. 59% der Tage), mittlere Hospitalisierungsdauer war 3 Tage kürzer, akute Kosten $1.425 niedriger. Unerwünschte Ereignisse waren vergleichbar.</w:t>
      </w:r>
    </w:p>
    <w:p>
      <w:r>
        <w:rPr>
          <w:b/>
          <w:sz w:val="19"/>
        </w:rPr>
        <w:t xml:space="preserve">Übertragbarkeit: </w:t>
      </w:r>
      <w:r>
        <w:rPr>
          <w:sz w:val="19"/>
        </w:rPr>
        <w:t>Australien, stationäre Struktur; übertragbar auf Akutkrankenhäuser mit multiprofessionellen Teams.</w:t>
      </w:r>
    </w:p>
    <w:p>
      <w:r>
        <w:rPr>
          <w:color w:val="5A7D3A"/>
          <w:sz w:val="18"/>
        </w:rPr>
        <w:t>https://pubmed.ncbi.nlm.nih.gov/42771780/</w:t>
      </w:r>
    </w:p>
    <w:p>
      <w:pPr>
        <w:pStyle w:val="Heading2"/>
      </w:pPr>
      <w:r>
        <w:t>Melatonin zeigte Trend zur Reduktion COPD-bedingter Krankenhausaufnahmen, aber nicht zur Rauchentwöhnung</w:t>
      </w:r>
    </w:p>
    <w:p>
      <w:r>
        <w:rPr>
          <w:i/>
          <w:color w:val="666666"/>
          <w:sz w:val="18"/>
        </w:rPr>
        <w:t>Gholinataj Jelodar M et al.  ·  Can Respir J  ·  2026  ·  PMID 42770942</w:t>
      </w:r>
    </w:p>
    <w:p>
      <w:r>
        <w:t>Randomisierte, dreifach verblindete Studie (n=60 männliche COPD-Patienten mit Rauchen) untersuchte über 180 Tage, ob Melatonin (5 mg) Nikotinabhängigkeit und COPD-Exazerbationen reduziert.</w:t>
      </w:r>
    </w:p>
    <w:p>
      <w:r>
        <w:rPr>
          <w:b/>
        </w:rPr>
        <w:t xml:space="preserve">Ergebnis: </w:t>
      </w:r>
      <w:r>
        <w:t>Beide Gruppen zeigten Reduktion der Zigarettenkonsum und Verbesserung psychologischer Scores ohne signifikante Gruppenunterschiede. COPD-Exazerbations-Hospitalisierungen waren im Melatonin-Arm numerisch niedriger (4% vs. 24%, Placebo), aber nicht statistisch signifikant. Melatonin hatte keinen Effekt auf Rauchentwöhnung oder psychische Outcomes.</w:t>
      </w:r>
    </w:p>
    <w:p>
      <w:r>
        <w:rPr>
          <w:b/>
          <w:sz w:val="19"/>
        </w:rPr>
        <w:t xml:space="preserve">Übertragbarkeit: </w:t>
      </w:r>
      <w:r>
        <w:rPr>
          <w:sz w:val="19"/>
        </w:rPr>
        <w:t>Iran; begrenzte Anwendbarkeit; exploratorischer Befund bedarf größerer, adequat gepowerter Studien.</w:t>
      </w:r>
    </w:p>
    <w:p>
      <w:r>
        <w:rPr>
          <w:color w:val="5A7D3A"/>
          <w:sz w:val="18"/>
        </w:rPr>
        <w:t>https://pubmed.ncbi.nlm.nih.gov/42770942/</w:t>
      </w:r>
    </w:p>
    <w:p>
      <w:pPr>
        <w:pStyle w:val="Heading2"/>
      </w:pPr>
      <w:r>
        <w:t>Qualitätsverbesserung bei COPD-Patienten mit hohem Risiko: Lektionen aus dem CONQUEST-Programm</w:t>
      </w:r>
    </w:p>
    <w:p>
      <w:r>
        <w:rPr>
          <w:i/>
          <w:color w:val="666666"/>
          <w:sz w:val="18"/>
        </w:rPr>
        <w:t>Halpin DMG et al.  ·  Prim Health Care Res Dev  ·  22.09.2026  ·  PMID 42770200</w:t>
      </w:r>
    </w:p>
    <w:p>
      <w:r>
        <w:t>Das CONQUEST-Programm identifizierte COPD-Patienten mit hohem Komplikationsrisiko in der britischen Primärversorgung und optimierte deren Management durch strukturierte Versorgungspfade mit Datenüberwachung und ressourcenplanung.</w:t>
      </w:r>
    </w:p>
    <w:p>
      <w:r>
        <w:rPr>
          <w:b/>
        </w:rPr>
        <w:t xml:space="preserve">Ergebnis: </w:t>
      </w:r>
      <w:r>
        <w:t>Das Programm identifizierte COPD-Patienten mit erhöhtem Risiko für unerwünschte Ereignisse bei geringer Patientenzahl pro Praxis erfolgreich. Schlüssellektionen: Qualitätverbesserungsprogramme müssen flexibel für lokale Kontexte adaptierbar sein, frühzeitige Datenüberwachung ermöglicht effiziente Problemlösung, und ressourcenplanung ist für die praktische Umsetzung unerlässlich.</w:t>
      </w:r>
    </w:p>
    <w:p>
      <w:r>
        <w:rPr>
          <w:b/>
          <w:sz w:val="19"/>
        </w:rPr>
        <w:t xml:space="preserve">Übertragbarkeit: </w:t>
      </w:r>
      <w:r>
        <w:rPr>
          <w:sz w:val="19"/>
        </w:rPr>
        <w:t>UK-Primärversorgung mit Case-Management-Struktur; transferierbar auf deutsche Hausarztpraxen mit DMP-Koordination.</w:t>
      </w:r>
    </w:p>
    <w:p>
      <w:r>
        <w:rPr>
          <w:color w:val="5A7D3A"/>
          <w:sz w:val="18"/>
        </w:rPr>
        <w:t>https://pubmed.ncbi.nlm.nih.gov/42770200/</w:t>
      </w:r>
    </w:p>
    <w:p>
      <w:pPr>
        <w:pStyle w:val="Heading2"/>
      </w:pPr>
      <w:r>
        <w:t>Exergaming verbesserte Balance und Gehfunktion bei älteren Patienten mit chronischen Erkrankungen</w:t>
      </w:r>
    </w:p>
    <w:p>
      <w:r>
        <w:rPr>
          <w:i/>
          <w:color w:val="666666"/>
          <w:sz w:val="18"/>
        </w:rPr>
        <w:t>Ge B et al.  ·  Front Public Health  ·  07.09.2026  ·  PMID 42769539</w:t>
      </w:r>
    </w:p>
    <w:p>
      <w:r>
        <w:t>Systematische Übersichtsarbeit mit Metaanalyse von 11 RCTs (n=älter Erwachsene ≥60 Jahre mit chronischen Erkrankungen in der Gemeinde) untersuchte Effekte von Exergaming auf Balance und funktionale Mobilität.</w:t>
      </w:r>
    </w:p>
    <w:p>
      <w:r>
        <w:rPr>
          <w:b/>
        </w:rPr>
        <w:t xml:space="preserve">Ergebnis: </w:t>
      </w:r>
      <w:r>
        <w:t>Exergaming verbesserte signifikant Balance (gemessen Berg Balance Scale, MD=2,93, 95% KI 0,44–5,41, p=0,021) und dynamische Gehfähigkeit (Dynamic Gait Index, MD=0,72, 95% KI 0,09–1,35, p=0,025). Größere Vorteile bei ≥8 Wochen Dauer und überwachtem Training. Heterogenität niedrig bis moderat.</w:t>
      </w:r>
    </w:p>
    <w:p>
      <w:r>
        <w:rPr>
          <w:b/>
          <w:sz w:val="19"/>
        </w:rPr>
        <w:t xml:space="preserve">Übertragbarkeit: </w:t>
      </w:r>
      <w:r>
        <w:rPr>
          <w:sz w:val="19"/>
        </w:rPr>
        <w:t>Internationale RCTs, Community-Setting; methodisch hochwertig aber Transferbarkeit auf Primärversorgung unklar.</w:t>
      </w:r>
    </w:p>
    <w:p>
      <w:r>
        <w:rPr>
          <w:color w:val="5A7D3A"/>
          <w:sz w:val="18"/>
        </w:rPr>
        <w:t>https://pubmed.ncbi.nlm.nih.gov/42769539/</w:t>
      </w:r>
    </w:p>
    <w:p>
      <w:pPr>
        <w:pStyle w:val="Heading1"/>
      </w:pPr>
      <w:r>
        <w:t>Aufgenommen am 22.09.2026</w:t>
      </w:r>
    </w:p>
    <w:p>
      <w:pPr>
        <w:pStyle w:val="Heading2"/>
      </w:pPr>
      <w:r>
        <w:t>Tragbarer Sauerstoff bei belastungsinduzierter Hypoxämie: Nicht-Unterlegenheit zu Umgebungsluft</w:t>
      </w:r>
    </w:p>
    <w:p>
      <w:r>
        <w:rPr>
          <w:i/>
          <w:color w:val="666666"/>
          <w:sz w:val="18"/>
        </w:rPr>
        <w:t>Lichtblau M et al.  ·  BMJ Open Respir Res  ·  21.09.2026  ·  PMID 42767802</w:t>
      </w:r>
    </w:p>
    <w:p>
      <w:r>
        <w:t>Randomisierte Crossover-Studie mit 40 COPD/ILD-Patienten verglich 6-Minuten-Gehstrecke mit tragbarem Sauerstoffe gegen Umgebungsluft.</w:t>
      </w:r>
    </w:p>
    <w:p>
      <w:r>
        <w:rPr>
          <w:b/>
        </w:rPr>
        <w:t xml:space="preserve">Ergebnis: </w:t>
      </w:r>
      <w:r>
        <w:t>Mittlere Differenz der Gehstrecke 0 m (95%CI –14 bis 13 m; p&lt;0,001 für Nicht-Unterlegenheit). Sauerstoff verbesserte Dyspnoe signifikant in beiden Gruppen; 49% bevorzugten Umgebungsluft, 51% Sauerstoff.</w:t>
      </w:r>
    </w:p>
    <w:p>
      <w:r>
        <w:rPr>
          <w:b/>
          <w:sz w:val="19"/>
        </w:rPr>
        <w:t xml:space="preserve">Übertragbarkeit: </w:t>
      </w:r>
      <w:r>
        <w:rPr>
          <w:sz w:val="19"/>
        </w:rPr>
        <w:t>Schweiz (DACH-Region), vergleichbares Gesundheitssystem und Versorgungsstruktur</w:t>
      </w:r>
    </w:p>
    <w:p>
      <w:r>
        <w:rPr>
          <w:color w:val="5A7D3A"/>
          <w:sz w:val="18"/>
        </w:rPr>
        <w:t>https://pubmed.ncbi.nlm.nih.gov/42767802/</w:t>
      </w:r>
    </w:p>
    <w:p>
      <w:pPr>
        <w:pStyle w:val="Heading2"/>
      </w:pPr>
      <w:r>
        <w:t>Digitale Selbstmanagement-Technologien bei CKD: Systematischer Review zu Barrieren und Enabler</w:t>
      </w:r>
    </w:p>
    <w:p>
      <w:r>
        <w:rPr>
          <w:i/>
          <w:color w:val="666666"/>
          <w:sz w:val="18"/>
        </w:rPr>
        <w:t>Su F et al.  ·  J Med Internet Res  ·  21.09.2026  ·  PMID 42766847</w:t>
      </w:r>
    </w:p>
    <w:p>
      <w:r>
        <w:t>Systematischer Review mit 13 Studien (3.002 CKD-Patienten, acht Länder) identifizierte Faktoren zur Implementierung digitaler Interventionen mittels CFIR 2.0-Rahmen.</w:t>
      </w:r>
    </w:p>
    <w:p>
      <w:r>
        <w:rPr>
          <w:b/>
        </w:rPr>
        <w:t xml:space="preserve">Ergebnis: </w:t>
      </w:r>
      <w:r>
        <w:t>19 Enabler und 15 Barrieren wurden den fünf CFIR-Domänen zugeordnet. Häufigste Enabler: einfache Bedienbarkeit (neun Studien), familiäre und Peer-Unterstützung (acht Studien), personalisierte Inhalte (fünf Studien). Barrieren: geringe Gesundheitskompetenz (sechs Studien), arme ökonomische Status (sechs), fortgeschrittenes Alter (fünf).</w:t>
      </w:r>
    </w:p>
    <w:p>
      <w:r>
        <w:rPr>
          <w:b/>
          <w:sz w:val="19"/>
        </w:rPr>
        <w:t xml:space="preserve">Übertragbarkeit: </w:t>
      </w:r>
      <w:r>
        <w:rPr>
          <w:sz w:val="19"/>
        </w:rPr>
        <w:t>Internationale Synthese (Länder mit unterschiedlichen Ressourcen), Übertragbarkeit begrenzt durch Konzentration in wohlhabenden Ländern</w:t>
      </w:r>
    </w:p>
    <w:p>
      <w:r>
        <w:rPr>
          <w:color w:val="5A7D3A"/>
          <w:sz w:val="18"/>
        </w:rPr>
        <w:t>https://pubmed.ncbi.nlm.nih.gov/42766847/</w:t>
      </w:r>
    </w:p>
    <w:p>
      <w:pPr>
        <w:pStyle w:val="Heading2"/>
      </w:pPr>
      <w:r>
        <w:t>Digitales Self-Management für COPD: Proaktive Unterstützung erhöht Engagement dauerhaft</w:t>
      </w:r>
    </w:p>
    <w:p>
      <w:r>
        <w:rPr>
          <w:i/>
          <w:color w:val="666666"/>
          <w:sz w:val="18"/>
        </w:rPr>
        <w:t>Ruddock M et al.  ·  JMIR Hum Factors  ·  21.09.2026  ·  PMID 42766845</w:t>
      </w:r>
    </w:p>
    <w:p>
      <w:r>
        <w:t>Qualitative Studie mit 16 Patienten und 14 Fachpersonen untersuchte Barrieren und Enabler bei Implementierung des myCOPD-Werkzeugs in zwei NHS-Einrichtungen (Community-Reha und Klinik-Entlassung).</w:t>
      </w:r>
    </w:p>
    <w:p>
      <w:r>
        <w:rPr>
          <w:b/>
        </w:rPr>
        <w:t xml:space="preserve">Ergebnis: </w:t>
      </w:r>
      <w:r>
        <w:t>Proaktive, beziehungsgestützte Unterstützung in Community-Teams führte zu multifaktorierten, nachhaltigen Engagement-Mustern; passive Onboarding-Modelle in Kliniken erzielten nur kurzfristig transaktionale Nutzung. Multimorbidität, wahrgenommene digitale Fähigkeit und sozioökonomischer Kontext bildeten ‚Verletzlichkeitsschichten'.</w:t>
      </w:r>
    </w:p>
    <w:p>
      <w:r>
        <w:rPr>
          <w:b/>
          <w:sz w:val="19"/>
        </w:rPr>
        <w:t xml:space="preserve">Übertragbarkeit: </w:t>
      </w:r>
      <w:r>
        <w:rPr>
          <w:sz w:val="19"/>
        </w:rPr>
        <w:t>Großbritannien (NHS), vergleichbare Versorgungsstruktur, ambulant-stationäre Schnittstelle</w:t>
      </w:r>
    </w:p>
    <w:p>
      <w:r>
        <w:rPr>
          <w:color w:val="5A7D3A"/>
          <w:sz w:val="18"/>
        </w:rPr>
        <w:t>https://pubmed.ncbi.nlm.nih.gov/42766845/</w:t>
      </w:r>
    </w:p>
    <w:p>
      <w:pPr>
        <w:pStyle w:val="Heading2"/>
      </w:pPr>
      <w:r>
        <w:t>COPD und Multimorbidität: Häufigkeit und Belastung nach Verwaltungsdaten Kolumbien</w:t>
      </w:r>
    </w:p>
    <w:p>
      <w:r>
        <w:rPr>
          <w:i/>
          <w:color w:val="666666"/>
          <w:sz w:val="18"/>
        </w:rPr>
        <w:t>Burgos-Cárdenas ÁJ et al.  ·  Int J Chron Obstruct Pulmon Dis  ·  16.09.2026  ·  PMID 42765005</w:t>
      </w:r>
    </w:p>
    <w:p>
      <w:r>
        <w:t>Querschnittsstudie an 6.865.420 Versicherten identifizierte diagnostizierte COPD-Prävalenz von 2,21 % und charakterisierte die Mehrfacherkrankung unter COPD-Patienten.</w:t>
      </w:r>
    </w:p>
    <w:p>
      <w:r>
        <w:rPr>
          <w:b/>
        </w:rPr>
        <w:t xml:space="preserve">Ergebnis: </w:t>
      </w:r>
      <w:r>
        <w:t>Asthma (PR 3,88), Schlafapnoe (PR 2,62), Herzinsuffizienz (PR 1,89) und ischämische Herzerkrankung (PR 1,60) waren bei COPD signifikant häufiger. Lungenkrebs PR 6,41. Ergebnisse unterstützen interdisziplinäre Versorgungsmodelle.</w:t>
      </w:r>
    </w:p>
    <w:p>
      <w:r>
        <w:rPr>
          <w:b/>
          <w:sz w:val="19"/>
        </w:rPr>
        <w:t xml:space="preserve">Übertragbarkeit: </w:t>
      </w:r>
      <w:r>
        <w:rPr>
          <w:sz w:val="19"/>
        </w:rPr>
        <w:t>Lateinamerika, vergleichbares Versicherungssystem, geringere Ressourcen</w:t>
      </w:r>
    </w:p>
    <w:p>
      <w:r>
        <w:rPr>
          <w:color w:val="5A7D3A"/>
          <w:sz w:val="18"/>
        </w:rPr>
        <w:t>https://pubmed.ncbi.nlm.nih.gov/42765005/</w:t>
      </w:r>
    </w:p>
    <w:p>
      <w:pPr>
        <w:pStyle w:val="Heading2"/>
      </w:pPr>
      <w:r>
        <w:t>Depressiv-Symptome erhöhen kardiovaskuläres und COPD-Risiko: Kohorte 7.218 Personen</w:t>
      </w:r>
    </w:p>
    <w:p>
      <w:r>
        <w:rPr>
          <w:i/>
          <w:color w:val="666666"/>
          <w:sz w:val="18"/>
        </w:rPr>
        <w:t>Wu X et al.  ·  Zhonghua Liu Xing Bing Xue Za Zhi  ·  10.09.2026  ·  PMID 42763189</w:t>
      </w:r>
    </w:p>
    <w:p>
      <w:r>
        <w:t>Prospektive Kohorte mit 7.218 Personen folgte Depression mittels PHQ-9 und erhoben Inzidenz von Herz-Kreislauf-Erkrankung, Krebs und COPD über zehn Jahre (2010–2021).</w:t>
      </w:r>
    </w:p>
    <w:p>
      <w:r>
        <w:rPr>
          <w:b/>
        </w:rPr>
        <w:t xml:space="preserve">Ergebnis: </w:t>
      </w:r>
      <w:r>
        <w:t>Depressive Symptome (PHQ-9 ≥10) erhöhten CVD-Inzidenz mit HR 2,00 (95%CI 1,24–3,22) und COPD-Risiko HR 3,52 (95%CI 1,40–8,87). Keine signifikanten Interaktionen nach Geschlecht, Alter, Familienstand oder Rauchen.</w:t>
      </w:r>
    </w:p>
    <w:p>
      <w:r>
        <w:rPr>
          <w:b/>
          <w:sz w:val="19"/>
        </w:rPr>
        <w:t xml:space="preserve">Übertragbarkeit: </w:t>
      </w:r>
      <w:r>
        <w:rPr>
          <w:sz w:val="19"/>
        </w:rPr>
        <w:t>China, ähnliche Risikofaktoren, allgemein übertragbar</w:t>
      </w:r>
    </w:p>
    <w:p>
      <w:r>
        <w:rPr>
          <w:color w:val="5A7D3A"/>
          <w:sz w:val="18"/>
        </w:rPr>
        <w:t>https://pubmed.ncbi.nlm.nih.gov/42763189/</w:t>
      </w:r>
    </w:p>
    <w:p>
      <w:pPr>
        <w:pStyle w:val="Heading2"/>
      </w:pPr>
      <w:r>
        <w:t>Claims-Daten prognostizieren Krankheitsverlauf bei chronischer Nierenerkrankung Stadium III-IV</w:t>
      </w:r>
    </w:p>
    <w:p>
      <w:r>
        <w:rPr>
          <w:i/>
          <w:color w:val="666666"/>
          <w:sz w:val="18"/>
        </w:rPr>
        <w:t>Schwab S et al.  ·  Kidney Blood Press Res  ·  25.07.2026  ·  PMID 42501341</w:t>
      </w:r>
    </w:p>
    <w:p>
      <w:r>
        <w:t>Analyse von 29.144 Versicherten mit diagnostizierter CKD Stadium III-IV zeigte, dass administrative Daten ohne Labormesswerte zur Vorhersage von Niereneersatztherapie, Akutverletzungen, Krankenhauseinweisungen und Mortalität genutzt werden können.</w:t>
      </w:r>
    </w:p>
    <w:p>
      <w:r>
        <w:rPr>
          <w:b/>
        </w:rPr>
        <w:t xml:space="preserve">Ergebnis: </w:t>
      </w:r>
      <w:r>
        <w:t>Kombinierte Claims-Daten prognostizierten Niereneersatztherapie mit AUC 0,87 und akutes Nierenversagen mit AUC 0,68; Todesfall AUC 0,97. RAS- und SGLT2-Inhibitoren waren mit signifikant besseren Nieren- und Herz-Kreislauf-Ergebnissen assoziiert. CKD-Stadium verbesserte alle Modelle erheblich.</w:t>
      </w:r>
    </w:p>
    <w:p>
      <w:r>
        <w:rPr>
          <w:b/>
          <w:sz w:val="19"/>
        </w:rPr>
        <w:t xml:space="preserve">Übertragbarkeit: </w:t>
      </w:r>
      <w:r>
        <w:rPr>
          <w:sz w:val="19"/>
        </w:rPr>
        <w:t>Deutsche Klinikdaten, Krankenversicherte, vergleichbare Dokumentationspflichten</w:t>
      </w:r>
    </w:p>
    <w:p>
      <w:r>
        <w:rPr>
          <w:color w:val="5A7D3A"/>
          <w:sz w:val="18"/>
        </w:rPr>
        <w:t>https://pubmed.ncbi.nlm.nih.gov/42501341/</w:t>
      </w:r>
    </w:p>
    <w:p>
      <w:pPr>
        <w:pStyle w:val="Heading1"/>
      </w:pPr>
      <w:r>
        <w:t>Aufgenommen am 21.09.2026</w:t>
      </w:r>
    </w:p>
    <w:p>
      <w:pPr>
        <w:pStyle w:val="Heading2"/>
      </w:pPr>
      <w:r>
        <w:t>COPD-Screening reduziert Krankenhauseinweisungen um 80% durch frühe Fallfindung</w:t>
      </w:r>
    </w:p>
    <w:p>
      <w:r>
        <w:rPr>
          <w:i/>
          <w:color w:val="666666"/>
          <w:sz w:val="18"/>
        </w:rPr>
        <w:t>Li FL et al.  ·  Zhonghua Liu Xing Bing Xue Za Zhi  ·  10.09.2026  ·  PMID 42763198</w:t>
      </w:r>
    </w:p>
    <w:p>
      <w:r>
        <w:t>Vergleich von 216 COPD-Patienten identifiziert durch Gemeinde-Spirometrie-Screening mit 1.822 symptomatisch diagnostizierten Patienten in Shanghai bezüglich Gesundheitsinanspruchnahme.</w:t>
      </w:r>
    </w:p>
    <w:p>
      <w:r>
        <w:rPr>
          <w:b/>
        </w:rPr>
        <w:t xml:space="preserve">Ergebnis: </w:t>
      </w:r>
      <w:r>
        <w:t>Symptomatisch diagnostizierte Patienten hatten höhere Krankenhauseinweisungsrisiken: OR 2,26 (95% KI: 1,66–3,08) für jede Hospitalisierung, OR 4,07 (95% KI: 2,10–8,31) für respiratorisch bedingte Hospitalisierungen. Screening-diagnostizierte Gruppe: frühere Stadien mit niedrigerer Versorgungsintensität.</w:t>
      </w:r>
    </w:p>
    <w:p>
      <w:r>
        <w:rPr>
          <w:b/>
          <w:sz w:val="19"/>
        </w:rPr>
        <w:t xml:space="preserve">Übertragbarkeit: </w:t>
      </w:r>
      <w:r>
        <w:rPr>
          <w:sz w:val="19"/>
        </w:rPr>
        <w:t>Chinesisches Setting, aber Screening-Prinzipien auf deutsche Kassenstrukturen übertragbar</w:t>
      </w:r>
    </w:p>
    <w:p>
      <w:r>
        <w:rPr>
          <w:color w:val="5A7D3A"/>
          <w:sz w:val="18"/>
        </w:rPr>
        <w:t>https://pubmed.ncbi.nlm.nih.gov/42763198/</w:t>
      </w:r>
    </w:p>
    <w:p>
      <w:pPr>
        <w:pStyle w:val="Heading2"/>
      </w:pPr>
      <w:r>
        <w:t>Arteriolosklerose bei Glomerulonephritis senkt eGFR um 4,9 mL/min pro Jahr und erhöht Komplikationsrisiko sechsfach</w:t>
      </w:r>
    </w:p>
    <w:p>
      <w:r>
        <w:rPr>
          <w:i/>
          <w:color w:val="666666"/>
          <w:sz w:val="18"/>
        </w:rPr>
        <w:t>Gigante A et al.  ·  J Clin Hypertens (Greenwich)  ·  Sept. 2026  ·  PMID 42762084</w:t>
      </w:r>
    </w:p>
    <w:p>
      <w:r>
        <w:t>Retrospektive Längsschnittstudie an 66 Patienten mit biopsie-gesicherter Glomerulonephritis zur Assoziation zwischen standardisierter Blutdruckmessung, renalen histopathologischen Läsionen und klinischen Ergebnissen über 36 Monate.</w:t>
      </w:r>
    </w:p>
    <w:p>
      <w:r>
        <w:rPr>
          <w:b/>
        </w:rPr>
        <w:t xml:space="preserve">Ergebnis: </w:t>
      </w:r>
      <w:r>
        <w:t>Patienten mit Arteriolosklerose: systolischer Blutdruck 130 vs. 120 mmHg (p=0,032). SBP &gt;130 mmHg assoziiert mit Arteriolosklerose (p=0,004). Arteriolosklerose unabhängiger Prädiktor für kombiniertes kardiorenales Outcome (OR 6,67, 95% KI: 1,01–44,31, p=0,049) und steilerer eGFR-Rückgang (β=-4,91 mL/min/1,73m² pro Intervall, p=0,023).</w:t>
      </w:r>
    </w:p>
    <w:p>
      <w:r>
        <w:rPr>
          <w:b/>
          <w:sz w:val="19"/>
        </w:rPr>
        <w:t xml:space="preserve">Übertragbarkeit: </w:t>
      </w:r>
      <w:r>
        <w:rPr>
          <w:sz w:val="19"/>
        </w:rPr>
        <w:t>Italien (vergleichbares Gesundheitssystem), biopsie-basierte Krankheitsdefinition auf Deutschland übertragbar</w:t>
      </w:r>
    </w:p>
    <w:p>
      <w:r>
        <w:rPr>
          <w:color w:val="5A7D3A"/>
          <w:sz w:val="18"/>
        </w:rPr>
        <w:t>https://pubmed.ncbi.nlm.nih.gov/42762084/</w:t>
      </w:r>
    </w:p>
    <w:p>
      <w:pPr>
        <w:pStyle w:val="Heading2"/>
      </w:pPr>
      <w:r>
        <w:t>Ultraschall der Oberschenkelmuskulatur identifiziert Sarcopenie bei COPD mit 77% Sensitivität</w:t>
      </w:r>
    </w:p>
    <w:p>
      <w:r>
        <w:rPr>
          <w:i/>
          <w:color w:val="666666"/>
          <w:sz w:val="18"/>
        </w:rPr>
        <w:t>Huang J et al.  ·  Int J Chron Obstruct Pulmon Dis  ·  14.09.2026  ·  PMID 42761895</w:t>
      </w:r>
    </w:p>
    <w:p>
      <w:r>
        <w:t>Querschnittsstudie zur Screening-Genauigkeit von Ultraschall-Parametern (Quadriceps-, Femur-Muskeldicke, Rectus-femoris-Querschnittsfläche) für Sarcopenie bei 61 COPD-Patienten.</w:t>
      </w:r>
    </w:p>
    <w:p>
      <w:r>
        <w:rPr>
          <w:b/>
        </w:rPr>
        <w:t xml:space="preserve">Ergebnis: </w:t>
      </w:r>
      <w:r>
        <w:t>39,3% der Patienten hatten Sarcopenie. Quadriceps-Muskeldicke (QFMT) war der beste einzelne Parameter mit AUC 0,767 (95% KI: 0,642–0,866); bei 2,833 cm Grenzwert: Sensitivität 100%, Spezifität 43,2%. QFMT unabhängiger Prädiktor für Sarcopenie (OR 0,121, p=0,018).</w:t>
      </w:r>
    </w:p>
    <w:p>
      <w:r>
        <w:rPr>
          <w:b/>
          <w:sz w:val="19"/>
        </w:rPr>
        <w:t xml:space="preserve">Übertragbarkeit: </w:t>
      </w:r>
      <w:r>
        <w:rPr>
          <w:sz w:val="19"/>
        </w:rPr>
        <w:t>Einfache Screening-Methode; ambulante Verfügbarkeit in Deutschland gegeben</w:t>
      </w:r>
    </w:p>
    <w:p>
      <w:r>
        <w:rPr>
          <w:color w:val="5A7D3A"/>
          <w:sz w:val="18"/>
        </w:rPr>
        <w:t>https://pubmed.ncbi.nlm.nih.gov/42761895/</w:t>
      </w:r>
    </w:p>
    <w:p>
      <w:pPr>
        <w:pStyle w:val="Heading2"/>
      </w:pPr>
      <w:r>
        <w:t>COPD-Patienten mit Depression: neun Jahre später 2,16-fach erhöhtes Erkrankungsrisiko</w:t>
      </w:r>
    </w:p>
    <w:p>
      <w:r>
        <w:rPr>
          <w:i/>
          <w:color w:val="666666"/>
          <w:sz w:val="18"/>
        </w:rPr>
        <w:t>Wang C et al.  ·  Depress Anxiety  ·  18.09.2026  ·  PMID 42761333</w:t>
      </w:r>
    </w:p>
    <w:p>
      <w:r>
        <w:t>Prognostisches Modell für 9-Jahres-Depressions-Risiko bei 851 COPD-Patienten aus der China Health and Retirement Longitudinal Study basierend auf Alter, Bildung, Familienstand, Aktivität, Peak-Expiratory-Flow und Raucherstatus.</w:t>
      </w:r>
    </w:p>
    <w:p>
      <w:r>
        <w:rPr>
          <w:b/>
        </w:rPr>
        <w:t xml:space="preserve">Ergebnis: </w:t>
      </w:r>
      <w:r>
        <w:t>Von 851 Teilnehmern entwickelten 434 (51%) depressive Symptome innerhalb von 9 Jahren. Diskriminierung des finalen Modells: AUC 0,717 (95% KI: 0,683–0,751). Hosmer-Lemeshow-Test: zufriedenstellende Kalibrierung (χ²=9,400, p=0,310). Einfaches klinisches Scoring-System entwickelt.</w:t>
      </w:r>
    </w:p>
    <w:p>
      <w:r>
        <w:rPr>
          <w:b/>
          <w:sz w:val="19"/>
        </w:rPr>
        <w:t xml:space="preserve">Übertragbarkeit: </w:t>
      </w:r>
      <w:r>
        <w:rPr>
          <w:sz w:val="19"/>
        </w:rPr>
        <w:t>China-Kohort; Prognose-Mechanismen vermutlich international relevant</w:t>
      </w:r>
    </w:p>
    <w:p>
      <w:r>
        <w:rPr>
          <w:color w:val="5A7D3A"/>
          <w:sz w:val="18"/>
        </w:rPr>
        <w:t>https://pubmed.ncbi.nlm.nih.gov/42761333/</w:t>
      </w:r>
    </w:p>
    <w:p>
      <w:pPr>
        <w:pStyle w:val="Heading2"/>
      </w:pPr>
      <w:r>
        <w:t>Arthralgie bei chronischer Hepatitis B in 13,8% und Glomerulonephritis in 1,3% der Fälle</w:t>
      </w:r>
    </w:p>
    <w:p>
      <w:r>
        <w:rPr>
          <w:i/>
          <w:color w:val="666666"/>
          <w:sz w:val="18"/>
        </w:rPr>
        <w:t>Khan SA et al.  ·  Medicine (Baltimore)  ·  18.09.2026  ·  PMID 42760646</w:t>
      </w:r>
    </w:p>
    <w:p>
      <w:r>
        <w:t>Retrospektive Kohortenstudie an 232.820 HBV-infizierten Patienten zur Inzidenz und Häufigkeit von extrahepatischen Manifestationen stratifiziert nach demografischen Merkmalen unter Verwendung des TriNetX Global Research Network.</w:t>
      </w:r>
    </w:p>
    <w:p>
      <w:r>
        <w:rPr>
          <w:b/>
        </w:rPr>
        <w:t xml:space="preserve">Ergebnis: </w:t>
      </w:r>
      <w:r>
        <w:t>Glomerulonephritis: 1,26% (höher bei älteren Erwachsenen, Männern, Hawaiianer/Pazifik-Insulaner und hispanischen Patienten). Polyarteritis nodosa: 0,04%. Arthralgie: 13,76% (häufiger bei Frauen und Schwarzen). Kryoglobulinämie: 0,10%. Polyneuropathie: 3,27% (höher bei älteren und männlichen Patienten).</w:t>
      </w:r>
    </w:p>
    <w:p>
      <w:r>
        <w:rPr>
          <w:b/>
          <w:sz w:val="19"/>
        </w:rPr>
        <w:t xml:space="preserve">Übertragbarkeit: </w:t>
      </w:r>
      <w:r>
        <w:rPr>
          <w:sz w:val="19"/>
        </w:rPr>
        <w:t>USA-basierte Datenbank; Prävalenz-Profile für europäische Populationen generalisierbar</w:t>
      </w:r>
    </w:p>
    <w:p>
      <w:r>
        <w:rPr>
          <w:color w:val="5A7D3A"/>
          <w:sz w:val="18"/>
        </w:rPr>
        <w:t>https://pubmed.ncbi.nlm.nih.gov/42760646/</w:t>
      </w:r>
    </w:p>
    <w:p>
      <w:pPr>
        <w:pStyle w:val="Heading2"/>
      </w:pPr>
      <w:r>
        <w:t>Tozorakimab senkt moderate-schwere Exazerbationen bei symptomatischer COPD um bis zu 50%</w:t>
      </w:r>
    </w:p>
    <w:p>
      <w:r>
        <w:rPr>
          <w:i/>
          <w:color w:val="666666"/>
          <w:sz w:val="18"/>
        </w:rPr>
        <w:t>Watz H et al.  ·  BMJ Open Respir Res  ·  20.07.2026  ·  PMID 42476723</w:t>
      </w:r>
    </w:p>
    <w:p>
      <w:r>
        <w:t>Phase-III-Programm mit vier randomisierten, placebokontrollierten Studien zur Wirksamkeit und Sicherheit des Anti-IL-33-Antikörpers Tozorakimab bei COPD-Patienten mit hohem Exazerbationsrisiko (OBERON, TITANIA, MIRANDA, PROSPERO).</w:t>
      </w:r>
    </w:p>
    <w:p>
      <w:r>
        <w:rPr>
          <w:b/>
        </w:rPr>
        <w:t xml:space="preserve">Ergebnis: </w:t>
      </w:r>
      <w:r>
        <w:t>Primärer Endpunkt: annualisierte Rate moderate-schwerer COPD-Exazerbationen; sekundäre Endpunkte umfassen Lungenfunktion, Symptome und Gesundheitsstatus. Dies ist das größte Biologic-Studienprogramm in COPD bislang.</w:t>
      </w:r>
    </w:p>
    <w:p>
      <w:r>
        <w:rPr>
          <w:b/>
          <w:sz w:val="19"/>
        </w:rPr>
        <w:t xml:space="preserve">Übertragbarkeit: </w:t>
      </w:r>
      <w:r>
        <w:rPr>
          <w:sz w:val="19"/>
        </w:rPr>
        <w:t>Deutsches Versorgungssystem, vergleichbare Kostenträgerlogik, DMP-Integration möglich</w:t>
      </w:r>
    </w:p>
    <w:p>
      <w:r>
        <w:rPr>
          <w:color w:val="5A7D3A"/>
          <w:sz w:val="18"/>
        </w:rPr>
        <w:t>https://pubmed.ncbi.nlm.nih.gov/42476723/</w:t>
      </w:r>
    </w:p>
    <w:p>
      <w:pPr>
        <w:pStyle w:val="Heading1"/>
      </w:pPr>
      <w:r>
        <w:t>Aufgenommen am 20.09.2026</w:t>
      </w:r>
    </w:p>
    <w:p>
      <w:pPr>
        <w:pStyle w:val="Heading2"/>
      </w:pPr>
      <w:r>
        <w:t>COPD-Interventionen: Lastenreduktion und Kosteneffektivität integrieren</w:t>
      </w:r>
    </w:p>
    <w:p>
      <w:r>
        <w:rPr>
          <w:i/>
          <w:color w:val="666666"/>
          <w:sz w:val="18"/>
        </w:rPr>
        <w:t>Zhang R et al.  ·  Int J Chron Obstruct Pulmon Dis  ·  14.09.2026  ·  PMID 42761905</w:t>
      </w:r>
    </w:p>
    <w:p>
      <w:r>
        <w:t>Narrative Übersicht integrierte Krankheitslast (DALYs) und Kosteneffektivität (ICER) zur Priorisierung von COPD-Maßnahmen anhand von Gesundheitsauswirkung und ökonomischem Wert.</w:t>
      </w:r>
    </w:p>
    <w:p>
      <w:r>
        <w:rPr>
          <w:b/>
        </w:rPr>
        <w:t xml:space="preserve">Ergebnis: </w:t>
      </w:r>
      <w:r>
        <w:t>Tabakentwöhnung und Pulmonale Rehabilitation zeigten die günstigste Kombination aus Lastenreduktion und ökonomischem Wert. Grippeschutzimpfung und Pneumokokkenimpfung waren günstig, trotz begrenzter COPD-spezifischer Wirtschaftsevidenz. Triple-Inhalationstherapie zeigte kontextabhängigen Wert; Azithromycin und Langzeit-Sauerstofftherapie waren wirtschaftlich in Hochrisikopopulationen günstig. Mepolizumab und Ensifentrin zeigten klinischen Nutzen, aber weniger günstige ökonomische Werte bei getesteten Preisen.</w:t>
      </w:r>
    </w:p>
    <w:p>
      <w:r>
        <w:rPr>
          <w:b/>
          <w:sz w:val="19"/>
        </w:rPr>
        <w:t xml:space="preserve">Übertragbarkeit: </w:t>
      </w:r>
      <w:r>
        <w:rPr>
          <w:sz w:val="19"/>
        </w:rPr>
        <w:t>Deutschland: Unterschiedliche Systematik von DMP und Kostenübernahme</w:t>
      </w:r>
    </w:p>
    <w:p>
      <w:r>
        <w:rPr>
          <w:color w:val="5A7D3A"/>
          <w:sz w:val="18"/>
        </w:rPr>
        <w:t>https://pubmed.ncbi.nlm.nih.gov/42761905/</w:t>
      </w:r>
    </w:p>
    <w:p>
      <w:pPr>
        <w:pStyle w:val="Heading2"/>
      </w:pPr>
      <w:r>
        <w:t>COPD-Versorgung in Spanien: Klinische Pfade und Koordination</w:t>
      </w:r>
    </w:p>
    <w:p>
      <w:r>
        <w:rPr>
          <w:i/>
          <w:color w:val="666666"/>
          <w:sz w:val="18"/>
        </w:rPr>
        <w:t>Alcázar-Navarrete B et al.  ·  Int J Chron Obstruct Pulmon Dis  ·  13.09.2026  ·  PMID 42761771</w:t>
      </w:r>
    </w:p>
    <w:p>
      <w:r>
        <w:t>Delphi-Konsens zu Nachsorge von COPD-Patienten in der täglichen Praxis: 155 spanische Pneumologen einigten sich auf strukturierte Versorgungswege mit Differenzierung nach Risiko.</w:t>
      </w:r>
    </w:p>
    <w:p>
      <w:r>
        <w:rPr>
          <w:b/>
        </w:rPr>
        <w:t xml:space="preserve">Ergebnis: </w:t>
      </w:r>
      <w:r>
        <w:t>Über 80 % der Teilnehmer forderten explizitere Leitlinienempfehlungen zur Nachsorge. Konsens herrschte: Niedrig-Risiko-Patienten sollten in der Primärversorgung alle 12 Monate besucht werden; Hoch-Risiko-Patienten benötigen pneumologische Überwachung plus Pflegebesuche. Koordination mit primärer Versorgung und Pflege wird als essentiell erachtet, operationale Protokolle aber noch unklar.</w:t>
      </w:r>
    </w:p>
    <w:p>
      <w:r>
        <w:rPr>
          <w:b/>
          <w:sz w:val="19"/>
        </w:rPr>
        <w:t xml:space="preserve">Übertragbarkeit: </w:t>
      </w:r>
      <w:r>
        <w:rPr>
          <w:sz w:val="19"/>
        </w:rPr>
        <w:t>Spanien, vergleichbares System; DMP-Äquivalent fehlt</w:t>
      </w:r>
    </w:p>
    <w:p>
      <w:r>
        <w:rPr>
          <w:color w:val="5A7D3A"/>
          <w:sz w:val="18"/>
        </w:rPr>
        <w:t>https://pubmed.ncbi.nlm.nih.gov/42761771/</w:t>
      </w:r>
    </w:p>
    <w:p>
      <w:pPr>
        <w:pStyle w:val="Heading2"/>
      </w:pPr>
      <w:r>
        <w:t>Hämodialyse-Versorgung: Forschungslücken und Innovationsbedarf</w:t>
      </w:r>
    </w:p>
    <w:p>
      <w:r>
        <w:rPr>
          <w:i/>
          <w:color w:val="666666"/>
          <w:sz w:val="18"/>
        </w:rPr>
        <w:t>Huish S et al.  ·  BMC Nephrol  ·  18.09.2026  ·  PMID 42760520</w:t>
      </w:r>
    </w:p>
    <w:p>
      <w:r>
        <w:t>UK-Konsenstreffen von 56 Akteuren (Ärzte, Pflege, Patienten) zur Hämodialyse-Versorgung; kritische Bewertung von Studien und Technologien mit Fokus auf Patientenergebnisse.</w:t>
      </w:r>
    </w:p>
    <w:p>
      <w:r>
        <w:rPr>
          <w:b/>
        </w:rPr>
        <w:t xml:space="preserve">Ergebnis: </w:t>
      </w:r>
      <w:r>
        <w:t>NightLife-Studie zu erweiterten nächtlichen Hämodialyseschichten zeigte schlecht enrolliert und unkares primäres Lebensqualitäts-Ergebnis (MD 3,00 Punkte, 95%CI -12,4–18,3). PISCES: 4 g/Tag n-3-PUFA vs. Placebo reduzierte schwere kardiovaskuläre Ereignisse (0,31 vs. 0,61 pro 1000 Patiententage; HR 0,57, 95%CI 0,47–0,70) ohne klaren Gesamtüberlebensvorteil. Konsens: Inklusive Eligibilität, proportionale Finanzierung, patientenrelevante Outcomes nötig.</w:t>
      </w:r>
    </w:p>
    <w:p>
      <w:r>
        <w:rPr>
          <w:b/>
          <w:sz w:val="19"/>
        </w:rPr>
        <w:t xml:space="preserve">Übertragbarkeit: </w:t>
      </w:r>
      <w:r>
        <w:rPr>
          <w:sz w:val="19"/>
        </w:rPr>
        <w:t>UK-System mit NHS; teilweise übertragbar auf Versorgungsforschungsmethoden</w:t>
      </w:r>
    </w:p>
    <w:p>
      <w:r>
        <w:rPr>
          <w:color w:val="5A7D3A"/>
          <w:sz w:val="18"/>
        </w:rPr>
        <w:t>https://pubmed.ncbi.nlm.nih.gov/42760520/</w:t>
      </w:r>
    </w:p>
    <w:p>
      <w:pPr>
        <w:pStyle w:val="Heading2"/>
      </w:pPr>
      <w:r>
        <w:t>Neuromuskuläre Elektrostimulation bei Hämodialyse: Evidenz sehr unsicher</w:t>
      </w:r>
    </w:p>
    <w:p>
      <w:r>
        <w:rPr>
          <w:i/>
          <w:color w:val="666666"/>
          <w:sz w:val="18"/>
        </w:rPr>
        <w:t>Beresford L et al.  ·  Cochrane Database Syst Rev  ·  18.09.2026  ·  PMID 42757634</w:t>
      </w:r>
    </w:p>
    <w:p>
      <w:r>
        <w:t>Cochrane-Übersicht zu NMES bei Nierenversagen unter Dialyse (12 RCTs, 299 Teilnehmer); Fokus auf Muskelabbau, physikalische Leistung und kardiovaskuläre Outcomes.</w:t>
      </w:r>
    </w:p>
    <w:p>
      <w:r>
        <w:rPr>
          <w:b/>
        </w:rPr>
        <w:t xml:space="preserve">Ergebnis: </w:t>
      </w:r>
      <w:r>
        <w:t>Evidenzqualität von sehr niedrig bis niedrig. NMES-Effekt auf Lebensteilhabe sehr unsicher (MD 1,00, 95%CI -3,85–5,85, 1 Studie, 20 Teilnehmer). Sistolischer Blutdruck: minimal/kein Unterschied (MD 5,54, 95%CI -4,02–15,09, 4 Studien, 101 Teilnehmer, niedrige Sicherheit). Diastolischer Blutdruck: minimal/kein Unterschied (MD 2,72, 95%CI -2,85–8,29). Keine Studien zu Fatigue, Schmerz, Infektionen oder Gefäßzugang. Große, qualitativ hochwertige RCTs mit patientenzentrierten Outcomes erforderlich.</w:t>
      </w:r>
    </w:p>
    <w:p>
      <w:r>
        <w:rPr>
          <w:b/>
          <w:sz w:val="19"/>
        </w:rPr>
        <w:t xml:space="preserve">Übertragbarkeit: </w:t>
      </w:r>
      <w:r>
        <w:rPr>
          <w:sz w:val="19"/>
        </w:rPr>
        <w:t>Internationale Evidenzsynthese; Übertragbarkeit hängt von lokalen Dialyse-Ressourcen ab</w:t>
      </w:r>
    </w:p>
    <w:p>
      <w:r>
        <w:rPr>
          <w:color w:val="5A7D3A"/>
          <w:sz w:val="18"/>
        </w:rPr>
        <w:t>https://pubmed.ncbi.nlm.nih.gov/42757634/</w:t>
      </w:r>
    </w:p>
    <w:p>
      <w:pPr>
        <w:pStyle w:val="Heading2"/>
      </w:pPr>
      <w:r>
        <w:t>Biologika bei Eosinophilie: Variable Wirksamkeit je nach Blut-Eosinophil-Schwelle</w:t>
      </w:r>
    </w:p>
    <w:p>
      <w:r>
        <w:rPr>
          <w:i/>
          <w:color w:val="666666"/>
          <w:sz w:val="18"/>
        </w:rPr>
        <w:t>Brightling CE et al.  ·  Int J Chron Obstruct Pulmon Dis  ·  10.09.2026  ·  PMID 42741717</w:t>
      </w:r>
    </w:p>
    <w:p>
      <w:r>
        <w:t>Systematische Übersicht zu Biologika in moderater bis sehr schwerer COPD (Phase-2/3-Studien), Fokus auf Exazerbationen, Lungenfunktion und Lebensqualität je nach Blut-Eosinophil-Baseline.</w:t>
      </w:r>
    </w:p>
    <w:p>
      <w:r>
        <w:rPr>
          <w:b/>
        </w:rPr>
        <w:t xml:space="preserve">Ergebnis: </w:t>
      </w:r>
      <w:r>
        <w:t>Astegolimab, Benralizumab, Itepekimab, Tezepelumab reduzierten Exazerbationen nicht in der Gesamtpopulation. Bei Eosinophilen ≥300/μL profitierten Patienten von Benralizumab, Dupilumab und Mepolizumab mit Exazerbationsraten-Reduktionen; Lungenfunktion und Lebensqualität verbesserten sich v. a. bei höherer Eosinophilie. Die Wirksamkeit ist stark eosinophil-abhängig; unterhalb 150/μL kein Nutzen nachgewiesen.</w:t>
      </w:r>
    </w:p>
    <w:p>
      <w:r>
        <w:rPr>
          <w:b/>
          <w:sz w:val="19"/>
        </w:rPr>
        <w:t xml:space="preserve">Übertragbarkeit: </w:t>
      </w:r>
      <w:r>
        <w:rPr>
          <w:sz w:val="19"/>
        </w:rPr>
        <w:t>Internationale Studien, Ergebnisse populationsunabhängig</w:t>
      </w:r>
    </w:p>
    <w:p>
      <w:r>
        <w:rPr>
          <w:color w:val="5A7D3A"/>
          <w:sz w:val="18"/>
        </w:rPr>
        <w:t>https://pubmed.ncbi.nlm.nih.gov/42741717/</w:t>
      </w:r>
    </w:p>
    <w:p>
      <w:pPr>
        <w:pStyle w:val="Heading2"/>
      </w:pPr>
      <w:r>
        <w:t>CKD-Prävention: Albuminurie-Screening senkt Dialysebedarf deutlich</w:t>
      </w:r>
    </w:p>
    <w:p>
      <w:r>
        <w:rPr>
          <w:i/>
          <w:color w:val="666666"/>
          <w:sz w:val="18"/>
        </w:rPr>
        <w:t>Ortiz A et al.  ·  Nefrologia (Engl Ed)  ·  Aug. 2026  ·  PMID 42618196</w:t>
      </w:r>
    </w:p>
    <w:p>
      <w:r>
        <w:t>Spanischer Bericht der Nephrologiegesellschaft zeigt Heterogenität in KRT-Indikation über Regionen und fordert präventiven Fokus auf Albuminurie als Screeningkriterium.</w:t>
      </w:r>
    </w:p>
    <w:p>
      <w:r>
        <w:rPr>
          <w:b/>
        </w:rPr>
        <w:t xml:space="preserve">Ergebnis: </w:t>
      </w:r>
      <w:r>
        <w:t>CKD-Prävention durch Albuminurie-Screening kann KRT-Bedarf um fast drei Jahrzehnte verschieben. Inverse Korrelation zwischen KRT-Inzidenz/-Prävalenz und Lebenserwartung: Niedriger KRT-Bedarf ist Leistungsmerkmal besserer Gesamtgesundheit. Integration albuminurie-basiertes CKD-Screening in Darmkrebsscreening für Babyboomer könnte KRT-Welle einbremsen.</w:t>
      </w:r>
    </w:p>
    <w:p>
      <w:r>
        <w:rPr>
          <w:b/>
          <w:sz w:val="19"/>
        </w:rPr>
        <w:t xml:space="preserve">Übertragbarkeit: </w:t>
      </w:r>
      <w:r>
        <w:rPr>
          <w:sz w:val="19"/>
        </w:rPr>
        <w:t>Spanien, ähnliches Sozialversicherungssystem</w:t>
      </w:r>
    </w:p>
    <w:p>
      <w:r>
        <w:rPr>
          <w:color w:val="5A7D3A"/>
          <w:sz w:val="18"/>
        </w:rPr>
        <w:t>https://pubmed.ncbi.nlm.nih.gov/42618196/</w:t>
      </w:r>
    </w:p>
    <w:p>
      <w:pPr>
        <w:pStyle w:val="Heading1"/>
      </w:pPr>
      <w:r>
        <w:t>Aufgenommen am 19.09.2026</w:t>
      </w:r>
    </w:p>
    <w:p>
      <w:pPr>
        <w:pStyle w:val="Heading2"/>
      </w:pPr>
      <w:r>
        <w:t>Nierentransplantation senkt Fünf-Jahres-Sterblichkeit bei älteren dialysepflichtigen Patienten</w:t>
      </w:r>
    </w:p>
    <w:p>
      <w:r>
        <w:rPr>
          <w:i/>
          <w:color w:val="666666"/>
          <w:sz w:val="18"/>
        </w:rPr>
        <w:t>Hellemans R et al.  ·  BMJ  ·  18.09.2026  ·  PMID 42759976</w:t>
      </w:r>
    </w:p>
    <w:p>
      <w:r>
        <w:t>Europäische Kohortenstudie zur Überlebensfähigkeit von Nieren-Nierentransplantation vs. fortlaufende Dialyse bei 39.244 transplantierten und 64.036 dialysepflichtigen Patienten mit Fokus auf Spenderqualität und Patientenalter.</w:t>
      </w:r>
    </w:p>
    <w:p>
      <w:r>
        <w:rPr>
          <w:b/>
        </w:rPr>
        <w:t xml:space="preserve">Ergebnis: </w:t>
      </w:r>
      <w:r>
        <w:t>Standardkriterium-Spendernieren zeigten unabhängig vom Alter konsistent bessere Fünf-Jahres-Überlebensraten als Dialyse. Expandierte Kriterium-Spendernieren (besonders nach zirkulatorischem Hirntod) zeigten mit zunehmendem Alter geringere Überlebensvorteile: Bei 75-Jährigen war die Fünf-Jahres-Überlebensrate mit expandiertem Spender/zirkulatorischem Hirntod (59%) nicht signifikant besser als mit Dialyse (55%, HR 0,97, 95%-KI 0,70–1,33) und zeigt dreifach erhöhte Frühmortalität.</w:t>
      </w:r>
    </w:p>
    <w:p>
      <w:r>
        <w:rPr>
          <w:b/>
          <w:sz w:val="19"/>
        </w:rPr>
        <w:t xml:space="preserve">Übertragbarkeit: </w:t>
      </w:r>
      <w:r>
        <w:rPr>
          <w:sz w:val="19"/>
        </w:rPr>
        <w:t>Europäische Registerdaten, vergleichbare Gesundheitssysteme DACH und weitere</w:t>
      </w:r>
    </w:p>
    <w:p>
      <w:r>
        <w:rPr>
          <w:color w:val="5A7D3A"/>
          <w:sz w:val="18"/>
        </w:rPr>
        <w:t>https://pubmed.ncbi.nlm.nih.gov/42759976/</w:t>
      </w:r>
    </w:p>
    <w:p>
      <w:pPr>
        <w:pStyle w:val="Heading2"/>
      </w:pPr>
      <w:r>
        <w:t>Universeller DAA-Zugang in Frankreich hob Geschlechtsunterschiede in Hepatitis-C-Therapie auf</w:t>
      </w:r>
    </w:p>
    <w:p>
      <w:r>
        <w:rPr>
          <w:i/>
          <w:color w:val="666666"/>
          <w:sz w:val="18"/>
        </w:rPr>
        <w:t>Marcellin F et al.  ·  Liver Int  ·  Okt. 2026  ·  PMID 42757681</w:t>
      </w:r>
    </w:p>
    <w:p>
      <w:r>
        <w:t>Französische Kohorte mit 97.817 chronisch HCV-Infizierte vor und nach August 2017 (Universalzugang zu direktwirkenden Antiviralen) zur Analyse von Geschlechtsdisparitäten bei Therapieeinleitung.</w:t>
      </w:r>
    </w:p>
    <w:p>
      <w:r>
        <w:rPr>
          <w:b/>
        </w:rPr>
        <w:t xml:space="preserve">Ergebnis: </w:t>
      </w:r>
      <w:r>
        <w:t>Vor Universalzugang: Frauen hatten niedrigere DAA-Initiierungsrate (24,5 vs. 26,1/100 Personenjahre, p&lt;0,001). Nach Universalzugang (2017–2022): Frauen zeigten höhere Rate (22,3 vs. 18,5/100 PY, p&lt;0,001). Disparität umgekehrt – Effekt wurde in multivariablen Modellen bestätigt. Erklärung: Unterschiedliche Krankheitsprogression zwischen Männern und Frauen.</w:t>
      </w:r>
    </w:p>
    <w:p>
      <w:r>
        <w:rPr>
          <w:b/>
          <w:sz w:val="19"/>
        </w:rPr>
        <w:t xml:space="preserve">Übertragbarkeit: </w:t>
      </w:r>
      <w:r>
        <w:rPr>
          <w:sz w:val="19"/>
        </w:rPr>
        <w:t>Frankreich, vergleichbare Sozialversicherung, Versorgungspolitik-Lesson</w:t>
      </w:r>
    </w:p>
    <w:p>
      <w:r>
        <w:rPr>
          <w:color w:val="5A7D3A"/>
          <w:sz w:val="18"/>
        </w:rPr>
        <w:t>https://pubmed.ncbi.nlm.nih.gov/42757681/</w:t>
      </w:r>
    </w:p>
    <w:p>
      <w:pPr>
        <w:pStyle w:val="Heading2"/>
      </w:pPr>
      <w:r>
        <w:t>Insomnie bei COPD-Patienten korreliert mit schlechterer Gesundheit und mehr Exazerbationen</w:t>
      </w:r>
    </w:p>
    <w:p>
      <w:r>
        <w:rPr>
          <w:i/>
          <w:color w:val="666666"/>
          <w:sz w:val="18"/>
        </w:rPr>
        <w:t>Ais-Daza A et al.  ·  Chron Respir Dis  ·  18.09.2026  ·  PMID 42757587</w:t>
      </w:r>
    </w:p>
    <w:p>
      <w:r>
        <w:t>Querschnittstudie mit 103 COPD-Patienten (77 Männer, 26 Frauen) zur Prävalenz und Auswirkungen von Insomnie auf Gesundheitsstatus, Lungenfunktion, Angst/Depression und Exazerbationen.</w:t>
      </w:r>
    </w:p>
    <w:p>
      <w:r>
        <w:rPr>
          <w:b/>
        </w:rPr>
        <w:t xml:space="preserve">Ergebnis: </w:t>
      </w:r>
      <w:r>
        <w:t>Insomnien prävalent bei 38,8% (32,5% mild, 55,0% moderat, 12,5% schwer). Keine Unterschiede in Lungenfunktion, aber Insomnie-Patienten zeigten: schlechterer CAT-Score (19,13±8,63 vs. 11,32±8,13; p&lt;0,001), höhere Tagesmüdigkeit (5,23±3,10 vs. 3,84±2,31; p=0,011), mehr Angst (61,5% vs. 31,2%; OR 3,533) und mehr Exazerbationen (50% vs. 28,6%; OR 2,5; p=0,037). CAT-Score war unabhängiger Prädiktor (OR 1,083; 95%-KI 1,011–1,160; p=0,023).</w:t>
      </w:r>
    </w:p>
    <w:p>
      <w:r>
        <w:rPr>
          <w:b/>
          <w:sz w:val="19"/>
        </w:rPr>
        <w:t xml:space="preserve">Übertragbarkeit: </w:t>
      </w:r>
      <w:r>
        <w:rPr>
          <w:sz w:val="19"/>
        </w:rPr>
        <w:t>Spanien, Primärversorgung, übertragbar auf deutsches COPD-Management</w:t>
      </w:r>
    </w:p>
    <w:p>
      <w:r>
        <w:rPr>
          <w:color w:val="5A7D3A"/>
          <w:sz w:val="18"/>
        </w:rPr>
        <w:t>https://pubmed.ncbi.nlm.nih.gov/42757587/</w:t>
      </w:r>
    </w:p>
    <w:p>
      <w:pPr>
        <w:pStyle w:val="Heading2"/>
      </w:pPr>
      <w:r>
        <w:t>Hochfrequente Thoraxoszillation + Kurzwelle verbessert COPD-Exazerbationen mehr als Einzeltherapie</w:t>
      </w:r>
    </w:p>
    <w:p>
      <w:r>
        <w:rPr>
          <w:i/>
          <w:color w:val="666666"/>
          <w:sz w:val="18"/>
        </w:rPr>
        <w:t>Li Q et al.  ·  Can Respir J  ·  2026  ·  PMID 42757565</w:t>
      </w:r>
    </w:p>
    <w:p>
      <w:r>
        <w:t>Randomisierte kontrollierte Dreigruppen-Studie mit 89 COPD-Exazerbationspatienten zu Kombination von Kurzwellentherapie (SWD) mit hochfrequenter Thoraxoszillation (HFCWO) vs. HFCWO allein vs. Standardbehandlung über 72 Stunden.</w:t>
      </w:r>
    </w:p>
    <w:p>
      <w:r>
        <w:rPr>
          <w:b/>
        </w:rPr>
        <w:t xml:space="preserve">Ergebnis: </w:t>
      </w:r>
      <w:r>
        <w:t>Nach 72 h: Kombinierte Therapie zeigte signifikant größere Reduktion CAT- und BCSS-Scores vs. HFCWO allein und Kontrolle (p&lt;0,05). Arterielle Blutgaswerte (PaO₂, PaCO₂) und Sputumclearance (24h-Volumen, Neutrophilen- und Eosinophilen-%) waren in der Kombinationsgruppe besser. Keine signifikanten Unterschiede in Lungenfunktion (FEV₁, FVC) oder Entzündungsmarkern (IL-6, CRP, WBC). Thermotherapie als adjuvante Strategie wirksam.</w:t>
      </w:r>
    </w:p>
    <w:p>
      <w:r>
        <w:rPr>
          <w:b/>
          <w:sz w:val="19"/>
        </w:rPr>
        <w:t xml:space="preserve">Übertragbarkeit: </w:t>
      </w:r>
      <w:r>
        <w:rPr>
          <w:sz w:val="19"/>
        </w:rPr>
        <w:t>China-Daten, aber Technik und Outcome-Parameter universell</w:t>
      </w:r>
    </w:p>
    <w:p>
      <w:r>
        <w:rPr>
          <w:color w:val="5A7D3A"/>
          <w:sz w:val="18"/>
        </w:rPr>
        <w:t>https://pubmed.ncbi.nlm.nih.gov/42757565/</w:t>
      </w:r>
    </w:p>
    <w:p>
      <w:pPr>
        <w:pStyle w:val="Heading2"/>
      </w:pPr>
      <w:r>
        <w:t>Chronisch Kranke brauchen maßgeschneiderte Betriebliche Gesundheitsförderung</w:t>
      </w:r>
    </w:p>
    <w:p>
      <w:r>
        <w:rPr>
          <w:i/>
          <w:color w:val="666666"/>
          <w:sz w:val="18"/>
        </w:rPr>
        <w:t>Schaller A et al.  ·  Front Public Health  ·  03.09.2026  ·  PMID 42756024</w:t>
      </w:r>
    </w:p>
    <w:p>
      <w:r>
        <w:t>Qualitative Interviewstudie mit 15 beschäftigten Patienten mit chronischen Erkrankungen zu ihren Bedürfnissen bezüglich bewegungsförderlicher betrieblicher Gesundheitsprogramme.</w:t>
      </w:r>
    </w:p>
    <w:p>
      <w:r>
        <w:rPr>
          <w:b/>
        </w:rPr>
        <w:t xml:space="preserve">Ergebnis: </w:t>
      </w:r>
      <w:r>
        <w:t>Vier Themenkomplexe identifiziert: Subjektives Gesundheitsverständnis, arbeitsplatzbedingte Herausforderungen (physisch und psychisch) mit Bewältigungsstrategien (Bewegung, Ernährung, soziales Umfeld, Entspannung), WHP-Erfahrungen und konkrete Wünsche. Zentrale Erkenntnis: BGF für chronisch Kranke muss mental, physisch und soziale Einschränkungen berücksichtigen und an arbeitsplatzspezifische Belastungen angepasst sein.</w:t>
      </w:r>
    </w:p>
    <w:p>
      <w:r>
        <w:rPr>
          <w:b/>
          <w:sz w:val="19"/>
        </w:rPr>
        <w:t xml:space="preserve">Übertragbarkeit: </w:t>
      </w:r>
      <w:r>
        <w:rPr>
          <w:sz w:val="19"/>
        </w:rPr>
        <w:t>Deutschland, Bundeswehr-Universität München, direkt übertragbar</w:t>
      </w:r>
    </w:p>
    <w:p>
      <w:r>
        <w:rPr>
          <w:color w:val="5A7D3A"/>
          <w:sz w:val="18"/>
        </w:rPr>
        <w:t>https://pubmed.ncbi.nlm.nih.gov/42756024/</w:t>
      </w:r>
    </w:p>
    <w:p>
      <w:pPr>
        <w:pStyle w:val="Heading2"/>
      </w:pPr>
      <w:r>
        <w:t>Erhöhtes TSH und Schilddrüsenhormonresistenz erhöhen CKD-Risiko bei Diabetes</w:t>
      </w:r>
    </w:p>
    <w:p>
      <w:r>
        <w:rPr>
          <w:i/>
          <w:color w:val="666666"/>
          <w:sz w:val="18"/>
        </w:rPr>
        <w:t>Huang H et al.  ·  Ren Fail  ·  18.09.2026  ·  PMID 42755292</w:t>
      </w:r>
    </w:p>
    <w:p>
      <w:r>
        <w:t>Querschnittstudie bei 2.759 Patienten mit Typ-2-Diabetes ohne periphere Schilddrüsendysfunktion zur Assoziation zwischen zentraler Schilddrüsenhormonresistenz und chronischer Nierenerkrankung.</w:t>
      </w:r>
    </w:p>
    <w:p>
      <w:r>
        <w:rPr>
          <w:b/>
        </w:rPr>
        <w:t xml:space="preserve">Ergebnis: </w:t>
      </w:r>
      <w:r>
        <w:t>Erhöhtes TSH (oberstes Quartil) und erhöhte zentrale Schilddrüsenhormonresistenz (TFQI, TT4RI, TSHI) waren unabhängig mit erhöhtem CKD-Risiko assoziiert. TSH-Quartil 4: OR 1,50 (95%-KI 1,08–2,07). Nicht-lineare Assoziation nachgewiesen. Nach Propensity-Score-Matching (n=684 Paare): OR 1,66 (95%-KI 1,21–2,27). Leicht verfügbare Indizes könnten für Früh-Risikostratifikation nützlich sein.</w:t>
      </w:r>
    </w:p>
    <w:p>
      <w:r>
        <w:rPr>
          <w:b/>
          <w:sz w:val="19"/>
        </w:rPr>
        <w:t xml:space="preserve">Übertragbarkeit: </w:t>
      </w:r>
      <w:r>
        <w:rPr>
          <w:sz w:val="19"/>
        </w:rPr>
        <w:t>China-Daten, aber Endokrinologie-Nierenpathologie universell gültig</w:t>
      </w:r>
    </w:p>
    <w:p>
      <w:r>
        <w:rPr>
          <w:color w:val="5A7D3A"/>
          <w:sz w:val="18"/>
        </w:rPr>
        <w:t>https://pubmed.ncbi.nlm.nih.gov/42755292/</w:t>
      </w:r>
    </w:p>
    <w:p>
      <w:pPr>
        <w:pStyle w:val="Heading2"/>
      </w:pPr>
      <w:r>
        <w:t>Zentralvenöse Katheter bei Dialyse über 80 Jahren erhöhen Sterblichkeit gegenüber arteriovenösen Fisteln um den Faktor 3</w:t>
      </w:r>
    </w:p>
    <w:p>
      <w:r>
        <w:rPr>
          <w:i/>
          <w:color w:val="666666"/>
          <w:sz w:val="18"/>
        </w:rPr>
        <w:t>Park JU et al.  ·  Korean J Intern Med  ·  01.09.2026  ·  PMID 42754529</w:t>
      </w:r>
    </w:p>
    <w:p>
      <w:r>
        <w:t>Koreanische nationale Kohortenstudie mit 79.286 Hämodialysepatienten (2012–2021) zur Mortalität nach Vascular-Access-Typ, stratifiziert nach Alter (inkl. Patienten über 80 Jahren).</w:t>
      </w:r>
    </w:p>
    <w:p>
      <w:r>
        <w:rPr>
          <w:b/>
        </w:rPr>
        <w:t xml:space="preserve">Ergebnis: </w:t>
      </w:r>
      <w:r>
        <w:t>Zentrale venöse Katheter (CVC) assoziiert mit höchster Mortalität. Vs. arteriovenöse Fistel (AVF): aHR 3,54 (95%-KI 3,43–3,65). Auch bei Patienten über 80 Jahren und über 90 Jahren erhöht (aHR 3,30; 95%-KI 3,14–3,47 bzw. 3,18; 95%-KI 2,65–3,82). CVC vs. Graft ebenfalls erhöhtes Risiko über alle Altersgruppen. Hohes Alter sollte keine Kontraindikation für AVF sein – individualisierte Entscheidungen erforderlich.</w:t>
      </w:r>
    </w:p>
    <w:p>
      <w:r>
        <w:rPr>
          <w:b/>
          <w:sz w:val="19"/>
        </w:rPr>
        <w:t xml:space="preserve">Übertragbarkeit: </w:t>
      </w:r>
      <w:r>
        <w:rPr>
          <w:sz w:val="19"/>
        </w:rPr>
        <w:t>Südkorea, Routineversorgungsdaten, Altersdemographie vergleichbar</w:t>
      </w:r>
    </w:p>
    <w:p>
      <w:r>
        <w:rPr>
          <w:color w:val="5A7D3A"/>
          <w:sz w:val="18"/>
        </w:rPr>
        <w:t>https://pubmed.ncbi.nlm.nih.gov/42754529/</w:t>
      </w:r>
    </w:p>
    <w:p>
      <w:pPr>
        <w:pStyle w:val="Heading1"/>
      </w:pPr>
      <w:r>
        <w:t>Aufgenommen am 18.09.2026</w:t>
      </w:r>
    </w:p>
    <w:p>
      <w:pPr>
        <w:pStyle w:val="Heading2"/>
      </w:pPr>
      <w:r>
        <w:t>Salzrestriktion senkte Nierenkomplikationen nur in frühem CKD-Stadium</w:t>
      </w:r>
    </w:p>
    <w:p>
      <w:r>
        <w:rPr>
          <w:i/>
          <w:color w:val="666666"/>
          <w:sz w:val="18"/>
        </w:rPr>
        <w:t>Miyauchi H et al.  ·  Nephrology (Carlton)  ·  Sept. 2026  ·  PMID 42754360</w:t>
      </w:r>
    </w:p>
    <w:p>
      <w:r>
        <w:t>Retrospektive Kohortenstudie mit 462 älteren Patienten (≥75 Jahre) untersuchte Zusammenhang zwischen Salzaufnahme und nierenspezifischen Outcomes nach CKD-Stadium stratifiziert.</w:t>
      </w:r>
    </w:p>
    <w:p>
      <w:r>
        <w:rPr>
          <w:b/>
        </w:rPr>
        <w:t xml:space="preserve">Ergebnis: </w:t>
      </w:r>
      <w:r>
        <w:t>In CKD-Stadium 3: höhere Salzaufnahme mit erhöhtem Risiko assoziiert (aHR 2,70; 95%-KI 1,02–7,12). In Stadien 4–5: keine signifikante Assoziation. Salzrestriktion scheint in frühen CKD-Stadien bei älteren Erwachsenen nutzbringend zu sein.</w:t>
      </w:r>
    </w:p>
    <w:p>
      <w:r>
        <w:rPr>
          <w:b/>
          <w:sz w:val="19"/>
        </w:rPr>
        <w:t xml:space="preserve">Übertragbarkeit: </w:t>
      </w:r>
      <w:r>
        <w:rPr>
          <w:sz w:val="19"/>
        </w:rPr>
        <w:t>Japan; ältere Population, Stadium-spezifische Empfehlung relevant für Deutsche Praxis.</w:t>
      </w:r>
    </w:p>
    <w:p>
      <w:r>
        <w:rPr>
          <w:color w:val="5A7D3A"/>
          <w:sz w:val="18"/>
        </w:rPr>
        <w:t>https://pubmed.ncbi.nlm.nih.gov/42754360/</w:t>
      </w:r>
    </w:p>
    <w:p>
      <w:pPr>
        <w:pStyle w:val="Heading2"/>
      </w:pPr>
      <w:r>
        <w:t>Symptombelastung korrelierte stark negativ mit Lebensqualität bei Chronischen Erkrankungen</w:t>
      </w:r>
    </w:p>
    <w:p>
      <w:r>
        <w:rPr>
          <w:i/>
          <w:color w:val="666666"/>
          <w:sz w:val="18"/>
        </w:rPr>
        <w:t>Shrestha H et al.  ·  Inquiry  ·  17.09.2026  ·  PMID 42751809</w:t>
      </w:r>
    </w:p>
    <w:p>
      <w:r>
        <w:t>Querschnittstudie mit 164 hospitalisierten Erwachsenen mit verschiedenen chronischen Erkrankungen untersuchte Symptombelastung (ESAS-r) und Lebensqualität (SF-36) sowie deren Assoziation.</w:t>
      </w:r>
    </w:p>
    <w:p>
      <w:r>
        <w:rPr>
          <w:b/>
        </w:rPr>
        <w:t xml:space="preserve">Ergebnis: </w:t>
      </w:r>
      <w:r>
        <w:t>92,1 % hatten hohe Symptombelastung (Median 50,5; IQR 40–57,5); 65,9 % berichteten schlechte Lebensqualität. Starke negative Korrelation zwischen Symptombelastung und Lebensqualität (rs=–0,620; 95%-KI [–0,941 bis –0,641]; p&lt;0,001). Symptombelastung war mit Komorbiditäten und Krankenhausaufenthalten signifikant assoziiert.</w:t>
      </w:r>
    </w:p>
    <w:p>
      <w:r>
        <w:rPr>
          <w:b/>
          <w:sz w:val="19"/>
        </w:rPr>
        <w:t xml:space="preserve">Übertragbarkeit: </w:t>
      </w:r>
      <w:r>
        <w:rPr>
          <w:sz w:val="19"/>
        </w:rPr>
        <w:t>Nepal; zeigt universelles Muster bei Mehrfacherkrankung, Screening-Bedarf bei deutschen Chronikern.</w:t>
      </w:r>
    </w:p>
    <w:p>
      <w:r>
        <w:rPr>
          <w:color w:val="5A7D3A"/>
          <w:sz w:val="18"/>
        </w:rPr>
        <w:t>https://pubmed.ncbi.nlm.nih.gov/42751809/</w:t>
      </w:r>
    </w:p>
    <w:p>
      <w:pPr>
        <w:pStyle w:val="Heading2"/>
      </w:pPr>
      <w:r>
        <w:t>Grünflächen verringerten COPD-Risiko um 13–17 Prozent</w:t>
      </w:r>
    </w:p>
    <w:p>
      <w:r>
        <w:rPr>
          <w:i/>
          <w:color w:val="666666"/>
          <w:sz w:val="18"/>
        </w:rPr>
        <w:t>Chen Y et al.  ·  Int J Chron Obstruct Pulmon Dis  ·  12.09.2026  ·  PMID 42751338</w:t>
      </w:r>
    </w:p>
    <w:p>
      <w:r>
        <w:t>Prospektive Kohortenstudie mit 385.502 UK-Biobank-Teilnehmern untersuchte, ob Wohngebiete mit Grün- und Blauflächen das COPD-Inzidenzrisiko senken.</w:t>
      </w:r>
    </w:p>
    <w:p>
      <w:r>
        <w:rPr>
          <w:b/>
        </w:rPr>
        <w:t xml:space="preserve">Ergebnis: </w:t>
      </w:r>
      <w:r>
        <w:t>Höhere Exposition gegenüber Grünflächen (HR 0,87; 95%-KI 0,83–0,92) und natürlicher Umgebung (HR 0,83; 95%-KI 0,78–0,87) waren mit niedrigerem COPD-Risiko verbunden, unabhängig von genetischer Anfälligkeit. Die Assoziation deutet auf präventives Potenzial von Umweltmaßnahmen hin.</w:t>
      </w:r>
    </w:p>
    <w:p>
      <w:r>
        <w:rPr>
          <w:b/>
          <w:sz w:val="19"/>
        </w:rPr>
        <w:t xml:space="preserve">Übertragbarkeit: </w:t>
      </w:r>
      <w:r>
        <w:rPr>
          <w:sz w:val="19"/>
        </w:rPr>
        <w:t>UK-Kohortenstudie; Umweltfaktoren gelten international, Transfer auf Präventionsinfrastruktur hängt von Planung ab.</w:t>
      </w:r>
    </w:p>
    <w:p>
      <w:r>
        <w:rPr>
          <w:color w:val="5A7D3A"/>
          <w:sz w:val="18"/>
        </w:rPr>
        <w:t>https://pubmed.ncbi.nlm.nih.gov/42751338/</w:t>
      </w:r>
    </w:p>
    <w:p>
      <w:pPr>
        <w:pStyle w:val="Heading2"/>
      </w:pPr>
      <w:r>
        <w:t>Höhere Ballaststoffaufnahme senkte COPD-Prävalenz und Entzündungsmarker</w:t>
      </w:r>
    </w:p>
    <w:p>
      <w:r>
        <w:rPr>
          <w:i/>
          <w:color w:val="666666"/>
          <w:sz w:val="18"/>
        </w:rPr>
        <w:t>Tu X et al.  ·  Int J Chron Obstruct Pulmon Dis  ·  11.09.2026  ·  PMID 42751152</w:t>
      </w:r>
    </w:p>
    <w:p>
      <w:r>
        <w:t>Zweistufige epidemiologische und klinische Kohortenstudie (NHANES 2013–2018 und 331 klinische Teilnehmer) untersuchte Assoziation zwischen Ballaststoffaufnahme und COPD sowie Entzündungsmarkern und zirkulierendem Lipopolysaccharid.</w:t>
      </w:r>
    </w:p>
    <w:p>
      <w:r>
        <w:rPr>
          <w:b/>
        </w:rPr>
        <w:t xml:space="preserve">Ergebnis: </w:t>
      </w:r>
      <w:r>
        <w:t>NHANES: höhere energieadjustierte Ballaststoffaufnahme war mit niedrigerer COPD-Prävalenz assoziiert. Klinische Kohorte: höhere Ballaststoffaufnahme bei COPD-Patienten korrelierte mit niedrigeren Entzündungsmarkern und zirkulierendem LPS. WBC und Neutrophile zeigten statistische Signifikanz mit jeweils 1,36 % und 4,22 % indirektem Effekt.</w:t>
      </w:r>
    </w:p>
    <w:p>
      <w:r>
        <w:rPr>
          <w:b/>
          <w:sz w:val="19"/>
        </w:rPr>
        <w:t xml:space="preserve">Übertragbarkeit: </w:t>
      </w:r>
      <w:r>
        <w:rPr>
          <w:sz w:val="19"/>
        </w:rPr>
        <w:t>USA (NHANES) und klinische Kohortendaten; Ernährungsintervention ist übertragbar, prospektive Studien erforderlich.</w:t>
      </w:r>
    </w:p>
    <w:p>
      <w:r>
        <w:rPr>
          <w:color w:val="5A7D3A"/>
          <w:sz w:val="18"/>
        </w:rPr>
        <w:t>https://pubmed.ncbi.nlm.nih.gov/42751152/</w:t>
      </w:r>
    </w:p>
    <w:p>
      <w:pPr>
        <w:pStyle w:val="Heading2"/>
      </w:pPr>
      <w:r>
        <w:t>HIV/Hepatitis-B-Koinfektion verschlechterte Lebensqualität erheblich</w:t>
      </w:r>
    </w:p>
    <w:p>
      <w:r>
        <w:rPr>
          <w:i/>
          <w:color w:val="666666"/>
          <w:sz w:val="18"/>
        </w:rPr>
        <w:t>Okeke E et al.  ·  BMC Infect Dis  ·  07.08.2026  ·  PMID 42750015</w:t>
      </w:r>
    </w:p>
    <w:p>
      <w:r>
        <w:t>Querschnittsanalyse von 884 Erwachsenen mit chronischer Hepatitis B in West- und Zentralafrika untersuchte gesundheitsbezogene Lebensqualität (SF-36) stratifiziert nach Behandlungsstatus und HIV-Status.</w:t>
      </w:r>
    </w:p>
    <w:p>
      <w:r>
        <w:rPr>
          <w:b/>
        </w:rPr>
        <w:t xml:space="preserve">Ergebnis: </w:t>
      </w:r>
      <w:r>
        <w:t>Mittlere Lebensqualität 77,8 (SD 16,9) insgesamt, aber signifikant niedriger bei HIV/HBV-Koinfektion unbehandelt (59,38 vs. 80,56 bei HBV-monoinfiziert; p&lt;0,01). Erhöhte Fibrosescores, Komorbiditäten und höheres Alter waren mit schlechterer Lebensqualität assoziiert; Energie war am meisten beeinträchtigt.</w:t>
      </w:r>
    </w:p>
    <w:p>
      <w:r>
        <w:rPr>
          <w:b/>
          <w:sz w:val="19"/>
        </w:rPr>
        <w:t xml:space="preserve">Übertragbarkeit: </w:t>
      </w:r>
      <w:r>
        <w:rPr>
          <w:sz w:val="19"/>
        </w:rPr>
        <w:t>Subsaharische Länder mit hoher HBV/HIV-Prävalenz; zeigt Bedarf für integrierte Versorgung auch bei deutscher Mehrfacherkrankung.</w:t>
      </w:r>
    </w:p>
    <w:p>
      <w:r>
        <w:rPr>
          <w:color w:val="5A7D3A"/>
          <w:sz w:val="18"/>
        </w:rPr>
        <w:t>https://pubmed.ncbi.nlm.nih.gov/42750015/</w:t>
      </w:r>
    </w:p>
    <w:p>
      <w:pPr>
        <w:pStyle w:val="Heading2"/>
      </w:pPr>
      <w:r>
        <w:t>Gemeindevolontäre steigerten Hepatitis-B-Therapietreue um 25 Prozentpunkte</w:t>
      </w:r>
    </w:p>
    <w:p>
      <w:r>
        <w:rPr>
          <w:i/>
          <w:color w:val="666666"/>
          <w:sz w:val="18"/>
        </w:rPr>
        <w:t>Western Pac Surveill Response J  ·  15.07.2026  ·  PMID 42746034</w:t>
      </w:r>
    </w:p>
    <w:p>
      <w:r>
        <w:t>Pilotstudie in Kiribati testete Gemeindevolontäre zur Verbesserung der Adhärenz zur Hepatitis-B-Antivirentherapie bei schwangeren Frauen und Patienten mit Zirrhose von Januar bis August 2025.</w:t>
      </w:r>
    </w:p>
    <w:p>
      <w:r>
        <w:rPr>
          <w:b/>
        </w:rPr>
        <w:t xml:space="preserve">Ergebnis: </w:t>
      </w:r>
      <w:r>
        <w:t>Therapietreue war 77,4 % in der Interventionsgruppe vs. 52,5 % in der Kontrollgruppe (p&lt;0,001); bei schwangeren Frauen 89,7 %; Adhärenz &gt;80 % erreichten 58,8 % der Intervention vs. 34,1 % der Kontrollen (p=0,0012). Die Strategie ist vielversprechend, aber vorläufig ohne Matching zwischen Gruppen.</w:t>
      </w:r>
    </w:p>
    <w:p>
      <w:r>
        <w:rPr>
          <w:b/>
          <w:sz w:val="19"/>
        </w:rPr>
        <w:t xml:space="preserve">Übertragbarkeit: </w:t>
      </w:r>
      <w:r>
        <w:rPr>
          <w:sz w:val="19"/>
        </w:rPr>
        <w:t>Pazifikischer Inselstaat mit hoher Prävalenz; Modell könnte auch andere chronische Erkrankungen erreichen, Transfer hängt von lokalen Ressourcen ab.</w:t>
      </w:r>
    </w:p>
    <w:p>
      <w:r>
        <w:rPr>
          <w:color w:val="5A7D3A"/>
          <w:sz w:val="18"/>
        </w:rPr>
        <w:t>https://pubmed.ncbi.nlm.nih.gov/42746034/</w:t>
      </w:r>
    </w:p>
    <w:p>
      <w:pPr>
        <w:pStyle w:val="Heading2"/>
      </w:pPr>
      <w:r>
        <w:t>SP16-Behandlung könnte Akute-Nierenschädigung bei Herzoperation verhindern</w:t>
      </w:r>
    </w:p>
    <w:p>
      <w:r>
        <w:rPr>
          <w:i/>
          <w:color w:val="666666"/>
          <w:sz w:val="18"/>
        </w:rPr>
        <w:t>Jobst-Schwan T et al.  ·  Trials  ·  28.08.2026  ·  PMID 42665834</w:t>
      </w:r>
    </w:p>
    <w:p>
      <w:r>
        <w:t>Phase-IIa-Studie prüft Sicherheit und Wirksamkeit von SP16 (LRP1-Agonist) zur Prävention akuter Nierenschädigung bei 120 Hochrisiko-Patienten mit chronischer Nierenkrankheit unter Herzoperation.</w:t>
      </w:r>
    </w:p>
    <w:p>
      <w:r>
        <w:rPr>
          <w:b/>
        </w:rPr>
        <w:t xml:space="preserve">Ergebnis: </w:t>
      </w:r>
      <w:r>
        <w:t>Geplante Primärendpunkte: Inzidenz akuter Nierenschädigung innerhalb 7 Tage postoperativ und Häufigkeit von Nebenwirkungen in 72 h. Rekrutierung geplant ab August 2026; Phase-IIa-Ergebnisse ausstehend. Frühe Phase-I-Sicherheit war gegeben.</w:t>
      </w:r>
    </w:p>
    <w:p>
      <w:r>
        <w:rPr>
          <w:b/>
          <w:sz w:val="19"/>
        </w:rPr>
        <w:t xml:space="preserve">Übertragbarkeit: </w:t>
      </w:r>
      <w:r>
        <w:rPr>
          <w:sz w:val="19"/>
        </w:rPr>
        <w:t>Deutsches Zentrum (Erlangen); experimentelles Stadium, externe Validierung erforderlich.</w:t>
      </w:r>
    </w:p>
    <w:p>
      <w:r>
        <w:rPr>
          <w:color w:val="5A7D3A"/>
          <w:sz w:val="18"/>
        </w:rPr>
        <w:t>https://pubmed.ncbi.nlm.nih.gov/42665834/</w:t>
      </w:r>
    </w:p>
    <w:p>
      <w:pPr>
        <w:pStyle w:val="Heading1"/>
      </w:pPr>
      <w:r>
        <w:t>Aufgenommen am 17.09.2026</w:t>
      </w:r>
    </w:p>
    <w:p>
      <w:pPr>
        <w:pStyle w:val="Heading2"/>
      </w:pPr>
      <w:r>
        <w:t>Orale Mehrfacherkrankungen bei älteren Menschen erfordern differenzierte Zahngesundheits-Strategien</w:t>
      </w:r>
    </w:p>
    <w:p>
      <w:r>
        <w:rPr>
          <w:i/>
          <w:color w:val="666666"/>
          <w:sz w:val="18"/>
        </w:rPr>
        <w:t>Jiang L et al.  ·  Clin Interv Aging  ·  11.09.2026  ·  PMID 42746399</w:t>
      </w:r>
    </w:p>
    <w:p>
      <w:r>
        <w:t>Latente-Klassen-Analyse identifizierte unterschiedliche Muster oraler Mehrfacherkrankung (Karies, Zahnfleischerkrankung, Zahnverlust) bei 423 älteren Chinesen (65–74 Jahre) und untersuchte soziale Determinanten der Klassenzugehörigkeit.</w:t>
      </w:r>
    </w:p>
    <w:p>
      <w:r>
        <w:rPr>
          <w:b/>
        </w:rPr>
        <w:t xml:space="preserve">Ergebnis: </w:t>
      </w:r>
      <w:r>
        <w:t>Drei Subtypen wurden identifiziert: Klasse 1 (23,9 %, niedrige Erkrankungslast); Klasse 2 (41,6 %, parodontaldominant mit schwerem Zahnverlust); Klasse 3 (34,5 %, kariesdominant). Älterung, Rauchen und Zahnarztbesuche waren assoziiert mit Klasse 2. Älterung, weibliches Geschlecht, urbaner Wohnort und Zahnarztbesuche waren mit Klasse 3 verbunden. Die Befunde legen subtyp-spezifische statt einheitlicher Zahngesundheitsstrategien nahe und zeigen, dass orale Mehrfacherkrankung unter älteren Menschen heterogen ist.</w:t>
      </w:r>
    </w:p>
    <w:p>
      <w:r>
        <w:rPr>
          <w:b/>
          <w:sz w:val="19"/>
        </w:rPr>
        <w:t xml:space="preserve">Übertragbarkeit: </w:t>
      </w:r>
      <w:r>
        <w:rPr>
          <w:sz w:val="19"/>
        </w:rPr>
        <w:t>China, aber methodisches Vorbild für Mehrfacherkrankungs-Phänotypisierung in allen Ländern übertragbar</w:t>
      </w:r>
    </w:p>
    <w:p>
      <w:r>
        <w:rPr>
          <w:color w:val="5A7D3A"/>
          <w:sz w:val="18"/>
        </w:rPr>
        <w:t>https://pubmed.ncbi.nlm.nih.gov/42746399/</w:t>
      </w:r>
    </w:p>
    <w:p>
      <w:pPr>
        <w:pStyle w:val="Heading2"/>
      </w:pPr>
      <w:r>
        <w:t>Post-Hepatitis-C-Lebersteifheit prognostiziert Dekompensation stärker als deren Veränderung</w:t>
      </w:r>
    </w:p>
    <w:p>
      <w:r>
        <w:rPr>
          <w:i/>
          <w:color w:val="666666"/>
          <w:sz w:val="18"/>
        </w:rPr>
        <w:t>Cerini F et al.  ·  Liver Int  ·  Okt. 2026  ·  PMID 42745428</w:t>
      </w:r>
    </w:p>
    <w:p>
      <w:r>
        <w:t>Retrospektive Kohortenstudie bei 135 Patienten mit HCV-bedingter kompensierter fortgeschrittener Lebererkrankung, die eine direkt wirkende antivirale Therapie (DAA) erhielten, prüfte, ob absolute post-SVR-Lebersteifheit (LSM) oder deren Veränderung den Verlauf nach Viruseradikation besser prognostizieren.</w:t>
      </w:r>
    </w:p>
    <w:p>
      <w:r>
        <w:rPr>
          <w:b/>
        </w:rPr>
        <w:t xml:space="preserve">Ergebnis: </w:t>
      </w:r>
      <w:r>
        <w:t>Bei medianer 60 Monate (95%-KI 52–69) Nachverfolgung entwickelten 8 % (11/135) leberbezogene Ereignisse. Absolute post-Therapie-LSM zeigte bessere diskriminative Fähigkeit (tAUC Jahr 2: 0,86; Jahr 3: 0,82) als deren Veränderung. Follow-up-LSM &gt; 20 kPa war unabhängig mit leberbezogenen Ereignissen assoziiert (SHR 5,61; p = 0,007), während Baveno-VII-Kriterien für LSM-Regression nicht signifikant waren (p = 0,097). Dies unterstützt wiederholte post-SVR-LSM-Bewertung zur Risikostratifizierung.</w:t>
      </w:r>
    </w:p>
    <w:p>
      <w:r>
        <w:rPr>
          <w:b/>
          <w:sz w:val="19"/>
        </w:rPr>
        <w:t xml:space="preserve">Übertragbarkeit: </w:t>
      </w:r>
      <w:r>
        <w:rPr>
          <w:sz w:val="19"/>
        </w:rPr>
        <w:t>Schweiz (Bern), deutschsprachiger Raum, vergleichbare hepatologische Versorgungsstandards</w:t>
      </w:r>
    </w:p>
    <w:p>
      <w:r>
        <w:rPr>
          <w:color w:val="5A7D3A"/>
          <w:sz w:val="18"/>
        </w:rPr>
        <w:t>https://pubmed.ncbi.nlm.nih.gov/42745428/</w:t>
      </w:r>
    </w:p>
    <w:p>
      <w:pPr>
        <w:pStyle w:val="Heading2"/>
      </w:pPr>
      <w:r>
        <w:t>Retrograde Datenerfassung zu pädiatrischen Patienten mit CKD-Anämie ermöglicht Registerstudie</w:t>
      </w:r>
    </w:p>
    <w:p>
      <w:r>
        <w:rPr>
          <w:i/>
          <w:color w:val="666666"/>
          <w:sz w:val="18"/>
        </w:rPr>
        <w:t>Mountcastle S et al.  ·  BMC Nephrol  ·  27.08.2026  ·  PMID 42717324</w:t>
      </w:r>
    </w:p>
    <w:p>
      <w:r>
        <w:t>Machbarkeitsstudie zur Durchführbarkeit der retrospektiven Erhebung klinischer Charakteristika, Behandlungshistorie und Nebenwirkungen bei pädiatrischen Dialyse-Patienten mit Anämie aus Krankenakten in UK und USA.</w:t>
      </w:r>
    </w:p>
    <w:p>
      <w:r>
        <w:rPr>
          <w:b/>
        </w:rPr>
        <w:t xml:space="preserve">Ergebnis: </w:t>
      </w:r>
      <w:r>
        <w:t>Unter 50 eingeschlossenen Patienten (36 UK, 14 USA, Median 9 Jahre) lag die mittlere Hemoglobin-Baseline bei 10,0 (2,0) g/dL. 46 % erhielten Eisentherapie mit der erythropoese-stimulierenden Therapie. Die mediane Nachverfolgung betrug 52,1 Wochen; 20 unerwünschte Ereignisse traten bei 9 (18 %) Patienten auf (alle schwerwiegend). Die Studie demonstrierte Machbarkeit, aus medizinischen Unterlagen klinische Charakteristika, Behandlungshistorie und Nebenwirkungen bei pädiatrischen Patienten mit CKD-Anämie zu erfassen.</w:t>
      </w:r>
    </w:p>
    <w:p>
      <w:r>
        <w:rPr>
          <w:b/>
          <w:sz w:val="19"/>
        </w:rPr>
        <w:t xml:space="preserve">Übertragbarkeit: </w:t>
      </w:r>
      <w:r>
        <w:rPr>
          <w:sz w:val="19"/>
        </w:rPr>
        <w:t>UK und USA, begrenzte Übertragbarkeit auf Deutschland; wesentlich für internationale Vergleichbarkeit von Pädiatrie-Versorgung</w:t>
      </w:r>
    </w:p>
    <w:p>
      <w:r>
        <w:rPr>
          <w:color w:val="5A7D3A"/>
          <w:sz w:val="18"/>
        </w:rPr>
        <w:t>https://pubmed.ncbi.nlm.nih.gov/42717324/</w:t>
      </w:r>
    </w:p>
    <w:p>
      <w:pPr>
        <w:pStyle w:val="Heading2"/>
      </w:pPr>
      <w:r>
        <w:t>Multimorbidität-Muster beeinflussen Therapieerfolg bei älteren Menschen mit Frailty</w:t>
      </w:r>
    </w:p>
    <w:p>
      <w:r>
        <w:rPr>
          <w:i/>
          <w:color w:val="666666"/>
          <w:sz w:val="18"/>
        </w:rPr>
        <w:t>Vetrano DL et al.  ·  Nat Aging  ·  31.08.2026  ·  PMID 42675189</w:t>
      </w:r>
    </w:p>
    <w:p>
      <w:r>
        <w:t>Die Studie prüfte, ob die Wirksamkeit eines multikomponentalen Lebensstil-Interventionsprogramms (körperliche Aktivität mit technologischer Unterstützung und Ernährungsberatung) bei älteren Menschen mit Frailty und Mehrfacherkrankungen je nach Erkrankungsmuster variiert.</w:t>
      </w:r>
    </w:p>
    <w:p>
      <w:r>
        <w:rPr>
          <w:b/>
        </w:rPr>
        <w:t xml:space="preserve">Ergebnis: </w:t>
      </w:r>
      <w:r>
        <w:t>Insgesamt reduzierte die Intervention das Risiko für Mobilitätsbehinderung oder Tod um 22 % (HR 0,78; 95%-KI 0,66–0,92). Bei Patienten mit psychiatrischem Erkrankungsmuster war der Nutzen besonders groß (HR 0,65; 95%-KI 0,47–0,92); diese Gruppe gewann im Median 3,09 Monate ohne Mobilitätseinschränkung oder Tod. Bei kardio-metabolischen und respiratorischen Mustern zeigten sich keine statistisch signifikanten Unterschiede. Dies zeigt, dass Erkrankungsmuster die Therapieansprechbarkeit beeinflussen und Risikostratifizierung für präventive Maßnahmen wichtig ist.</w:t>
      </w:r>
    </w:p>
    <w:p>
      <w:r>
        <w:rPr>
          <w:b/>
          <w:sz w:val="19"/>
        </w:rPr>
        <w:t xml:space="preserve">Übertragbarkeit: </w:t>
      </w:r>
      <w:r>
        <w:rPr>
          <w:sz w:val="19"/>
        </w:rPr>
        <w:t>Europäische Studie (Italien, Schweden, Deutschland), vergleichbare Struktur von Versorgung und Vorsorge</w:t>
      </w:r>
    </w:p>
    <w:p>
      <w:r>
        <w:rPr>
          <w:color w:val="5A7D3A"/>
          <w:sz w:val="18"/>
        </w:rPr>
        <w:t>https://pubmed.ncbi.nlm.nih.gov/42675189/</w:t>
      </w:r>
    </w:p>
    <w:p>
      <w:pPr>
        <w:pStyle w:val="Heading2"/>
      </w:pPr>
      <w:r>
        <w:t>Strukturierte COPD-Versorgung mit früher Diagnose und Triple-Inhalation senkt Mortalität</w:t>
      </w:r>
    </w:p>
    <w:p>
      <w:r>
        <w:rPr>
          <w:i/>
          <w:color w:val="666666"/>
          <w:sz w:val="18"/>
        </w:rPr>
        <w:t>Rogliani P et al.  ·  Intern Emerg Med  ·  21.08.2026  ·  PMID 42629534</w:t>
      </w:r>
    </w:p>
    <w:p>
      <w:r>
        <w:t>Italienische Expertengruppe entwickelte praktische Empfehlungen zur Optimierung der COPD-Versorgung im italienischen Gesundheitssystem, basierend auf aktuellen Daten und dem Problem der Unterdiagnose.</w:t>
      </w:r>
    </w:p>
    <w:p>
      <w:r>
        <w:rPr>
          <w:b/>
        </w:rPr>
        <w:t xml:space="preserve">Ergebnis: </w:t>
      </w:r>
      <w:r>
        <w:t>Die Empfehlungen betonen: (1) strukturierte Fallsuche in Hausarztpraxen mit Spirometrie zur frühen Diagnose; (2) Standardisierung der Identifikation unkontrollierter Patienten durch Symptom-Scores und indirekte Marker (rezidivierende Antibiotika- oder Kortikosteroid-Nutzung); (3) Single-Inhaler-Triple-Therapie (SITT) als einzige pharmakologische Strategie, die nachweislich Exazerbationen und Gesamtmortalität bei Hochrisikopatienten senkt. Die Auswirkung auf kardiopulmonale Dekompensation wird diskutiert. Ein integrierter Versorgungspfad und Überwindung therapeutischer Trägheit sind zentral.</w:t>
      </w:r>
    </w:p>
    <w:p>
      <w:r>
        <w:rPr>
          <w:b/>
          <w:sz w:val="19"/>
        </w:rPr>
        <w:t xml:space="preserve">Übertragbarkeit: </w:t>
      </w:r>
      <w:r>
        <w:rPr>
          <w:sz w:val="19"/>
        </w:rPr>
        <w:t>Italien, vergleichbare Verbraucherperspektive und Dokumentationssysteme wie Deutschland</w:t>
      </w:r>
    </w:p>
    <w:p>
      <w:r>
        <w:rPr>
          <w:color w:val="5A7D3A"/>
          <w:sz w:val="18"/>
        </w:rPr>
        <w:t>https://pubmed.ncbi.nlm.nih.gov/42629534/</w:t>
      </w:r>
    </w:p>
    <w:p>
      <w:pPr>
        <w:pStyle w:val="Heading2"/>
      </w:pPr>
      <w:r>
        <w:t>Retinale Gefäßzeichen vorhersagen Depressionsrisiko und nachfolgende chronische Erkrankungen</w:t>
      </w:r>
    </w:p>
    <w:p>
      <w:r>
        <w:rPr>
          <w:i/>
          <w:color w:val="666666"/>
          <w:sz w:val="18"/>
        </w:rPr>
        <w:t>Wang Y et al.  ·  J Affect Disord  ·  01.12.2026  ·  PMID 42551563</w:t>
      </w:r>
    </w:p>
    <w:p>
      <w:r>
        <w:t>Longitudinale Kohortenstudie untersuchte, ob retinale Gefäßstrukturen (quantifiziert aus Fundusphotographien) das Risiko für künftige Depression und darauffolgende chronische Erkrankungen in der UK Biobank vorhersagen.</w:t>
      </w:r>
    </w:p>
    <w:p>
      <w:r>
        <w:rPr>
          <w:b/>
        </w:rPr>
        <w:t xml:space="preserve">Ergebnis: </w:t>
      </w:r>
      <w:r>
        <w:t>Über mittlere 11,3 Jahre Follow-up waren breitere retinale Venen mit erhöhtem Depressionsrisiko assoziiert (zentrales retinales Venenäquivalent: HR 1,25, 95%-KI 1,06–1,48; Venenbreite: HR 1,31, 95%-KI 1,12–1,54). Bei 1.507 Patienten mit Depression ohne vorbestehende chronische Erkrankungen war niedrigere arterielle Gefäßdichte mit erhöhtem Gesamtrisiko für chronische Erkrankung assoziiert (HR 0,71, 95%-KI 0,54–0,95), während erhöhte retinale Gefäßtortuosität mit kardiovaskulärem Risiko verbunden war (HR 2,24–1,90). Retinale Gefäßneuroimaging könnte als nicht-invasiver Biomarker-Kandidat für Risikostratifizierung dienen.</w:t>
      </w:r>
    </w:p>
    <w:p>
      <w:r>
        <w:rPr>
          <w:b/>
          <w:sz w:val="19"/>
        </w:rPr>
        <w:t xml:space="preserve">Übertragbarkeit: </w:t>
      </w:r>
      <w:r>
        <w:rPr>
          <w:sz w:val="19"/>
        </w:rPr>
        <w:t>UK Biobank mit standardisierter digitaler Bildgebung, übertragbar auf deutsche Versorgungsforschung mit Screeningpotenzialen</w:t>
      </w:r>
    </w:p>
    <w:p>
      <w:r>
        <w:rPr>
          <w:color w:val="5A7D3A"/>
          <w:sz w:val="18"/>
        </w:rPr>
        <w:t>https://pubmed.ncbi.nlm.nih.gov/42551563/</w:t>
      </w:r>
    </w:p>
    <w:p>
      <w:pPr>
        <w:pStyle w:val="Heading1"/>
      </w:pPr>
      <w:r>
        <w:t>Aufgenommen am 16.09.2026</w:t>
      </w:r>
    </w:p>
    <w:p>
      <w:pPr>
        <w:pStyle w:val="Heading2"/>
      </w:pPr>
      <w:r>
        <w:t>Case Finding für COPD nach Lungenkrebs-Screening wird von Patienten akzeptiert</w:t>
      </w:r>
    </w:p>
    <w:p>
      <w:r>
        <w:rPr>
          <w:i/>
          <w:color w:val="666666"/>
          <w:sz w:val="18"/>
        </w:rPr>
        <w:t>Phillips OR et al.  ·  BMJ Open Respir Res  ·  15.09.2026  ·  PMID 42744412</w:t>
      </w:r>
    </w:p>
    <w:p>
      <w:r>
        <w:t>Qualitative Studie mit 15 teilstrukturierten Interviews: Untersuchung der Wahrnehmung von Patienten zum Case Finding für COPD nach Lungenkrebs-Screening mittels mobiler Forschungseinheit in Nottinghamshire.</w:t>
      </w:r>
    </w:p>
    <w:p>
      <w:r>
        <w:rPr>
          <w:b/>
        </w:rPr>
        <w:t xml:space="preserve">Ergebnis: </w:t>
      </w:r>
      <w:r>
        <w:t>Kernfaktoren für positive Bewertung: Lob für klinisches Personal, Zugänglichkeit und Atmosphäre der Forschungseinheit sowie Zweckmäßigkeit des Case Finding. Hauptproblem: Mangelnde Kommunikation mit Hausarztpraxen in den Wochen nach der Bewertung. Teilnehmer befürworteten eine landesweite Ausweitung des Ansatzes.</w:t>
      </w:r>
    </w:p>
    <w:p>
      <w:r>
        <w:rPr>
          <w:b/>
          <w:sz w:val="19"/>
        </w:rPr>
        <w:t xml:space="preserve">Übertragbarkeit: </w:t>
      </w:r>
      <w:r>
        <w:rPr>
          <w:sz w:val="19"/>
        </w:rPr>
        <w:t>UK (England), vergleichbar mit deutschem primärversorgtem System.</w:t>
      </w:r>
    </w:p>
    <w:p>
      <w:r>
        <w:rPr>
          <w:color w:val="5A7D3A"/>
          <w:sz w:val="18"/>
        </w:rPr>
        <w:t>https://pubmed.ncbi.nlm.nih.gov/42744412/</w:t>
      </w:r>
    </w:p>
    <w:p>
      <w:pPr>
        <w:pStyle w:val="Heading2"/>
      </w:pPr>
      <w:r>
        <w:t>Pharmazeut-geführte Interventionen verbessern Adhärenz zu Phosphatbindern und Phosphorkontrolle</w:t>
      </w:r>
    </w:p>
    <w:p>
      <w:r>
        <w:rPr>
          <w:i/>
          <w:color w:val="666666"/>
          <w:sz w:val="18"/>
        </w:rPr>
        <w:t>Trapp A et al.  ·  Nephrol Nurs J  ·  Juli 2026  ·  PMID 42742309</w:t>
      </w:r>
    </w:p>
    <w:p>
      <w:r>
        <w:t>Prospektive dreiphasige Studie: Evaluierung von pharmazeut-geführten Interventionen auf die Einhaltung von Phosphatbinder-Therapie und Phosphorkontrolle in einer Dialyse-Population mit Hemo-, Peritoneal- und Heimdialyse.</w:t>
      </w:r>
    </w:p>
    <w:p>
      <w:r>
        <w:rPr>
          <w:b/>
        </w:rPr>
        <w:t xml:space="preserve">Ergebnis: </w:t>
      </w:r>
      <w:r>
        <w:t>Pharmazeut-Integration in das Programm führte zu verbesserter Adhärenz, besserer Phosphorkontrolle und reduzierten Diskrepanzen in der Medikation. Das Programm verbesserte auch Ergebnisse und Workflow-Effizienz.</w:t>
      </w:r>
    </w:p>
    <w:p>
      <w:r>
        <w:rPr>
          <w:b/>
          <w:sz w:val="19"/>
        </w:rPr>
        <w:t xml:space="preserve">Übertragbarkeit: </w:t>
      </w:r>
      <w:r>
        <w:rPr>
          <w:sz w:val="19"/>
        </w:rPr>
        <w:t>USA (Oregon, Montana), aber Adhärenz-Intervention auf deutsches Dialyse-System übertragbar.</w:t>
      </w:r>
    </w:p>
    <w:p>
      <w:r>
        <w:rPr>
          <w:color w:val="5A7D3A"/>
          <w:sz w:val="18"/>
        </w:rPr>
        <w:t>https://pubmed.ncbi.nlm.nih.gov/42742309/</w:t>
      </w:r>
    </w:p>
    <w:p>
      <w:pPr>
        <w:pStyle w:val="Heading2"/>
      </w:pPr>
      <w:r>
        <w:t>Frühere Exazerbationen und höhere GOLD-Grade sagen künftige COPD-Exazerbationen voraus</w:t>
      </w:r>
    </w:p>
    <w:p>
      <w:r>
        <w:rPr>
          <w:i/>
          <w:color w:val="666666"/>
          <w:sz w:val="18"/>
        </w:rPr>
        <w:t>Song Q et al.  ·  Ann Med  ·  15.09.2026  ·  PMID 42741955</w:t>
      </w:r>
    </w:p>
    <w:p>
      <w:r>
        <w:t>Retrospektive Kohortenstudie an 1.076 COPD-Patienten unter Doppeltherapie (LABA/LAMA): Analyse von Risikofaktoren für zukünftige Exazerbationen während einjähriger Nachverfolgung.</w:t>
      </w:r>
    </w:p>
    <w:p>
      <w:r>
        <w:rPr>
          <w:b/>
        </w:rPr>
        <w:t xml:space="preserve">Ergebnis: </w:t>
      </w:r>
      <w:r>
        <w:t>284 Patienten (26,4%) erlebten während der Nachverfolgung Exazerbationen. Unabhängige Risikofaktoren: GOLD-Grade 3–4 (OR 1,343, 95%-KI 1,016–1,776), eine Exazerbation im Vorjahr (OR 1,763, 95%-KI 1,248–2,489) und ≥2 Exazerbationen im Vorjahr (OR 2,514, 95%-KI 1,792–3,525). In der Subgruppe mit Hypertonie (Gruppe B) war die Hypertonie ebenfalls Risikofaktor (OR 3,400).</w:t>
      </w:r>
    </w:p>
    <w:p>
      <w:r>
        <w:rPr>
          <w:b/>
          <w:sz w:val="19"/>
        </w:rPr>
        <w:t xml:space="preserve">Übertragbarkeit: </w:t>
      </w:r>
      <w:r>
        <w:rPr>
          <w:sz w:val="19"/>
        </w:rPr>
        <w:t>China, aber COPD-Klassifikation nach GOLD international standardisiert.</w:t>
      </w:r>
    </w:p>
    <w:p>
      <w:r>
        <w:rPr>
          <w:color w:val="5A7D3A"/>
          <w:sz w:val="18"/>
        </w:rPr>
        <w:t>https://pubmed.ncbi.nlm.nih.gov/42741955/</w:t>
      </w:r>
    </w:p>
    <w:p>
      <w:pPr>
        <w:pStyle w:val="Heading2"/>
      </w:pPr>
      <w:r>
        <w:t>CKD-Prävalenz stabil, aber Komorbiditäten zeigen divergente Trends über 20 Jahre</w:t>
      </w:r>
    </w:p>
    <w:p>
      <w:r>
        <w:rPr>
          <w:i/>
          <w:color w:val="666666"/>
          <w:sz w:val="18"/>
        </w:rPr>
        <w:t>Farag YM et al.  ·  Ren Fail  ·  14.09.2026  ·  PMID 42736589</w:t>
      </w:r>
    </w:p>
    <w:p>
      <w:r>
        <w:t>Trend-Analyse von 1999–2018 mit NHANES-Daten: Untersuchung der CKD-Prävalenz und neun Komorbiditäten (Adipositas, Diabetes, Hypertonie, Anämie etc.) nach eGFR- und Albuminurie-Kategorien.</w:t>
      </w:r>
    </w:p>
    <w:p>
      <w:r>
        <w:rPr>
          <w:b/>
        </w:rPr>
        <w:t xml:space="preserve">Ergebnis: </w:t>
      </w:r>
      <w:r>
        <w:t>CKD-Prävalenz stabil bei 20% bei Erwachsenen ≥20 Jahren. Adipositas und Diabetes nahmen signifikant zu, Hypertonie, Anämie, Hyperkalämie und kardiovaskuläre Erkrankung blieben stabil. Hypertriglyzeridämie und Hypercholesterinämie zeigten initialen Anstieg, dann Plateau. Ungleiche Verteilung der Komorbiditäten über KDIGO-eGFR- und Albuminurie-Unterkategorien, mit erhöhtem Risiko in G3bA2- und G4A1-Patienten.</w:t>
      </w:r>
    </w:p>
    <w:p>
      <w:r>
        <w:rPr>
          <w:b/>
          <w:sz w:val="19"/>
        </w:rPr>
        <w:t xml:space="preserve">Übertragbarkeit: </w:t>
      </w:r>
      <w:r>
        <w:rPr>
          <w:sz w:val="19"/>
        </w:rPr>
        <w:t>USA, aber KDIGO-Klassifikation international standardisiert; Epidemiologie informativ für Ressourcenplanung in Deutschland.</w:t>
      </w:r>
    </w:p>
    <w:p>
      <w:r>
        <w:rPr>
          <w:color w:val="5A7D3A"/>
          <w:sz w:val="18"/>
        </w:rPr>
        <w:t>https://pubmed.ncbi.nlm.nih.gov/42736589/</w:t>
      </w:r>
    </w:p>
    <w:p>
      <w:pPr>
        <w:pStyle w:val="Heading2"/>
      </w:pPr>
      <w:r>
        <w:t>Mehrfacherkrankung verschärft sich durch Einsamkeit und soziale Inaktivität</w:t>
      </w:r>
    </w:p>
    <w:p>
      <w:r>
        <w:rPr>
          <w:i/>
          <w:color w:val="666666"/>
          <w:sz w:val="18"/>
        </w:rPr>
        <w:t>Zhou Y et al.  ·  Nat Commun  ·  15.08.2026  ·  PMID 42736300</w:t>
      </w:r>
    </w:p>
    <w:p>
      <w:r>
        <w:t>Längsschnittstudie in 19 Ländern an Personen ab 45 Jahren: Untersucht wurden bidirektionale Assoziationen zwischen körperlicher Mehrfacherkrankung und Einsamkeit sowie die vermittelnde Rolle sozialer Inaktivität.</w:t>
      </w:r>
    </w:p>
    <w:p>
      <w:r>
        <w:rPr>
          <w:b/>
        </w:rPr>
        <w:t xml:space="preserve">Ergebnis: </w:t>
      </w:r>
      <w:r>
        <w:t>Mehrfacherkrankung erhöhte das Risiko für Einsamkeit (adjustierte HR 1,25, 95%-KI 1,20–1,30). Einsamkeit erhöhte wiederum das Risiko für Mehrfacherkrankung (adjustierte HR 1,10, 95%-KI 1,05–1,17). Soziale Inaktivität vermittelte diese Assoziation teilweise. Diese Befunde deuten auf einen Teufelskreis hin, in dem jede Erkrankung die andere verschärft.</w:t>
      </w:r>
    </w:p>
    <w:p>
      <w:r>
        <w:rPr>
          <w:b/>
          <w:sz w:val="19"/>
        </w:rPr>
        <w:t xml:space="preserve">Übertragbarkeit: </w:t>
      </w:r>
      <w:r>
        <w:rPr>
          <w:sz w:val="19"/>
        </w:rPr>
        <w:t>UK und europäische Daten, aber Mehrlän-der-Analyse; Vergleichbarkeit länderspezifisch unterschiedlich.</w:t>
      </w:r>
    </w:p>
    <w:p>
      <w:r>
        <w:rPr>
          <w:color w:val="5A7D3A"/>
          <w:sz w:val="18"/>
        </w:rPr>
        <w:t>https://pubmed.ncbi.nlm.nih.gov/42736300/</w:t>
      </w:r>
    </w:p>
    <w:p>
      <w:pPr>
        <w:pStyle w:val="Heading2"/>
      </w:pPr>
      <w:r>
        <w:t>Metabolische Biomarker sagen Übergang zur kardiometabolischen Mehrfacherkrankung voraus</w:t>
      </w:r>
    </w:p>
    <w:p>
      <w:r>
        <w:rPr>
          <w:i/>
          <w:color w:val="666666"/>
          <w:sz w:val="18"/>
        </w:rPr>
        <w:t>Sun M et al.  ·  Maturitas  ·  22.08.2026  ·  PMID 42664616</w:t>
      </w:r>
    </w:p>
    <w:p>
      <w:r>
        <w:t>Analyse von 79.712 Personen ohne kardiometabolische Erkrankung aus der UK Biobank: Identifizierung von 249 Metaboliten, die mit kardiometabolischer Mehrfacherkrankung assoziiert sind, und Entwicklung eines Metaboliten-Risiko-Scores.</w:t>
      </w:r>
    </w:p>
    <w:p>
      <w:r>
        <w:rPr>
          <w:b/>
        </w:rPr>
        <w:t xml:space="preserve">Ergebnis: </w:t>
      </w:r>
      <w:r>
        <w:t>183 der 249 Metaboliten waren mit kardiometabolischer Mehrfacherkrankung assoziiert. Der Metaboliten-Risiko-Score zeigte eine starke positive Assoziation (HR 2,67, 95%-KI 2,05–3,49). Personen mit höherem Score hatten ein erhöhtes Risiko, vom gesunden Zustand zur ersten kardiometabolischen Erkrankung fortzuschreiten (HR 1,71, 95%-KI 1,51–1,93) und von dort zur Mehrfacherkrankung (HR 1,89, 95%-KI 1,45–2,47).</w:t>
      </w:r>
    </w:p>
    <w:p>
      <w:r>
        <w:rPr>
          <w:b/>
          <w:sz w:val="19"/>
        </w:rPr>
        <w:t xml:space="preserve">Übertragbarkeit: </w:t>
      </w:r>
      <w:r>
        <w:rPr>
          <w:sz w:val="19"/>
        </w:rPr>
        <w:t>UK Biobank, aber Metaboliten-Verfahren international nicht standardisiert; Übertragbarkeit auf Deutschland begrenzt.</w:t>
      </w:r>
    </w:p>
    <w:p>
      <w:r>
        <w:rPr>
          <w:color w:val="5A7D3A"/>
          <w:sz w:val="18"/>
        </w:rPr>
        <w:t>https://pubmed.ncbi.nlm.nih.gov/42664616/</w:t>
      </w:r>
    </w:p>
    <w:p>
      <w:pPr>
        <w:pStyle w:val="Heading1"/>
      </w:pPr>
      <w:r>
        <w:t>Aufgenommen am 15.09.2026</w:t>
      </w:r>
    </w:p>
    <w:p>
      <w:pPr>
        <w:pStyle w:val="Heading2"/>
      </w:pPr>
      <w:r>
        <w:t>Medikamenten-Adhärenz bei Mehrfacherkrankung nur 14,7 % – Schlechte Refill-Planung Hauptbarriere</w:t>
      </w:r>
    </w:p>
    <w:p>
      <w:r>
        <w:rPr>
          <w:i/>
          <w:color w:val="666666"/>
          <w:sz w:val="18"/>
        </w:rPr>
        <w:t>Alturki H et al.  ·  East Mediterr Health J  ·  03.09.2026  ·  PMID 42734196</w:t>
      </w:r>
    </w:p>
    <w:p>
      <w:r>
        <w:t>Querschnittsstudie zur Therapietreue bei 339 saudi-arabischen Erwachsenen (≥45 Jahre) mit mindestens zwei chronischen Erkrankungen; Identifikation von Gründen für Nicht-Adhärenz.</w:t>
      </w:r>
    </w:p>
    <w:p>
      <w:r>
        <w:rPr>
          <w:b/>
        </w:rPr>
        <w:t xml:space="preserve">Ergebnis: </w:t>
      </w:r>
      <w:r>
        <w:t>Nur 14,7 % der Teilnehmer waren adhärent; Prävalenz von Nicht-Adhärenz &gt;85 %; wichtigste Gründe: schlechte Refill-Planung (68,1 %) und Medikamentenskipping bei Besserung (22,1 %); jüngeres Alter (45-54 Jahre) mit höherem Nicht-Adhärenz-Risiko (OR=3,78; 95%-KI: 1,36-10,49).</w:t>
      </w:r>
    </w:p>
    <w:p>
      <w:r>
        <w:rPr>
          <w:b/>
          <w:sz w:val="19"/>
        </w:rPr>
        <w:t xml:space="preserve">Übertragbarkeit: </w:t>
      </w:r>
      <w:r>
        <w:rPr>
          <w:sz w:val="19"/>
        </w:rPr>
        <w:t>Vergleichbare Sozialversicherungsstrukturen, Mehrfacherkrankung-Fokus zentral</w:t>
      </w:r>
    </w:p>
    <w:p>
      <w:r>
        <w:rPr>
          <w:color w:val="5A7D3A"/>
          <w:sz w:val="18"/>
        </w:rPr>
        <w:t>https://pubmed.ncbi.nlm.nih.gov/42734196/</w:t>
      </w:r>
    </w:p>
    <w:p>
      <w:pPr>
        <w:pStyle w:val="Heading2"/>
      </w:pPr>
      <w:r>
        <w:t>Mehrfacherkrankungen assoziiert mit Debilität und Schmerz – 51 % der Bevölkerung lehnen den Begriff ab</w:t>
      </w:r>
    </w:p>
    <w:p>
      <w:r>
        <w:rPr>
          <w:i/>
          <w:color w:val="666666"/>
          <w:sz w:val="18"/>
        </w:rPr>
        <w:t>Bellass S et al.  ·  Health Expect  ·  Okt. 2026  ·  PMID 42734167</w:t>
      </w:r>
    </w:p>
    <w:p>
      <w:r>
        <w:t>Qualitative Analyse von 141 Berichten aus dem Mass Observation Project zu öffentlichen Wahrnehmungen von Mehrfacherkrankungen; Kategorisierung von Reaktionen (adoptierend, übersehend, widerständig, ablehnend).</w:t>
      </w:r>
    </w:p>
    <w:p>
      <w:r>
        <w:rPr>
          <w:b/>
        </w:rPr>
        <w:t xml:space="preserve">Ergebnis: </w:t>
      </w:r>
      <w:r>
        <w:t>53,9 % der Respondenten lebten mit Mehrfacherkrankungen; alle assoziierte Mehrfacherkrankungen mit belastenden verkörperten Erfahrungen wie Schmerz und Debilität; 51,8 % übernahmen das Konstrukt, 11,3 % lehnten es ab wegen Besorgnis über Nutzen, Inkongruenz mit persönlicher Erfahrung oder Medikalisierung; Implikationen für Forschungseinschluss und Interventions-Akzeptanz.</w:t>
      </w:r>
    </w:p>
    <w:p>
      <w:r>
        <w:rPr>
          <w:b/>
          <w:sz w:val="19"/>
        </w:rPr>
        <w:t xml:space="preserve">Übertragbarkeit: </w:t>
      </w:r>
      <w:r>
        <w:rPr>
          <w:sz w:val="19"/>
        </w:rPr>
        <w:t>Großbritannien, qualitative Evidenz zu Versorgungsbedarf und Patient Engagement</w:t>
      </w:r>
    </w:p>
    <w:p>
      <w:r>
        <w:rPr>
          <w:color w:val="5A7D3A"/>
          <w:sz w:val="18"/>
        </w:rPr>
        <w:t>https://pubmed.ncbi.nlm.nih.gov/42734167/</w:t>
      </w:r>
    </w:p>
    <w:p>
      <w:pPr>
        <w:pStyle w:val="Heading2"/>
      </w:pPr>
      <w:r>
        <w:t>Hochintensives Ausdauertraining steigert Nahrungsaufnahme bei COPD um 117 kcal/Tag</w:t>
      </w:r>
    </w:p>
    <w:p>
      <w:r>
        <w:rPr>
          <w:i/>
          <w:color w:val="666666"/>
          <w:sz w:val="18"/>
        </w:rPr>
        <w:t>Ikeuchi T et al.  ·  Int J Chron Obstruct Pulmon Dis  ·  09.09.2026  ·  PMID 42733827</w:t>
      </w:r>
    </w:p>
    <w:p>
      <w:r>
        <w:t>Prospektive Beobachtungsstudie zu Veränderungen der Nahrungsaufnahme und Leptin-Werte während eines 6-Wochen-Pulmonale-Rehabilitation-Programms mit exploratorischen Analysen nach Erreichung hochintensiven Trainings.</w:t>
      </w:r>
    </w:p>
    <w:p>
      <w:r>
        <w:rPr>
          <w:b/>
        </w:rPr>
        <w:t xml:space="preserve">Ergebnis: </w:t>
      </w:r>
      <w:r>
        <w:t>Nahrungsaufnahme stieg signifikant von 1367 auf 1484 kcal/Tag (p=0,01); Leptin änderte sich insgesamt nicht signifikant, aber bei Patienten mit hoher Trainingsintensität zeigte sich ein stärkerer Leptin-Rückgang (B=-4,47, p&lt;0,01).</w:t>
      </w:r>
    </w:p>
    <w:p>
      <w:r>
        <w:rPr>
          <w:b/>
          <w:sz w:val="19"/>
        </w:rPr>
        <w:t xml:space="preserve">Übertragbarkeit: </w:t>
      </w:r>
      <w:r>
        <w:rPr>
          <w:sz w:val="19"/>
        </w:rPr>
        <w:t>Japan, publiziert international, Pulmonale Rehabilitation als etabliertes Konzept</w:t>
      </w:r>
    </w:p>
    <w:p>
      <w:r>
        <w:rPr>
          <w:color w:val="5A7D3A"/>
          <w:sz w:val="18"/>
        </w:rPr>
        <w:t>https://pubmed.ncbi.nlm.nih.gov/42733827/</w:t>
      </w:r>
    </w:p>
    <w:p>
      <w:pPr>
        <w:pStyle w:val="Heading2"/>
      </w:pPr>
      <w:r>
        <w:t>INHBC-Protein vermittelt 1,3 % des Typ-2-Diabetes-zu-Nierenkrankheit-Effekts</w:t>
      </w:r>
    </w:p>
    <w:p>
      <w:r>
        <w:rPr>
          <w:i/>
          <w:color w:val="666666"/>
          <w:sz w:val="18"/>
        </w:rPr>
        <w:t>Liang KYH et al.  ·  PLoS Med  ·  11.09.2026  ·  PMID 42726788</w:t>
      </w:r>
    </w:p>
    <w:p>
      <w:r>
        <w:t>Zweistufige Mendelsche Randomisierung mit Proteomik-GWAS (35.559 Individuen deCODE, 80.154 T2D-Fälle) und Nierenmerkmale (bis 1.004.040 Teilnehmer) zur Identifikation von Protein-Mediatoren des CKD-Risikos bei T2D.</w:t>
      </w:r>
    </w:p>
    <w:p>
      <w:r>
        <w:rPr>
          <w:b/>
        </w:rPr>
        <w:t xml:space="preserve">Ergebnis: </w:t>
      </w:r>
      <w:r>
        <w:t>71 zirkulierende Proteine durch genetische T2D-Veranlagung beeinflusst; fünf Proteine (INHBC, GNPTG, LPO, AGRN, CTSD) beeinflussten Nierenmerkmale; höhere INHBC assoziiert mit niedrigerem eGFR und höherem BUN (MR); INHBC vermittelt geschätzt 1,3 % (95%-KI: 0,85-1,9 %) der T2D-zu-Nierenkrankheit-Assoziation in UK Biobank (37.854 Teilnehmer).</w:t>
      </w:r>
    </w:p>
    <w:p>
      <w:r>
        <w:rPr>
          <w:b/>
          <w:sz w:val="19"/>
        </w:rPr>
        <w:t xml:space="preserve">Übertragbarkeit: </w:t>
      </w:r>
      <w:r>
        <w:rPr>
          <w:sz w:val="19"/>
        </w:rPr>
        <w:t>UK Biobank und multiple europäische Kohorten, Versorgungsrelevanz durch Zielprotein begrenzt</w:t>
      </w:r>
    </w:p>
    <w:p>
      <w:r>
        <w:rPr>
          <w:color w:val="5A7D3A"/>
          <w:sz w:val="18"/>
        </w:rPr>
        <w:t>https://pubmed.ncbi.nlm.nih.gov/42726788/</w:t>
      </w:r>
    </w:p>
    <w:p>
      <w:pPr>
        <w:pStyle w:val="Heading2"/>
      </w:pPr>
      <w:r>
        <w:t>RSV-Infektionen erhöhen Krankenhausaufenthalt bei COPD-Exazerbation</w:t>
      </w:r>
    </w:p>
    <w:p>
      <w:r>
        <w:rPr>
          <w:i/>
          <w:color w:val="666666"/>
          <w:sz w:val="18"/>
        </w:rPr>
        <w:t>Agusti A et al.  ·  BMJ Open  ·  20.07.2026  ·  PMID 42476737</w:t>
      </w:r>
    </w:p>
    <w:p>
      <w:r>
        <w:t>Prospektive multizentrische Kohortenstudie, die die Häufigkeit von RSV-Infektionen bei COPD-Exazerbationen und ihre Assoziation mit Hospitalisierung, Krankenhausdauer und kardialen Ereignissen untersucht.</w:t>
      </w:r>
    </w:p>
    <w:p>
      <w:r>
        <w:rPr>
          <w:b/>
        </w:rPr>
        <w:t xml:space="preserve">Ergebnis: </w:t>
      </w:r>
      <w:r>
        <w:t>Design der RECODE-Studie mit geplanter Erfassung von RSV-Nachweis mittels RT-PCR und Outcome-Messung nach 15 Tagen und 3 Monaten; erste Ergebnisse noch nicht verfügbar, aber Studienprotokoll zeigt systematische Erfassung klinisch relevanter Endpunkte.</w:t>
      </w:r>
    </w:p>
    <w:p>
      <w:r>
        <w:rPr>
          <w:b/>
          <w:sz w:val="19"/>
        </w:rPr>
        <w:t xml:space="preserve">Übertragbarkeit: </w:t>
      </w:r>
      <w:r>
        <w:rPr>
          <w:sz w:val="19"/>
        </w:rPr>
        <w:t>Spanien, europäisches Gesundheitssystem, vergleichbare COPD-Versorgung</w:t>
      </w:r>
    </w:p>
    <w:p>
      <w:r>
        <w:rPr>
          <w:color w:val="5A7D3A"/>
          <w:sz w:val="18"/>
        </w:rPr>
        <w:t>https://pubmed.ncbi.nlm.nih.gov/42476737/</w:t>
      </w:r>
    </w:p>
    <w:p>
      <w:pPr>
        <w:pStyle w:val="Heading2"/>
      </w:pPr>
      <w:r>
        <w:t>Chronische Nierenkrankheit assoziiert mit Herzinsuffizienz-mit-erhaltener-EF – zwei-facher Odds 2,46</w:t>
      </w:r>
    </w:p>
    <w:p>
      <w:r>
        <w:rPr>
          <w:i/>
          <w:color w:val="666666"/>
          <w:sz w:val="18"/>
        </w:rPr>
        <w:t>Valente V et al.  ·  ESC Heart Fail  ·  04.07.2026  ·  PMID 42471242</w:t>
      </w:r>
    </w:p>
    <w:p>
      <w:r>
        <w:t>Retrospektive Fall-Kontroll-Studie mit Daten aus dem Schwedischen Herzinsuffizienz-Register (2005-2021); Assoziation zwischen CKD und neu aufgetretener Herzinsuffizienz über das EF-Spektrum.</w:t>
      </w:r>
    </w:p>
    <w:p>
      <w:r>
        <w:rPr>
          <w:b/>
        </w:rPr>
        <w:t xml:space="preserve">Ergebnis: </w:t>
      </w:r>
      <w:r>
        <w:t>51.848 Herzinsuffizienz-Patienten und 51.848 Kontrollen; CKD assoziiert mit ~zwei-fach höheres HI-Risiko, besonders für HFpEF vs. HFrEF (ICD-10-Definition: OR 2,46 vs. 1,52; p-Interaktion=0,001); moderate bis fortgeschrittene CKD (KDIGO G3b-G5) stärker mit HFpEF assoziiert als mit HFrEF.</w:t>
      </w:r>
    </w:p>
    <w:p>
      <w:r>
        <w:rPr>
          <w:b/>
          <w:sz w:val="19"/>
        </w:rPr>
        <w:t xml:space="preserve">Übertragbarkeit: </w:t>
      </w:r>
      <w:r>
        <w:rPr>
          <w:sz w:val="19"/>
        </w:rPr>
        <w:t>Schweden, europäisches Register mit Dokumentationspflicht, vergleichbar</w:t>
      </w:r>
    </w:p>
    <w:p>
      <w:r>
        <w:rPr>
          <w:color w:val="5A7D3A"/>
          <w:sz w:val="18"/>
        </w:rPr>
        <w:t>https://pubmed.ncbi.nlm.nih.gov/42471242/</w:t>
      </w:r>
    </w:p>
    <w:p>
      <w:pPr>
        <w:pStyle w:val="Heading1"/>
      </w:pPr>
      <w:r>
        <w:t>Aufgenommen am 14.09.2026</w:t>
      </w:r>
    </w:p>
    <w:p>
      <w:pPr>
        <w:pStyle w:val="Heading2"/>
      </w:pPr>
      <w:r>
        <w:t>Low-Carb-Ernährung senkt Mortalität bei chronischen Erkrankungen: Meta-Analyse</w:t>
      </w:r>
    </w:p>
    <w:p>
      <w:r>
        <w:rPr>
          <w:i/>
          <w:color w:val="666666"/>
          <w:sz w:val="18"/>
        </w:rPr>
        <w:t>Duc TQ et al.  ·  BMJ Open  ·  11.09.2026  ·  PMID 42731843</w:t>
      </w:r>
    </w:p>
    <w:p>
      <w:r>
        <w:t>Systematische Review und Meta-Analyse von Prospektivkohorten zur Assoziation unterschiedlicher Low-Carbohydrat-Ernährungsmuster mit Gesamtmortalität in der Allgemeinbevölkerung und bei chronischen Erkrankungen.</w:t>
      </w:r>
    </w:p>
    <w:p>
      <w:r>
        <w:rPr>
          <w:b/>
        </w:rPr>
        <w:t xml:space="preserve">Ergebnis: </w:t>
      </w:r>
      <w:r>
        <w:t>Gesunde Low-Carb-Ernährung war mit niedrigerer Mortalität bei chronischen Erkrankungen assoziiert (HR 0,72, 95%-KI 0,69–0,76; I² = 0 %; hohe Gewissheit), nicht aber in der Allgemeinbevölkerung (HR 0,93, 95%-KI 0,85–1,01; moderate Gewissheit). Ungesunde Low-Carb-Diäten waren in beiden Populationen nicht mit Mortalität assoziiert.</w:t>
      </w:r>
    </w:p>
    <w:p>
      <w:r>
        <w:rPr>
          <w:b/>
          <w:sz w:val="19"/>
        </w:rPr>
        <w:t xml:space="preserve">Übertragbarkeit: </w:t>
      </w:r>
      <w:r>
        <w:rPr>
          <w:sz w:val="19"/>
        </w:rPr>
        <w:t>18 Länderübergreifende Kohortenstudien mit 779.158 Teilnehmern; Ernährungsempfehlungen universal anwendbar.</w:t>
      </w:r>
    </w:p>
    <w:p>
      <w:r>
        <w:rPr>
          <w:color w:val="5A7D3A"/>
          <w:sz w:val="18"/>
        </w:rPr>
        <w:t>https://pubmed.ncbi.nlm.nih.gov/42731843/</w:t>
      </w:r>
    </w:p>
    <w:p>
      <w:pPr>
        <w:pStyle w:val="Heading2"/>
      </w:pPr>
      <w:r>
        <w:t>Glittre-ADL-Test vorhersagt Mortalität bei Hämodialysepatienten zuverlässig</w:t>
      </w:r>
    </w:p>
    <w:p>
      <w:r>
        <w:rPr>
          <w:i/>
          <w:color w:val="666666"/>
          <w:sz w:val="18"/>
        </w:rPr>
        <w:t>Santos JNV et al.  ·  J Bras Nefrol  ·  Okt. 2026  ·  PMID 42726081</w:t>
      </w:r>
    </w:p>
    <w:p>
      <w:r>
        <w:t>Prospektive Beobachtungsstudie zur Prognosekraft der Funktionsfähigkeit (gemessen mit dem Glittre-ADL-Test) für Mortalität bei Hämodialysepatienten in Brasilien.</w:t>
      </w:r>
    </w:p>
    <w:p>
      <w:r>
        <w:rPr>
          <w:b/>
        </w:rPr>
        <w:t xml:space="preserve">Ergebnis: </w:t>
      </w:r>
      <w:r>
        <w:t>Bei 76 eingeschlossenen Patienten war der Glittre-ADL-Test (HR 1,003 [95%-KI 1,001–1,006]; p = 0,03) und Alter (HR 1,049 [95%-KI 1,020–1,078]; p &lt; 0,001) unabhängig mit Mortalität assoziiert; optimaler Cut-off-Wert ≥268,5 Sekunden identifizierte Todesrisiko mit AUC von 0,86 (95%-KI 0,77–0,94).</w:t>
      </w:r>
    </w:p>
    <w:p>
      <w:r>
        <w:rPr>
          <w:b/>
          <w:sz w:val="19"/>
        </w:rPr>
        <w:t xml:space="preserve">Übertragbarkeit: </w:t>
      </w:r>
      <w:r>
        <w:rPr>
          <w:sz w:val="19"/>
        </w:rPr>
        <w:t>Brasilien, physikalische Rehabilitationsmessung; Übertragbarkeit des Funktionsmerkmals auf deutsches Dialysesetting gegeben.</w:t>
      </w:r>
    </w:p>
    <w:p>
      <w:r>
        <w:rPr>
          <w:color w:val="5A7D3A"/>
          <w:sz w:val="18"/>
        </w:rPr>
        <w:t>https://pubmed.ncbi.nlm.nih.gov/42726081/</w:t>
      </w:r>
    </w:p>
    <w:p>
      <w:pPr>
        <w:pStyle w:val="Heading2"/>
      </w:pPr>
      <w:r>
        <w:t>Arabische Version der FACIT-TS-Skala für Therapiezufriedenheit bei Krebspatienten validiert</w:t>
      </w:r>
    </w:p>
    <w:p>
      <w:r>
        <w:rPr>
          <w:i/>
          <w:color w:val="666666"/>
          <w:sz w:val="18"/>
        </w:rPr>
        <w:t>Jakal C et al.  ·  Palliat Support Care  ·  11.09.2026  ·  PMID 42723525</w:t>
      </w:r>
    </w:p>
    <w:p>
      <w:r>
        <w:t>Psychometrische Validierungsstudie der arabischsprachigen Version der Functional Assessment of Chronic Illness Therapy-Treatment Satisfaction (FACIT-TS)-Skala bei libanesischen Krebspatienten.</w:t>
      </w:r>
    </w:p>
    <w:p>
      <w:r>
        <w:rPr>
          <w:b/>
        </w:rPr>
        <w:t xml:space="preserve">Ergebnis: </w:t>
      </w:r>
      <w:r>
        <w:t>Die arabische FACIT-TS zeigte gute interne Konsistenz (Cronbachs α = 0,87; McDonalds ω = 0,87), unterstützte unidimensionale Struktur und Messinvarianz nach Geschlecht; höhere Therapiezufriedenheit war mit besserer Lebensqualität, größerer wahrgenommener sozialer Unterstützung und reduziertem psychologischem Distress assoziiert.</w:t>
      </w:r>
    </w:p>
    <w:p>
      <w:r>
        <w:rPr>
          <w:b/>
          <w:sz w:val="19"/>
        </w:rPr>
        <w:t xml:space="preserve">Übertragbarkeit: </w:t>
      </w:r>
      <w:r>
        <w:rPr>
          <w:sz w:val="19"/>
        </w:rPr>
        <w:t>Libanon, kulturell adaptiertes Patient-Reported-Outcome-Messinstrument; beschränkt auf Krebspatienten.</w:t>
      </w:r>
    </w:p>
    <w:p>
      <w:r>
        <w:rPr>
          <w:color w:val="5A7D3A"/>
          <w:sz w:val="18"/>
        </w:rPr>
        <w:t>https://pubmed.ncbi.nlm.nih.gov/42723525/</w:t>
      </w:r>
    </w:p>
    <w:p>
      <w:pPr>
        <w:pStyle w:val="Heading2"/>
      </w:pPr>
      <w:r>
        <w:t>Phänotypgesteuerte Hämoadsorbtion/Hämodialyse reduziert urämische Toxine effektiver</w:t>
      </w:r>
    </w:p>
    <w:p>
      <w:r>
        <w:rPr>
          <w:i/>
          <w:color w:val="666666"/>
          <w:sz w:val="18"/>
        </w:rPr>
        <w:t>Ramírez-Guerrero G et al.  ·  Contrib Nephrol  ·  10.09.2026  ·  PMID 42721092</w:t>
      </w:r>
    </w:p>
    <w:p>
      <w:r>
        <w:t>Übersichtsarbeit zum Konzept der Hämoadsorbtion gekoppelt mit Hämodialyse (HAHD) als Strategie zur Überwindung der Grenzen konventioneller Dialyse beim Entfernen von Proteintoxinen und mittleren Molekülen und zur Behandlung residualer urämischer Toxizität bei Endstadium-Nierenerkrankung.</w:t>
      </w:r>
    </w:p>
    <w:p>
      <w:r>
        <w:rPr>
          <w:b/>
        </w:rPr>
        <w:t xml:space="preserve">Ergebnis: </w:t>
      </w:r>
      <w:r>
        <w:t>HAHD ermöglicht physikochemische Interaktionen zwischen zirkulierenden Stoffen und Sorbentien und überwindet damit Beschränkungen durch Molekülgröße und Proteinbindung. Ein phänotypgestützter Toxin-Domänen-Ansatz wird vorgeschlagen mit vier Phänotypen: entzündlich, proteingebunden-toxin-getrieben, Mittelmolekülbelastung und neurokognitiv; emerge Evidenz deutet auf verbesserte Entzündungsmarker und Patient-zentrierte Ergebnisse hin.</w:t>
      </w:r>
    </w:p>
    <w:p>
      <w:r>
        <w:rPr>
          <w:b/>
          <w:sz w:val="19"/>
        </w:rPr>
        <w:t xml:space="preserve">Übertragbarkeit: </w:t>
      </w:r>
      <w:r>
        <w:rPr>
          <w:sz w:val="19"/>
        </w:rPr>
        <w:t>Konzeptuelle Versorgungsanleitung auf Grundlage europäischer und nordamerikanischer Erfahrung; direkt auf deutsches Dialysesetting übertragbar.</w:t>
      </w:r>
    </w:p>
    <w:p>
      <w:r>
        <w:rPr>
          <w:color w:val="5A7D3A"/>
          <w:sz w:val="18"/>
        </w:rPr>
        <w:t>https://pubmed.ncbi.nlm.nih.gov/42721092/</w:t>
      </w:r>
    </w:p>
    <w:p>
      <w:pPr>
        <w:pStyle w:val="Heading2"/>
      </w:pPr>
      <w:r>
        <w:t>HBsAg-Glykaniomer vorhersagt Virusansprechrate bei chronischer Hepatitis B</w:t>
      </w:r>
    </w:p>
    <w:p>
      <w:r>
        <w:rPr>
          <w:i/>
          <w:color w:val="666666"/>
          <w:sz w:val="18"/>
        </w:rPr>
        <w:t>Li J et al.  ·  Front Cell Infect Microbiol  ·  20.08.2026  ·  PMID 42694137</w:t>
      </w:r>
    </w:p>
    <w:p>
      <w:r>
        <w:t>Studie zum Potenzial des HBsAg-Glykanimers (HBsAgGi) als zirkulierender Biomarker für intrahepales cccDNA und Vorhersage des Therapieansprechens bei Hepatitis-B-Patienten unter Nucleos(t)id-Analoga.</w:t>
      </w:r>
    </w:p>
    <w:p>
      <w:r>
        <w:rPr>
          <w:b/>
        </w:rPr>
        <w:t xml:space="preserve">Ergebnis: </w:t>
      </w:r>
      <w:r>
        <w:t>HBsAgGi korrelierte signifikant mit intrahepatalem cccDNA (r = 0,7172, p &lt; 0,01) stärker als herkömmliche Marker; bei 18 Patienten unter Therapie sagte Baseline-HBsAgGi Therapieansprechung mit AUC von 0,9538 prädiktor besser voraus als andere Marker.</w:t>
      </w:r>
    </w:p>
    <w:p>
      <w:r>
        <w:rPr>
          <w:b/>
          <w:sz w:val="19"/>
        </w:rPr>
        <w:t xml:space="preserve">Übertragbarkeit: </w:t>
      </w:r>
      <w:r>
        <w:rPr>
          <w:sz w:val="19"/>
        </w:rPr>
        <w:t>China, grundlagenwissenschaftlich zur Diagnostik; begrenzte direkte Versorgungstransferabilität.</w:t>
      </w:r>
    </w:p>
    <w:p>
      <w:r>
        <w:rPr>
          <w:color w:val="5A7D3A"/>
          <w:sz w:val="18"/>
        </w:rPr>
        <w:t>https://pubmed.ncbi.nlm.nih.gov/42694137/</w:t>
      </w:r>
    </w:p>
    <w:p>
      <w:pPr>
        <w:pStyle w:val="Heading2"/>
      </w:pPr>
      <w:r>
        <w:t>Kostenersparnis durch Empagliflozin bei Nierenerkrankung: Haushaltsauswirkungen für Italien</w:t>
      </w:r>
    </w:p>
    <w:p>
      <w:r>
        <w:rPr>
          <w:i/>
          <w:color w:val="666666"/>
          <w:sz w:val="18"/>
        </w:rPr>
        <w:t>De Nicola L et al.  ·  J Nephrol  ·  20.08.2026  ·  PMID 42475513</w:t>
      </w:r>
    </w:p>
    <w:p>
      <w:r>
        <w:t>Budget-Impact-Analyse zur Additionstherapie mit dem SGLT2-Inhibitor Empagliflozin bei chronischer Nierenerkrankung im italienischen Gesundheitssystem.</w:t>
      </w:r>
    </w:p>
    <w:p>
      <w:r>
        <w:rPr>
          <w:b/>
        </w:rPr>
        <w:t xml:space="preserve">Ergebnis: </w:t>
      </w:r>
      <w:r>
        <w:t>Einführung von Empagliflozin reduzierte die direkten Krankheitskosten um 4,7 % mit Kostenersparnis von 10,09 Mio. € über 3 Jahre (216,07 Mio. € ohne vs. 205,98 Mio. € mit Empagliflozin), hauptsächlich durch Verzögerung der Progression zum Nierenversagen.</w:t>
      </w:r>
    </w:p>
    <w:p>
      <w:r>
        <w:rPr>
          <w:b/>
          <w:sz w:val="19"/>
        </w:rPr>
        <w:t xml:space="preserve">Übertragbarkeit: </w:t>
      </w:r>
      <w:r>
        <w:rPr>
          <w:sz w:val="19"/>
        </w:rPr>
        <w:t>Italien, vergleichbare Gesundheitsausgabendaten, aber Strukturen unterscheiden sich von deutschem System.</w:t>
      </w:r>
    </w:p>
    <w:p>
      <w:r>
        <w:rPr>
          <w:color w:val="5A7D3A"/>
          <w:sz w:val="18"/>
        </w:rPr>
        <w:t>https://pubmed.ncbi.nlm.nih.gov/42475513/</w:t>
      </w:r>
    </w:p>
    <w:p>
      <w:pPr>
        <w:pStyle w:val="Heading1"/>
      </w:pPr>
      <w:r>
        <w:t>Aufgenommen am 13.09.2026</w:t>
      </w:r>
    </w:p>
    <w:p>
      <w:pPr>
        <w:pStyle w:val="Heading2"/>
      </w:pPr>
      <w:r>
        <w:t>Parasternal-Muskeldicke sagt Weaning-Misserfolg bei COPD-Patienten voraus</w:t>
      </w:r>
    </w:p>
    <w:p>
      <w:r>
        <w:rPr>
          <w:i/>
          <w:color w:val="666666"/>
          <w:sz w:val="18"/>
        </w:rPr>
        <w:t>Gürün Kaya A et al.  ·  BMJ Open Respir Res  ·  11.09.2026  ·  PMID 42731822</w:t>
      </w:r>
    </w:p>
    <w:p>
      <w:r>
        <w:t>Prospektive Beobachtungsstudie mit 131 beatmeten COPD-Patienten: Ultraschall-Messung der Atemhilfsmuskulatur vor Spontanatmungstest zur Vorhersage des Weaning-Erfolgs.</w:t>
      </w:r>
    </w:p>
    <w:p>
      <w:r>
        <w:rPr>
          <w:b/>
        </w:rPr>
        <w:t xml:space="preserve">Ergebnis: </w:t>
      </w:r>
      <w:r>
        <w:t>Atemmuskeldicken-Zunahme ≥11,9% versus 7,4% bei Erfolg (p&lt;0,001); adjustiertes OR 3,3–4,0 pro 1%-Punkt Zunahme für Weaning-Misserfolg; Weaning-Misserfolg: 19%. Ultraschall der Atemhilfsmuskulatur identifiziert High-Risk-Patienten zuverlässig.</w:t>
      </w:r>
    </w:p>
    <w:p>
      <w:r>
        <w:rPr>
          <w:b/>
          <w:sz w:val="19"/>
        </w:rPr>
        <w:t xml:space="preserve">Übertragbarkeit: </w:t>
      </w:r>
      <w:r>
        <w:rPr>
          <w:sz w:val="19"/>
        </w:rPr>
        <w:t>Türkische Universitätsklinik; Methode ist in deutschen Intensivstationen verfügbar und anwendbar</w:t>
      </w:r>
    </w:p>
    <w:p>
      <w:r>
        <w:rPr>
          <w:color w:val="5A7D3A"/>
          <w:sz w:val="18"/>
        </w:rPr>
        <w:t>https://pubmed.ncbi.nlm.nih.gov/42731822/</w:t>
      </w:r>
    </w:p>
    <w:p>
      <w:pPr>
        <w:pStyle w:val="Heading2"/>
      </w:pPr>
      <w:r>
        <w:t>Kombinierter Stoffwechsel-Index sagt Mehrfacherkrankung bei Steatosis hepatis voraus</w:t>
      </w:r>
    </w:p>
    <w:p>
      <w:r>
        <w:rPr>
          <w:i/>
          <w:color w:val="666666"/>
          <w:sz w:val="18"/>
        </w:rPr>
        <w:t>Mu K et al.  ·  Cardiovasc Diabetol  ·  23.08.2026  ·  PMID 42728598</w:t>
      </w:r>
    </w:p>
    <w:p>
      <w:r>
        <w:t>Prospektive Kohortenstudie mit 109.434 Personen aus UK Biobank: Sieben Cholesterol-HDL-Glukose-abgeleitete Indizes zur Vorhersage kardio-metaboler Mehrfacherkrankung (mindestens 2 von 3: T2D, KHK, Schlaganfall) bei nicht-alkoholischer Fettlebererkrankung.</w:t>
      </w:r>
    </w:p>
    <w:p>
      <w:r>
        <w:rPr>
          <w:b/>
        </w:rPr>
        <w:t xml:space="preserve">Ergebnis: </w:t>
      </w:r>
      <w:r>
        <w:t>4.225 Mehrfacherkrankungen über 16,4 Jahre. CHG-Waist-to-Height-Ratio: HR 1,61 pro SD (95%-KI 1,57–1,65); CHG-Taillenumfang: HR 1,59. Kombination der Indizes besserte C-Index und Reklassifizierung. Stärkste Assoziationen für Transition T2D→Mehrfacherkrankung.</w:t>
      </w:r>
    </w:p>
    <w:p>
      <w:r>
        <w:rPr>
          <w:b/>
          <w:sz w:val="19"/>
        </w:rPr>
        <w:t xml:space="preserve">Übertragbarkeit: </w:t>
      </w:r>
      <w:r>
        <w:rPr>
          <w:sz w:val="19"/>
        </w:rPr>
        <w:t>UK Biobank, vergleichbar mit deutschen Gesundheitsdaten und Versorgungsstrukturen</w:t>
      </w:r>
    </w:p>
    <w:p>
      <w:r>
        <w:rPr>
          <w:color w:val="5A7D3A"/>
          <w:sz w:val="18"/>
        </w:rPr>
        <w:t>https://pubmed.ncbi.nlm.nih.gov/42728598/</w:t>
      </w:r>
    </w:p>
    <w:p>
      <w:pPr>
        <w:pStyle w:val="Heading2"/>
      </w:pPr>
      <w:r>
        <w:t>Muskelkraft senkt Sterblichkeit unabhängig von Aktivität – Versorgungslücke in NCDs</w:t>
      </w:r>
    </w:p>
    <w:p>
      <w:r>
        <w:rPr>
          <w:i/>
          <w:color w:val="666666"/>
          <w:sz w:val="18"/>
        </w:rPr>
        <w:t>Puelles-Diaz A  ·  Front Public Health  ·  27.08.2026  ·  PMID 42724145</w:t>
      </w:r>
    </w:p>
    <w:p>
      <w:r>
        <w:t>Narrative Perspektive zur Gesundheitspolitik: Muskelkraft und funktionelle Kapazität sind prognostisch eigenständige Ziele in NCD-Prävention und müssen in globale Frameworks integriert werden; Blockaden sind Assessments, Trainingsformate, Finanzierung und Compliance.</w:t>
      </w:r>
    </w:p>
    <w:p>
      <w:r>
        <w:rPr>
          <w:b/>
        </w:rPr>
        <w:t xml:space="preserve">Ergebnis: </w:t>
      </w:r>
      <w:r>
        <w:t>Kernaussage: Muskelkraft sagt Sterblichkeit voraus, unabhängig vom Aktivitätslevel; Widerstands- und Mehrkompponententraining bringt größere Gewinne als Ausdauertraining allein. Größte Effekte bei Patienten mit Funktionsbeeinträchtigung. Drei Integrationslücken: fehlende Assessments in Primärversorgung, Unterpriorisierung von Resistanztraining, Abwesenheit in WHO-NCD-Zielen.</w:t>
      </w:r>
    </w:p>
    <w:p>
      <w:r>
        <w:rPr>
          <w:b/>
          <w:sz w:val="19"/>
        </w:rPr>
        <w:t xml:space="preserve">Übertragbarkeit: </w:t>
      </w:r>
      <w:r>
        <w:rPr>
          <w:sz w:val="19"/>
        </w:rPr>
        <w:t>Internationale Evidenz (Japan, Europa, Nordamerika, Brasilien), direkt relevant für deutsche NCD-Politik und Strukturen</w:t>
      </w:r>
    </w:p>
    <w:p>
      <w:r>
        <w:rPr>
          <w:color w:val="5A7D3A"/>
          <w:sz w:val="18"/>
        </w:rPr>
        <w:t>https://pubmed.ncbi.nlm.nih.gov/42724145/</w:t>
      </w:r>
    </w:p>
    <w:p>
      <w:pPr>
        <w:pStyle w:val="Heading2"/>
      </w:pPr>
      <w:r>
        <w:t>Online-Hemodiafiltration mit hohem konvektivem Volumen reduziert kardiovaskuläre Todesfälle</w:t>
      </w:r>
    </w:p>
    <w:p>
      <w:r>
        <w:rPr>
          <w:i/>
          <w:color w:val="666666"/>
          <w:sz w:val="18"/>
        </w:rPr>
        <w:t>Maduell F et al.  ·  Contrib Nephrol  ·  10.09.2026  ·  PMID 42721100</w:t>
      </w:r>
    </w:p>
    <w:p>
      <w:r>
        <w:t>Systematische Übersicht klinischer Evidenz über 3 Jahrzehnte zur Hemodiafiltration zur Clearance urämischer Toxine bei Nierenersatztherapie: Literaturanalyse mit Fokus auf Konvektion und Sterblichkeit.</w:t>
      </w:r>
    </w:p>
    <w:p>
      <w:r>
        <w:rPr>
          <w:b/>
        </w:rPr>
        <w:t xml:space="preserve">Ergebnis: </w:t>
      </w:r>
      <w:r>
        <w:t>Konvektives Volumen &gt;23 L/Session zeigte konsistent Überlebensvorteil in randomisierten Studien und Beobachtungsdaten; Reduktion von Hypotension, Entzündung und kardiovaskullären Ereignissen gegenüber konventioneller Hämodialyse; Verbesserung der Endothelfunktion und Knochenstoffwechsel dokumentiert.</w:t>
      </w:r>
    </w:p>
    <w:p>
      <w:r>
        <w:rPr>
          <w:b/>
          <w:sz w:val="19"/>
        </w:rPr>
        <w:t xml:space="preserve">Übertragbarkeit: </w:t>
      </w:r>
      <w:r>
        <w:rPr>
          <w:sz w:val="19"/>
        </w:rPr>
        <w:t>Deutschland, Europa: Evidenz aus RCTs und Poolanalysen zu etablierter Technik mit direkter Anwendbarkeit</w:t>
      </w:r>
    </w:p>
    <w:p>
      <w:r>
        <w:rPr>
          <w:color w:val="5A7D3A"/>
          <w:sz w:val="18"/>
        </w:rPr>
        <w:t>https://pubmed.ncbi.nlm.nih.gov/42721100/</w:t>
      </w:r>
    </w:p>
    <w:p>
      <w:pPr>
        <w:pStyle w:val="Heading2"/>
      </w:pPr>
      <w:r>
        <w:t>Chronische Erkrankungen mehrfach verbunden mit Aortenerkrankung – Mehrfacherkrankung verdoppelt Risiko</w:t>
      </w:r>
    </w:p>
    <w:p>
      <w:r>
        <w:rPr>
          <w:i/>
          <w:color w:val="666666"/>
          <w:sz w:val="18"/>
        </w:rPr>
        <w:t>Yu L et al.  ·  Nat Commun  ·  11.08.2026  ·  PMID 42717190</w:t>
      </w:r>
    </w:p>
    <w:p>
      <w:r>
        <w:t>Prospektive Kohortenstudie mit UK Biobank (n=~500.000) und externe Validierung in China Kadoorie Biobank: 42 chronische Erkrankungen auf Zusammenhang mit Aortenerkrankung untersucht.</w:t>
      </w:r>
    </w:p>
    <w:p>
      <w:r>
        <w:rPr>
          <w:b/>
        </w:rPr>
        <w:t xml:space="preserve">Ergebnis: </w:t>
      </w:r>
      <w:r>
        <w:t>21 Erkrankungen signifikant assoziiert nach FDR-Korrektur (Koronarerkrankung, Hypertonie, Vorhofflimmern, pAVK, Herzinsuffizienz, COPD). Hypertonie größte Population Attributable Fraction (PAF), zusätzlich COPD und CKD. Höhere Multimorbidität→höheres Risiko in beiden Kohorten. Aortenatherosklerose zeigt breiteste Komorbiditätsprofile.</w:t>
      </w:r>
    </w:p>
    <w:p>
      <w:r>
        <w:rPr>
          <w:b/>
          <w:sz w:val="19"/>
        </w:rPr>
        <w:t xml:space="preserve">Übertragbarkeit: </w:t>
      </w:r>
      <w:r>
        <w:rPr>
          <w:sz w:val="19"/>
        </w:rPr>
        <w:t>UK Biobank + China Kadoorie Biobank, Methodik und Risikoprofile übertragbar auf deutsches Gesundheitssystem</w:t>
      </w:r>
    </w:p>
    <w:p>
      <w:r>
        <w:rPr>
          <w:color w:val="5A7D3A"/>
          <w:sz w:val="18"/>
        </w:rPr>
        <w:t>https://pubmed.ncbi.nlm.nih.gov/42717190/</w:t>
      </w:r>
    </w:p>
    <w:p>
      <w:pPr>
        <w:pStyle w:val="Heading2"/>
      </w:pPr>
      <w:r>
        <w:t>Strukturierte Selbstmanagement-Unterstützung verbessert Therapietreue chronischer Erkrankungen</w:t>
      </w:r>
    </w:p>
    <w:p>
      <w:r>
        <w:rPr>
          <w:i/>
          <w:color w:val="666666"/>
          <w:sz w:val="18"/>
        </w:rPr>
        <w:t>Hald MH et al.  ·  Patient Educ Couns  ·  27.07.2026  ·  PMID 42520599</w:t>
      </w:r>
    </w:p>
    <w:p>
      <w:r>
        <w:t>Qualitative Studie mit 23 Fachpersonen in Grönland: Self-Management-Unterstützung für COPD und Typ-2-Diabetes war überwiegend informell und biomedizinisch ausgerichtet, mit begrenzter Nutzung strukturierter, handlungsorientierter Strategien.</w:t>
      </w:r>
    </w:p>
    <w:p>
      <w:r>
        <w:rPr>
          <w:b/>
        </w:rPr>
        <w:t xml:space="preserve">Ergebnis: </w:t>
      </w:r>
      <w:r>
        <w:t>Kernfindung: Self-Management-Unterstützung war in 80% der dokumentierten Interaktionen informell und reaktiv statt proaktiv strukturiert. Handlungsempfehlung: Organisationale Gesundheitskompetenz und pädagogisch fundierte, alltagsorientierte Unterstützung sind notwendig zur Qualitätsverbesserung.</w:t>
      </w:r>
    </w:p>
    <w:p>
      <w:r>
        <w:rPr>
          <w:b/>
          <w:sz w:val="19"/>
        </w:rPr>
        <w:t xml:space="preserve">Übertragbarkeit: </w:t>
      </w:r>
      <w:r>
        <w:rPr>
          <w:sz w:val="19"/>
        </w:rPr>
        <w:t>Grönland-Studie; übertragbar auf dezentralisierte und ressourcenbegrenzte Systeme in Deutschland</w:t>
      </w:r>
    </w:p>
    <w:p>
      <w:r>
        <w:rPr>
          <w:color w:val="5A7D3A"/>
          <w:sz w:val="18"/>
        </w:rPr>
        <w:t>https://pubmed.ncbi.nlm.nih.gov/42520599/</w:t>
      </w:r>
    </w:p>
    <w:p>
      <w:pPr>
        <w:pStyle w:val="Heading1"/>
      </w:pPr>
      <w:r>
        <w:t>Aufgenommen am 12.09.2026</w:t>
      </w:r>
    </w:p>
    <w:p>
      <w:pPr>
        <w:pStyle w:val="Heading2"/>
      </w:pPr>
      <w:r>
        <w:t>Inflammatorisches Phänotyp bei COPD: erhöhte Neutrophil-Lymphozyten-Ratio zeigt distinkte Immunmuster</w:t>
      </w:r>
    </w:p>
    <w:p>
      <w:r>
        <w:rPr>
          <w:i/>
          <w:color w:val="666666"/>
          <w:sz w:val="18"/>
        </w:rPr>
        <w:t>Colakoglu C et al.  ·  PLoS One  ·  11.09.2026  ·  PMID 42726765</w:t>
      </w:r>
    </w:p>
    <w:p>
      <w:r>
        <w:t>Querschnittstudie mit 127 stabilen COPD-Patienten stratifiziert nach Langzeit-Sauerstofftherapie verglich Entzündungsmarker und Immunzellprofile.</w:t>
      </w:r>
    </w:p>
    <w:p>
      <w:r>
        <w:rPr>
          <w:b/>
        </w:rPr>
        <w:t xml:space="preserve">Ergebnis: </w:t>
      </w:r>
      <w:r>
        <w:t>Patienten mit Langzeit-Sauerstofftherapie zeigten signifikant höhere NLR-Werte (6,32±4,87 vs. 3,68±2,41, p=0,001), aber ähnliche Gesamtleukozyten und CRP. Erhöhte NLR reflektiert bei fortgeschrittener COPD nicht obligat systemische Entzündung, sondern distinkte Immunphänotypen mit vermindertem Lymphozyten- und Eosinophilenzahl.</w:t>
      </w:r>
    </w:p>
    <w:p>
      <w:r>
        <w:rPr>
          <w:b/>
          <w:sz w:val="19"/>
        </w:rPr>
        <w:t xml:space="preserve">Übertragbarkeit: </w:t>
      </w:r>
      <w:r>
        <w:rPr>
          <w:sz w:val="19"/>
        </w:rPr>
        <w:t>Türkei, Querschnittdaten validierbar in europäischen Registern, biologische Logik unabhängig von System</w:t>
      </w:r>
    </w:p>
    <w:p>
      <w:r>
        <w:rPr>
          <w:color w:val="5A7D3A"/>
          <w:sz w:val="18"/>
        </w:rPr>
        <w:t>https://pubmed.ncbi.nlm.nih.gov/42726765/</w:t>
      </w:r>
    </w:p>
    <w:p>
      <w:pPr>
        <w:pStyle w:val="Heading2"/>
      </w:pPr>
      <w:r>
        <w:t>Mangelernährung bei prädialytischer CKD: U-förmige Assoziation mit Körpergewicht und höhere Prävalenz</w:t>
      </w:r>
    </w:p>
    <w:p>
      <w:r>
        <w:rPr>
          <w:i/>
          <w:color w:val="666666"/>
          <w:sz w:val="18"/>
        </w:rPr>
        <w:t>Arayangkoon C et al.  ·  Narra J  ·  07.07.2026  ·  PMID 42724106</w:t>
      </w:r>
    </w:p>
    <w:p>
      <w:r>
        <w:t>Querschnittstudie mit 313 prädialytischen CKD-Patienten (Stadien 3-5) an Nephrologie-Klinik untersuchte Prävalenz und Faktoren der Mangelernährung mittels Nutrition Alert Form.</w:t>
      </w:r>
    </w:p>
    <w:p>
      <w:r>
        <w:rPr>
          <w:b/>
        </w:rPr>
        <w:t xml:space="preserve">Ergebnis: </w:t>
      </w:r>
      <w:r>
        <w:t>Mangelernährungsprävalenz 39,30% (34,50% moderat, 4,79% schwer). Unabhängige Faktoren: Untergewicht (aOR 5,10), schwere Adipositas (aOR 7,33), Schlaganfall-Geschichte (aOR 85,23), Gewichtsverlust in 4 Wochen (aOR 7,55), reduzierte Nahrungsaufnahme (aOR 46,42), beeinträchtigter Lebensmittelverfügung (aOR 10,63), CKD Stufe 5 (aOR 2,22), erhöhtes Kreatinin (aOR 1,86).</w:t>
      </w:r>
    </w:p>
    <w:p>
      <w:r>
        <w:rPr>
          <w:b/>
          <w:sz w:val="19"/>
        </w:rPr>
        <w:t xml:space="preserve">Übertragbarkeit: </w:t>
      </w:r>
      <w:r>
        <w:rPr>
          <w:sz w:val="19"/>
        </w:rPr>
        <w:t>Thailand, vergleichbare CKD-Epidemiologie, Screening-Empfehlungen übertragbar</w:t>
      </w:r>
    </w:p>
    <w:p>
      <w:r>
        <w:rPr>
          <w:color w:val="5A7D3A"/>
          <w:sz w:val="18"/>
        </w:rPr>
        <w:t>https://pubmed.ncbi.nlm.nih.gov/42724106/</w:t>
      </w:r>
    </w:p>
    <w:p>
      <w:pPr>
        <w:pStyle w:val="Heading2"/>
      </w:pPr>
      <w:r>
        <w:t>Hemodiafiltration und erweiterte Hämodialyse senken Urämie-Toxine stärker als Standarddialyse</w:t>
      </w:r>
    </w:p>
    <w:p>
      <w:r>
        <w:rPr>
          <w:i/>
          <w:color w:val="666666"/>
          <w:sz w:val="18"/>
        </w:rPr>
        <w:t>Guimarães MG et al.  ·  Contrib Nephrol  ·  10.09.2026  ·  PMID 42721106</w:t>
      </w:r>
    </w:p>
    <w:p>
      <w:r>
        <w:t>Narrative Übersicht zu Mechanismen der Urämie-Toxin-Akkumulation und Evidenz für fortgeschrittene Blutreinigungs-Verfahren (HDF, HDx, Hemoadsorption) bei Erhaltungsdialyse-Patienten.</w:t>
      </w:r>
    </w:p>
    <w:p>
      <w:r>
        <w:rPr>
          <w:b/>
        </w:rPr>
        <w:t xml:space="preserve">Ergebnis: </w:t>
      </w:r>
      <w:r>
        <w:t>Hochvolumen-HDF zeigt dosisabhängigen Überlebensvorteil. HDx mit Medium-Cut-Off-Membranen erreicht bessere Mittelmolekül-Clearance. Hemoadsorption adressiert proteingebundene und entzündliche Solute. Alle drei Ansätze sind mit Signalen für Überlebensvorteil, Erhaltung der Restfunktion und verbessertem patient-reported outcomes assoziiert. Unterschiede im Clearance-Profil übersetzen sich in klinische Ergebnisse.</w:t>
      </w:r>
    </w:p>
    <w:p>
      <w:r>
        <w:rPr>
          <w:b/>
          <w:sz w:val="19"/>
        </w:rPr>
        <w:t xml:space="preserve">Übertragbarkeit: </w:t>
      </w:r>
      <w:r>
        <w:rPr>
          <w:sz w:val="19"/>
        </w:rPr>
        <w:t>Internationale Perspektive, biologische Evidenz unabhängig von Versicherungssystem, Anwendbar bei ausreichender technischer Infrastruktur</w:t>
      </w:r>
    </w:p>
    <w:p>
      <w:r>
        <w:rPr>
          <w:color w:val="5A7D3A"/>
          <w:sz w:val="18"/>
        </w:rPr>
        <w:t>https://pubmed.ncbi.nlm.nih.gov/42721106/</w:t>
      </w:r>
    </w:p>
    <w:p>
      <w:pPr>
        <w:pStyle w:val="Heading2"/>
      </w:pPr>
      <w:r>
        <w:t>Gemischte Symptomklassen bei Angststörung und funktionalen Störungen: Mehrfacherkrankung erklärt Komorbiditätsmuster</w:t>
      </w:r>
    </w:p>
    <w:p>
      <w:r>
        <w:rPr>
          <w:i/>
          <w:color w:val="666666"/>
          <w:sz w:val="18"/>
        </w:rPr>
        <w:t>Saini U et al.  ·  Gen Hosp Psychiatry  ·  11.08.2026  ·  PMID 42594760</w:t>
      </w:r>
    </w:p>
    <w:p>
      <w:r>
        <w:t>Latente Klassenanalyse mit Mixed-Measurement IRT bei 72.919 Erwachsenen untersuchte datengesteuerte Subtypen von Symptomen bei Major Depression, Angststörung, ME/CFS, Fibromyalgie und Reizdarmsyndrom.</w:t>
      </w:r>
    </w:p>
    <w:p>
      <w:r>
        <w:rPr>
          <w:b/>
        </w:rPr>
        <w:t xml:space="preserve">Ergebnis: </w:t>
      </w:r>
      <w:r>
        <w:t>Sechs Klassen identifiziert: Gesund (57,5%), Schmerz (13,8%), Spannung/Schmerz (9,1%), Angst (9,0%), Kognition/Fatigue (6,4%), Depression (4,3%). Alle Klassen zeigten Mischung aus Angststörungs- und funktionalen Störungssymptomen; ID-FD-Komorbiditäten konzentriert in Kognition/Fatigue- und Depressionsklassen.</w:t>
      </w:r>
    </w:p>
    <w:p>
      <w:r>
        <w:rPr>
          <w:b/>
          <w:sz w:val="19"/>
        </w:rPr>
        <w:t xml:space="preserve">Übertragbarkeit: </w:t>
      </w:r>
      <w:r>
        <w:rPr>
          <w:sz w:val="19"/>
        </w:rPr>
        <w:t>Niederlande, Lifelines-Kohortenstudie, Versorgung sollte symptombasiert strukturiert sein</w:t>
      </w:r>
    </w:p>
    <w:p>
      <w:r>
        <w:rPr>
          <w:color w:val="5A7D3A"/>
          <w:sz w:val="18"/>
        </w:rPr>
        <w:t>https://pubmed.ncbi.nlm.nih.gov/42594760/</w:t>
      </w:r>
    </w:p>
    <w:p>
      <w:pPr>
        <w:pStyle w:val="Heading2"/>
      </w:pPr>
      <w:r>
        <w:t>Erhöhtes zirkulierendes Kallikrein-Peptidase-7 assoziiert mit schlechterer Nierenfunktion und Mortalitätsrisiko</w:t>
      </w:r>
    </w:p>
    <w:p>
      <w:r>
        <w:rPr>
          <w:i/>
          <w:color w:val="666666"/>
          <w:sz w:val="18"/>
        </w:rPr>
        <w:t>Schürfeld R et al.  ·  Front Endocrinol (Lausanne)  ·  07.07.2026  ·  PMID 42483682</w:t>
      </w:r>
    </w:p>
    <w:p>
      <w:r>
        <w:t>Querschnitts- und Längsschnittanalyse mit 542 CKD-Patienten (davon 472 mit Ereignisverfolgung über 7,6 Jahre median) untersuchte Assoziation von KLK7-Serumspiegeln mit Nierenfunktion und Mortalität.</w:t>
      </w:r>
    </w:p>
    <w:p>
      <w:r>
        <w:rPr>
          <w:b/>
        </w:rPr>
        <w:t xml:space="preserve">Ergebnis: </w:t>
      </w:r>
      <w:r>
        <w:t>KLK7 invers mit eGFR assoziiert. Höhere KLK7-Spiegel unabhängig mit niedrigerer Gesamt- (HR 0,65 [95%-KI 0,49-0,86], p=0,003) und nicht-kardiovaskulärer Mortalität (HR 0,56 [95%-KI 0,40-0,78], p=0,001) assoziiert. KLK7-Schwellenwert 1383,6 pg/ml stratifizierte Patienten in Hoch- und Niedrigrisikogruppen.</w:t>
      </w:r>
    </w:p>
    <w:p>
      <w:r>
        <w:rPr>
          <w:b/>
          <w:sz w:val="19"/>
        </w:rPr>
        <w:t xml:space="preserve">Übertragbarkeit: </w:t>
      </w:r>
      <w:r>
        <w:rPr>
          <w:sz w:val="19"/>
        </w:rPr>
        <w:t>Deutschland, Leipzig-CKD-Kohortenstudie, deutsche Klinikpopulation direkt untersucht</w:t>
      </w:r>
    </w:p>
    <w:p>
      <w:r>
        <w:rPr>
          <w:color w:val="5A7D3A"/>
          <w:sz w:val="18"/>
        </w:rPr>
        <w:t>https://pubmed.ncbi.nlm.nih.gov/42483682/</w:t>
      </w:r>
    </w:p>
    <w:p>
      <w:pPr>
        <w:pStyle w:val="Heading2"/>
      </w:pPr>
      <w:r>
        <w:t>Integrierte Versorgung mit Care Coordinator verbessert Lebensqualität bei Mehrfacherkrankung</w:t>
      </w:r>
    </w:p>
    <w:p>
      <w:r>
        <w:rPr>
          <w:i/>
          <w:color w:val="666666"/>
          <w:sz w:val="18"/>
        </w:rPr>
        <w:t>Bales G et al.  ·  BMJ Open  ·  21.07.2026  ·  PMID 42481205</w:t>
      </w:r>
    </w:p>
    <w:p>
      <w:r>
        <w:t>Qualitative Studie mit 16 jungen und mittelalten Erwachsenen mit Mehrfacherkrankung, die Krankenhausaufenthalte und Übergänge in den ambulanten Bereich untersuchte.</w:t>
      </w:r>
    </w:p>
    <w:p>
      <w:r>
        <w:rPr>
          <w:b/>
        </w:rPr>
        <w:t xml:space="preserve">Ergebnis: </w:t>
      </w:r>
      <w:r>
        <w:t>Patienten benötigen integrierte Versorgung mit zentraler Koordination durch interprofessionelle Teams, wobei Advanced Practice Nurses führende Rolle spielen. Physische, emotionale, psychologische und soziale Dimensionen beeinflussen Genesungsergebnis; psychische Gesundheit ist kritischer Einflussfaktor für erfolgreiche Rückkehr zur Normalität trotz massiver Funktionseinschränkungen.</w:t>
      </w:r>
    </w:p>
    <w:p>
      <w:r>
        <w:rPr>
          <w:b/>
          <w:sz w:val="19"/>
        </w:rPr>
        <w:t xml:space="preserve">Übertragbarkeit: </w:t>
      </w:r>
      <w:r>
        <w:rPr>
          <w:sz w:val="19"/>
        </w:rPr>
        <w:t>Schweiz, vergleichbares Versicherungssystem, Bedarf an strukturierter Koordination übertragbar</w:t>
      </w:r>
    </w:p>
    <w:p>
      <w:r>
        <w:rPr>
          <w:color w:val="5A7D3A"/>
          <w:sz w:val="18"/>
        </w:rPr>
        <w:t>https://pubmed.ncbi.nlm.nih.gov/42481205/</w:t>
      </w:r>
    </w:p>
    <w:p>
      <w:pPr>
        <w:pStyle w:val="Heading1"/>
      </w:pPr>
      <w:r>
        <w:t>Aufgenommen am 11.09.2026</w:t>
      </w:r>
    </w:p>
    <w:p>
      <w:pPr>
        <w:pStyle w:val="Heading2"/>
      </w:pPr>
      <w:r>
        <w:t>Familiale Unterstützung puffert Zusammenhang zwischen Mehrfacherkrankung und Depressionen bei älteren Chinesen ab</w:t>
      </w:r>
    </w:p>
    <w:p>
      <w:r>
        <w:rPr>
          <w:i/>
          <w:color w:val="666666"/>
          <w:sz w:val="18"/>
        </w:rPr>
        <w:t>Zong L et al.  ·  PLoS One  ·  10.09.2026  ·  PMID 42721129</w:t>
      </w:r>
    </w:p>
    <w:p>
      <w:r>
        <w:t>Querschnittsstudie mit 2020 China Longitudinal Aging Social Survey (CLASS)-Daten zu 8.755 älteren Erwachsenen zur Untersuchung der Assoziation zwischen Mehrfacherkrankung und psychischer Gesundheit sowie moderierender Rolle von familialer und sozialer Unterstützung.</w:t>
      </w:r>
    </w:p>
    <w:p>
      <w:r>
        <w:rPr>
          <w:b/>
        </w:rPr>
        <w:t xml:space="preserve">Ergebnis: </w:t>
      </w:r>
      <w:r>
        <w:t>Mehrfacherkrankung signifikant assoziiert mit schlechterer psychischer Gesundheit. Familiale Unterstützung moderiert diesen Zusammenhang signifikant (p&lt;0,05), während soziale Unterstützung dies nicht tat. Marginaleffekt-Analyse zeigt: negativer Zusammenhang zwischen Mehrfacherkrankung und psychischer Gesundheit wird stärker mit höherer familialer Unterstützung. Effekt schwächt sich mit Alter ab, bei ≥80 Jahren statistisch insignifikant.</w:t>
      </w:r>
    </w:p>
    <w:p>
      <w:r>
        <w:rPr>
          <w:b/>
          <w:sz w:val="19"/>
        </w:rPr>
        <w:t xml:space="preserve">Übertragbarkeit: </w:t>
      </w:r>
      <w:r>
        <w:rPr>
          <w:sz w:val="19"/>
        </w:rPr>
        <w:t>China, aber psychosoziale Mechanismen der Mehrfacherkrankung international relevant</w:t>
      </w:r>
    </w:p>
    <w:p>
      <w:r>
        <w:rPr>
          <w:color w:val="5A7D3A"/>
          <w:sz w:val="18"/>
        </w:rPr>
        <w:t>https://pubmed.ncbi.nlm.nih.gov/42721129/</w:t>
      </w:r>
    </w:p>
    <w:p>
      <w:pPr>
        <w:pStyle w:val="Heading2"/>
      </w:pPr>
      <w:r>
        <w:t>Übergewicht/Adipositas bei Kindern 5–9 Jahren korreliert mit 14 nicht-übertragbaren Krankheiten weltweit</w:t>
      </w:r>
    </w:p>
    <w:p>
      <w:r>
        <w:rPr>
          <w:i/>
          <w:color w:val="666666"/>
          <w:sz w:val="18"/>
        </w:rPr>
        <w:t>Ye W et al.  ·  Front Public Health  ·  26.08.2026  ·  PMID 42718687</w:t>
      </w:r>
    </w:p>
    <w:p>
      <w:r>
        <w:t>Ökologische Analyse von 174 Ländern mit 2022-Daten zur Untersuchung von Assoziationen zwischen Übergewicht/Adipositas-Prävalenz und Prävalenz nicht-übertragbarer Erkrankungen bei Kindern mittels Spearman-Korrelation und Random-Forest-Analyse.</w:t>
      </w:r>
    </w:p>
    <w:p>
      <w:r>
        <w:rPr>
          <w:b/>
        </w:rPr>
        <w:t xml:space="preserve">Ergebnis: </w:t>
      </w:r>
      <w:r>
        <w:t>Signifikant positive Korrelationen zwischen Übergewicht/Adipositas und multiplen Erkrankungen (p&lt;0,05): stärkste Assoziationen mit Neoplasien, Verdauungs-/Urogenitalerkrankungen, neurologisch-psychiatrischen und kardiovaskulären Erkrankungen. Nach FDR-Korrektur blieben multiple positive Assoziationen in Gesamtanalyse und bei Jungen signifikant; bei Mädchen keine.</w:t>
      </w:r>
    </w:p>
    <w:p>
      <w:r>
        <w:rPr>
          <w:b/>
          <w:sz w:val="19"/>
        </w:rPr>
        <w:t xml:space="preserve">Übertragbarkeit: </w:t>
      </w:r>
      <w:r>
        <w:rPr>
          <w:sz w:val="19"/>
        </w:rPr>
        <w:t>Global, 174 Länder, Prävention bei Kindern übertragbar</w:t>
      </w:r>
    </w:p>
    <w:p>
      <w:r>
        <w:rPr>
          <w:color w:val="5A7D3A"/>
          <w:sz w:val="18"/>
        </w:rPr>
        <w:t>https://pubmed.ncbi.nlm.nih.gov/42718687/</w:t>
      </w:r>
    </w:p>
    <w:p>
      <w:pPr>
        <w:pStyle w:val="Heading2"/>
      </w:pPr>
      <w:r>
        <w:t>Spezialisierte ambulante Versorgung stabilisierte Nierenfunktion bei 211 Patienten mit CKD-Stadium 4–5 zu 90,2 %</w:t>
      </w:r>
    </w:p>
    <w:p>
      <w:r>
        <w:rPr>
          <w:i/>
          <w:color w:val="666666"/>
          <w:sz w:val="18"/>
        </w:rPr>
        <w:t>Nerbass FB et al.  ·  Epidemiol Serv Saude  ·  10.04.2026  ·  PMID 42718411</w:t>
      </w:r>
    </w:p>
    <w:p>
      <w:r>
        <w:t>Retrospektive Multizenterstudie mit 547 Patienten mit CKD-Stadium 4–5 in fünf spezialisierten ambulanten Zentren in Santa Catarina (Brasilien) zwischen November 2021 und Oktober 2024 zur Evaluation von Follow-up-Adhärenz und Nierenfunktionsveränderung über 12 Monate.</w:t>
      </w:r>
    </w:p>
    <w:p>
      <w:r>
        <w:rPr>
          <w:b/>
        </w:rPr>
        <w:t xml:space="preserve">Ergebnis: </w:t>
      </w:r>
      <w:r>
        <w:t>Von 237 Patienten mit Follow-up-Start bis Oktober 2023 schlossen 211 (90,2 %) ein Jahr ab. Mediane geschätzte glomeruläre Filtrationsrate blieb stabil: 22 (18–26) vs. 22 (18–27) ml/min/1,73 m² (p=0,300). Nur 5 Patienten (2,1 %) progredienten zu Nierenersatztherapie. Bevölkerung: 83 % Stadium 4, 80,6 % &gt;60 Jahre, 91,8 % Hypertonie, 51,6 % Diabetes.</w:t>
      </w:r>
    </w:p>
    <w:p>
      <w:r>
        <w:rPr>
          <w:b/>
          <w:sz w:val="19"/>
        </w:rPr>
        <w:t xml:space="preserve">Übertragbarkeit: </w:t>
      </w:r>
      <w:r>
        <w:rPr>
          <w:sz w:val="19"/>
        </w:rPr>
        <w:t>Brasilien, aber Konzept spezialisierter Vorsorge auf deutsche CKD-Versorgung übertragbar</w:t>
      </w:r>
    </w:p>
    <w:p>
      <w:r>
        <w:rPr>
          <w:color w:val="5A7D3A"/>
          <w:sz w:val="18"/>
        </w:rPr>
        <w:t>https://pubmed.ncbi.nlm.nih.gov/42718411/</w:t>
      </w:r>
    </w:p>
    <w:p>
      <w:pPr>
        <w:pStyle w:val="Heading2"/>
      </w:pPr>
      <w:r>
        <w:t>COPD-Mortalität nach Schweregrad: Evidenzbasierte Risikomodelle für deutsche Patientengruppen</w:t>
      </w:r>
    </w:p>
    <w:p>
      <w:r>
        <w:rPr>
          <w:i/>
          <w:color w:val="666666"/>
          <w:sz w:val="18"/>
        </w:rPr>
        <w:t>Niedermaier T et al.  ·  Sci Rep  ·  09.09.2026  ·  PMID 42717227</w:t>
      </w:r>
    </w:p>
    <w:p>
      <w:r>
        <w:t>Systematische Übersicht und Netzwerk-Meta-Analyse von 34 Studien mit 1.459.685 Teilnehmern zur Ableitung geschlechts- und altersabhängiger Mortalitätswahrscheinlichkeiten für COPD-Patienten in Deutschland nach GOLD-Schweregrad.</w:t>
      </w:r>
    </w:p>
    <w:p>
      <w:r>
        <w:rPr>
          <w:b/>
        </w:rPr>
        <w:t xml:space="preserve">Ergebnis: </w:t>
      </w:r>
      <w:r>
        <w:t>Monotone Zunahme der Mortalität: Hazard Ratios für GOLD 1–4 betrugen 1,09 (95%-KI 0,97–1,22), 1,57 (1,41–1,75), 2,39 (2,03–2,83) und 4,54 (3,44–6,01). Ein-Jahres-Mortalitätswahrscheinlichkeiten reichten von 0,15 % (Frauen, GOLD 1, 45–49 Jahre) bis 64,8 % (GOLD 4, Männer, ≥85 Jahre). Die Ergebnisse liefern evidence-basierte Risikostratifizierung für Deutschland.</w:t>
      </w:r>
    </w:p>
    <w:p>
      <w:r>
        <w:rPr>
          <w:b/>
          <w:sz w:val="19"/>
        </w:rPr>
        <w:t xml:space="preserve">Übertragbarkeit: </w:t>
      </w:r>
      <w:r>
        <w:rPr>
          <w:sz w:val="19"/>
        </w:rPr>
        <w:t>Deutschland, systematische Analyse deutscher Mortalitätsdaten und GOLD-Klassifikation</w:t>
      </w:r>
    </w:p>
    <w:p>
      <w:r>
        <w:rPr>
          <w:color w:val="5A7D3A"/>
          <w:sz w:val="18"/>
        </w:rPr>
        <w:t>https://pubmed.ncbi.nlm.nih.gov/42717227/</w:t>
      </w:r>
    </w:p>
    <w:p>
      <w:pPr>
        <w:pStyle w:val="Heading2"/>
      </w:pPr>
      <w:r>
        <w:t>Depressionen im Jugendalter erhöhen Mehrfacherkrankungsrisiko um das 1,7-fache bei COPD</w:t>
      </w:r>
    </w:p>
    <w:p>
      <w:r>
        <w:rPr>
          <w:i/>
          <w:color w:val="666666"/>
          <w:sz w:val="18"/>
        </w:rPr>
        <w:t>Wei W et al.  ·  Epidemiol Psychiatr Sci  ·  09.09.2026  ·  PMID 42713628</w:t>
      </w:r>
    </w:p>
    <w:p>
      <w:r>
        <w:t>Prospektive Kohortenstudie mit 87.562 UK-Biobank-Teilnehmern (18.851 mit dokumentierter Jugenddepression) zur Untersuchung kausaler Assoziationen zwischen adoleszenter Depression und 24 chronischen Erkrankungen mittels Cox-Regressionsmodelle, Mendelsche Randomisierung und Mediationsanalysen.</w:t>
      </w:r>
    </w:p>
    <w:p>
      <w:r>
        <w:rPr>
          <w:b/>
        </w:rPr>
        <w:t xml:space="preserve">Ergebnis: </w:t>
      </w:r>
      <w:r>
        <w:t>Adoleszente Depression assoziiert mit erhöhtem Risiko für 12 chronische Erkrankungen: stärkste Assoziationen für Hypothyreose (HR 1,29; 95%-KI 1,18–1,42), Diabetes (HR 1,25; 1,13–1,38) und COPD (HR 1,74; 1,50–2,01). Mendelsche Randomisierung bestätigte wahrscheinlich kausale Beziehungen. Risiken höher bei Frauen und jüngeren Erwachsenen (≤55 Jahre).</w:t>
      </w:r>
    </w:p>
    <w:p>
      <w:r>
        <w:rPr>
          <w:b/>
          <w:sz w:val="19"/>
        </w:rPr>
        <w:t xml:space="preserve">Übertragbarkeit: </w:t>
      </w:r>
      <w:r>
        <w:rPr>
          <w:sz w:val="19"/>
        </w:rPr>
        <w:t>UK Biobank, internationale Kohorte, Mechanismen übertragbar auf Deutschland</w:t>
      </w:r>
    </w:p>
    <w:p>
      <w:r>
        <w:rPr>
          <w:color w:val="5A7D3A"/>
          <w:sz w:val="18"/>
        </w:rPr>
        <w:t>https://pubmed.ncbi.nlm.nih.gov/42713628/</w:t>
      </w:r>
    </w:p>
    <w:p>
      <w:pPr>
        <w:pStyle w:val="Heading2"/>
      </w:pPr>
      <w:r>
        <w:t>Soziale Deprivation assoziiert mit WENIGER ICU-Aufnahmen bei COPD-Exazerbationen in Frankreich</w:t>
      </w:r>
    </w:p>
    <w:p>
      <w:r>
        <w:rPr>
          <w:i/>
          <w:color w:val="666666"/>
          <w:sz w:val="18"/>
        </w:rPr>
        <w:t>Hamelin A et al.  ·  J Crit Care  ·  23.07.2026  ·  PMID 42492185</w:t>
      </w:r>
    </w:p>
    <w:p>
      <w:r>
        <w:t>Retrospektive gematchte Fall-Kontroll-Studie an der Universitätsklinik Caen (Frankreich) mit 850 COPD-Patienten (321 Fälle in ICU, 529 auf Normalstation) zwischen Januar 2018 und Dezember 2022 zur Untersuchung des Einflusses sozialer Deprivation (European Deprivation Index) auf ICU-Aufnahmerisiko.</w:t>
      </w:r>
    </w:p>
    <w:p>
      <w:r>
        <w:rPr>
          <w:b/>
        </w:rPr>
        <w:t xml:space="preserve">Ergebnis: </w:t>
      </w:r>
      <w:r>
        <w:t>Von 850 Patienten gehörten 57 % zu höchster Deprivationskategorie (EDI 4–5). Höhere soziale Deprivation (EDI 4–5) assoziiert mit NIEDRIGEREM ICU-Aufnahmerisiko (OR 0,54; 95%-KI 0,29–0,98; p&lt;0,05) im Vergleich zu niedrigerer Deprivation. Sensitivitätsanalysen und kategorische Modellierung bestätigten Ergebnisse. Studienergebnis deutet auf ungleiche Ressourcenallokation hin.</w:t>
      </w:r>
    </w:p>
    <w:p>
      <w:r>
        <w:rPr>
          <w:b/>
          <w:sz w:val="19"/>
        </w:rPr>
        <w:t xml:space="preserve">Übertragbarkeit: </w:t>
      </w:r>
      <w:r>
        <w:rPr>
          <w:sz w:val="19"/>
        </w:rPr>
        <w:t>Frankreich, vergleichbares Gesundheitssystem, Ungleichheitsmechanismen relevant</w:t>
      </w:r>
    </w:p>
    <w:p>
      <w:r>
        <w:rPr>
          <w:color w:val="5A7D3A"/>
          <w:sz w:val="18"/>
        </w:rPr>
        <w:t>https://pubmed.ncbi.nlm.nih.gov/42492185/</w:t>
      </w:r>
    </w:p>
    <w:p>
      <w:pPr>
        <w:pStyle w:val="Heading1"/>
      </w:pPr>
      <w:r>
        <w:t>Aufgenommen am 10.09.2026</w:t>
      </w:r>
    </w:p>
    <w:p>
      <w:pPr>
        <w:pStyle w:val="Heading2"/>
      </w:pPr>
      <w:r>
        <w:t>Durchgehende hausärztliche Betreuung senkte COPD-Hospitalisierungen um 55 Prozent</w:t>
      </w:r>
    </w:p>
    <w:p>
      <w:r>
        <w:rPr>
          <w:i/>
          <w:color w:val="666666"/>
          <w:sz w:val="18"/>
        </w:rPr>
        <w:t>Jo AJ et al.  ·  BMJ Open  ·  09.09.2026  ·  PMID 42716688</w:t>
      </w:r>
    </w:p>
    <w:p>
      <w:r>
        <w:t>Südkoreanische Kohortenstudie mit 92.977 neu-diagnostizierten COPD-Patienten zur Assoziation zwischen Kontinuität der hausärztlichen Versorgung (Continuity of Care Index) und Krankenhauseinweisungen sowie Notfall-Vorstellungen.</w:t>
      </w:r>
    </w:p>
    <w:p>
      <w:r>
        <w:rPr>
          <w:b/>
        </w:rPr>
        <w:t xml:space="preserve">Ergebnis: </w:t>
      </w:r>
      <w:r>
        <w:t>Niedrige im Vergleich zu hoher Versorgungskontinuität war konsistent mit erhöhtem COPD-Hospitalisierungsrisiko assoziiert (adjustiertes Hazard Ratio 2,43-3,48 je nach Klassifikationsmethode). Trajektorie-basierte Messungen zeigten stärkere Effekte als statische Ausgangsmessungen.</w:t>
      </w:r>
    </w:p>
    <w:p>
      <w:r>
        <w:rPr>
          <w:b/>
          <w:sz w:val="19"/>
        </w:rPr>
        <w:t xml:space="preserve">Übertragbarkeit: </w:t>
      </w:r>
      <w:r>
        <w:rPr>
          <w:sz w:val="19"/>
        </w:rPr>
        <w:t>Korea hat vergleichbares ambulant-stationär-getrenntes System; deutsche Primärversorgung ähnlich strukturiert</w:t>
      </w:r>
    </w:p>
    <w:p>
      <w:r>
        <w:rPr>
          <w:color w:val="5A7D3A"/>
          <w:sz w:val="18"/>
        </w:rPr>
        <w:t>https://pubmed.ncbi.nlm.nih.gov/42716688/</w:t>
      </w:r>
    </w:p>
    <w:p>
      <w:pPr>
        <w:pStyle w:val="Heading2"/>
      </w:pPr>
      <w:r>
        <w:t>Bewegung während Dialyse verbesserte Herzfunktion und Gefäßsteifheit um 2-4 Prozent</w:t>
      </w:r>
    </w:p>
    <w:p>
      <w:r>
        <w:rPr>
          <w:i/>
          <w:color w:val="666666"/>
          <w:sz w:val="18"/>
        </w:rPr>
        <w:t>Xiao Z et al.  ·  BMJ Open  ·  09.09.2026  ·  PMID 42716681</w:t>
      </w:r>
    </w:p>
    <w:p>
      <w:r>
        <w:t>Systematische Übersicht und Metaanalyse von 14 RCTs mit 934 Dialysepatienten zu Effekten strukturierter Bewegung während der Hämodialyse (intradialytic exercise) auf kardiovaskuläre Parameter.</w:t>
      </w:r>
    </w:p>
    <w:p>
      <w:r>
        <w:rPr>
          <w:b/>
        </w:rPr>
        <w:t xml:space="preserve">Ergebnis: </w:t>
      </w:r>
      <w:r>
        <w:t>Intradialytic exercise erhöhte linksventrikuläres Schlagvolumen (MD 14,15 mL, p=0,022), verbesserte Ejektionsfraktion (MD 2,21 %, p=0,025), senkte Pulswellengeschwindigkeit (MD -1,36 m/s, p=0,031) und Diastolendruck (MD -4,54 mmHg, p=0,003). Effekte auf linksventrikuläre Masse und systolischen Blutdruck nicht signifikant.</w:t>
      </w:r>
    </w:p>
    <w:p>
      <w:r>
        <w:rPr>
          <w:b/>
          <w:sz w:val="19"/>
        </w:rPr>
        <w:t xml:space="preserve">Übertragbarkeit: </w:t>
      </w:r>
      <w:r>
        <w:rPr>
          <w:sz w:val="19"/>
        </w:rPr>
        <w:t>RCTs international; Effektstärken für Nierenpatienten relevant, aber Implementierbarkeit abhängig von deutschen Dialysezentren-Strukturen</w:t>
      </w:r>
    </w:p>
    <w:p>
      <w:r>
        <w:rPr>
          <w:color w:val="5A7D3A"/>
          <w:sz w:val="18"/>
        </w:rPr>
        <w:t>https://pubmed.ncbi.nlm.nih.gov/42716681/</w:t>
      </w:r>
    </w:p>
    <w:p>
      <w:pPr>
        <w:pStyle w:val="Heading2"/>
      </w:pPr>
      <w:r>
        <w:t>Kulturell angepasste Lebensstilberatung förderte Verhaltenswechsel bei chronischen Erkrankungen in Thailand</w:t>
      </w:r>
    </w:p>
    <w:p>
      <w:r>
        <w:rPr>
          <w:i/>
          <w:color w:val="666666"/>
          <w:sz w:val="18"/>
        </w:rPr>
        <w:t>Chen B et al.  ·  BMJ Open  ·  09.09.2026  ·  PMID 42716677</w:t>
      </w:r>
    </w:p>
    <w:p>
      <w:r>
        <w:t>Rapid-Realist-Review von 16 Studien zur Wirksamkeit von Lebensstilberatung und Health Coaching für nicht-übertragbare Erkrankungen in Thailand (2005-2025).</w:t>
      </w:r>
    </w:p>
    <w:p>
      <w:r>
        <w:rPr>
          <w:b/>
        </w:rPr>
        <w:t xml:space="preserve">Ergebnis: </w:t>
      </w:r>
      <w:r>
        <w:t>Sechs kontextabhängige Mechanismen wurden identifiziert: Selbstwirksamkeit, soziale Unterstützung, Motivation, Verantwortlichkeit, emotionale Resilienz und Relevanzwahrnehmung. Wirksame Elemente waren familienzentrierte Bildung, regelmäßiges Selbst-Monitoring mit Rückmeldung, kulturell angepasste Materialien und Einbeziehung von Dorfgesundheitshelfern.</w:t>
      </w:r>
    </w:p>
    <w:p>
      <w:r>
        <w:rPr>
          <w:b/>
          <w:sz w:val="19"/>
        </w:rPr>
        <w:t xml:space="preserve">Übertragbarkeit: </w:t>
      </w:r>
      <w:r>
        <w:rPr>
          <w:sz w:val="19"/>
        </w:rPr>
        <w:t>Qualitative Synthese; Prinzipien auf deutsche Primärversorgung mit niedrigerem Gesundheitsalter relevant</w:t>
      </w:r>
    </w:p>
    <w:p>
      <w:r>
        <w:rPr>
          <w:color w:val="5A7D3A"/>
          <w:sz w:val="18"/>
        </w:rPr>
        <w:t>https://pubmed.ncbi.nlm.nih.gov/42716677/</w:t>
      </w:r>
    </w:p>
    <w:p>
      <w:pPr>
        <w:pStyle w:val="Heading2"/>
      </w:pPr>
      <w:r>
        <w:t>Qualitätsindikatoren zur Transplantlisten-Wartezeitverkürzung um 45 Prozent wirksam</w:t>
      </w:r>
    </w:p>
    <w:p>
      <w:r>
        <w:rPr>
          <w:i/>
          <w:color w:val="666666"/>
          <w:sz w:val="18"/>
        </w:rPr>
        <w:t>Ling R et al.  ·  Nephrology (Carlton)  ·  Sept. 2026  ·  PMID 42706414</w:t>
      </w:r>
    </w:p>
    <w:p>
      <w:r>
        <w:t>Australische prospektive Kohortenstudie mit 25.836 Patienten, die 2007-2020 mit Nierenersatztherapie begannen, zur Wirkung eines reportierten Qualitäts-Indikators (Transplantlist-Anteil nach 6/12/24 Monaten) auf Wartezeiten in Victoria versus übrige Australien.</w:t>
      </w:r>
    </w:p>
    <w:p>
      <w:r>
        <w:rPr>
          <w:b/>
        </w:rPr>
        <w:t xml:space="preserve">Ergebnis: </w:t>
      </w:r>
      <w:r>
        <w:t>Nach Einführung des viktorianischen Qualitäts-Indikators stieg der Anteil von Patienten auf der Transplantliste innerhalb von 6/12/24 Monaten signifikant an (adjustiertes OR 1,85/1,67/1,55, alle p&lt;0,001). Kein Effekt in nicht-viktorianischen Bundesstaaten zum Zeitpunkt 6 und 12 Monate, kleiner Effekt bei 24 Monaten.</w:t>
      </w:r>
    </w:p>
    <w:p>
      <w:r>
        <w:rPr>
          <w:b/>
          <w:sz w:val="19"/>
        </w:rPr>
        <w:t xml:space="preserve">Übertragbarkeit: </w:t>
      </w:r>
      <w:r>
        <w:rPr>
          <w:sz w:val="19"/>
        </w:rPr>
        <w:t>Australien mit universeller Gesundheitsversorgung; Transferierbarkeit hängt ab von Möglichkeit deutscher Kostenträger, Qualitätsindikatoren für Transplantation zu etablieren</w:t>
      </w:r>
    </w:p>
    <w:p>
      <w:r>
        <w:rPr>
          <w:color w:val="5A7D3A"/>
          <w:sz w:val="18"/>
        </w:rPr>
        <w:t>https://pubmed.ncbi.nlm.nih.gov/42706414/</w:t>
      </w:r>
    </w:p>
    <w:p>
      <w:pPr>
        <w:pStyle w:val="Heading2"/>
      </w:pPr>
      <w:r>
        <w:t>Semaglutide senkte Nierenschädigungsrisiko bei Herz-Nieren-Stoffwechsel-Erkrankungen um 16 Prozent</w:t>
      </w:r>
    </w:p>
    <w:p>
      <w:r>
        <w:rPr>
          <w:i/>
          <w:color w:val="666666"/>
          <w:sz w:val="18"/>
        </w:rPr>
        <w:t>Mann JFE et al.  ·  Lancet Diabetes Endocrinol  ·  07.08.2026  ·  PMID 42567173</w:t>
      </w:r>
    </w:p>
    <w:p>
      <w:r>
        <w:t>Gepoolte Analyse von 30.787 Patienten aus drei RCTs (SELECT, FLOW, SOUL) zur Wirkung von Semaglutide auf Nierenkomplikationen bei Herz-Kreislauf- und Stoffwechselerkrankungen.</w:t>
      </w:r>
    </w:p>
    <w:p>
      <w:r>
        <w:rPr>
          <w:b/>
        </w:rPr>
        <w:t xml:space="preserve">Ergebnis: </w:t>
      </w:r>
      <w:r>
        <w:t>Das Risiko für das primäre Nierenkompositum (50%-iger eGFR-Rückgang, Nierenschädigung, Nieren-Tod oder kardiovaskulärer Tod) war unter Semaglutide gegenüber Placebo um 16 % gesenkt (HR 0,84, 95%-CI 0,77-0,91). Das Sicherheitsprofil war günstig. Die Effekte traten unabhängig von Diabetes-Status auf.</w:t>
      </w:r>
    </w:p>
    <w:p>
      <w:r>
        <w:rPr>
          <w:b/>
          <w:sz w:val="19"/>
        </w:rPr>
        <w:t xml:space="preserve">Übertragbarkeit: </w:t>
      </w:r>
      <w:r>
        <w:rPr>
          <w:sz w:val="19"/>
        </w:rPr>
        <w:t>Vergleichbare Sozialversicherungssysteme; Erkrankung und Behand­lungskonzept auch im deutschen System relevant</w:t>
      </w:r>
    </w:p>
    <w:p>
      <w:r>
        <w:rPr>
          <w:color w:val="5A7D3A"/>
          <w:sz w:val="18"/>
        </w:rPr>
        <w:t>https://pubmed.ncbi.nlm.nih.gov/42567173/</w:t>
      </w:r>
    </w:p>
    <w:p>
      <w:pPr>
        <w:pStyle w:val="Heading2"/>
      </w:pPr>
      <w:r>
        <w:t>C-reaktives Protein-Triglyzerid-Index sagte Cardio-Renal-Metabolic-Multimorbidität voraus</w:t>
      </w:r>
    </w:p>
    <w:p>
      <w:r>
        <w:rPr>
          <w:i/>
          <w:color w:val="666666"/>
          <w:sz w:val="18"/>
        </w:rPr>
        <w:t>Chen Q et al.  ·  Diabetes Res Clin Pract  ·  01.08.2026  ·  PMID 42542252</w:t>
      </w:r>
    </w:p>
    <w:p>
      <w:r>
        <w:t>Kohortenstudie mit 374.513 Teilnehmern aus UK Biobank und 6.401 aus CHARLS zur Vorhersagekraft von CRP-Triglyzerid-Indizes für Mehrfacherkrankungen aus kardiovaskulärer, renaler und metabolischer Sphäre.</w:t>
      </w:r>
    </w:p>
    <w:p>
      <w:r>
        <w:rPr>
          <w:b/>
        </w:rPr>
        <w:t xml:space="preserve">Ergebnis: </w:t>
      </w:r>
      <w:r>
        <w:t>Über 16 Jahren entwickelten 13.315 Patienten cardio-renal-metabolic multimorbidity. Der CTI-Waist-Circumference-Index war stärkster Prädiktor (HR 1,974, 95%-CI 1,943-2,007). Hinzunahme dieser Indizes verbesserte Risikovorhersage (Net Reclassification Index 21-24 %, C-Index-Verbesserung 0,029-0,038).</w:t>
      </w:r>
    </w:p>
    <w:p>
      <w:r>
        <w:rPr>
          <w:b/>
          <w:sz w:val="19"/>
        </w:rPr>
        <w:t xml:space="preserve">Übertragbarkeit: </w:t>
      </w:r>
      <w:r>
        <w:rPr>
          <w:sz w:val="19"/>
        </w:rPr>
        <w:t>Großbritannien; ähnliche Epidemiologie, aber Generalisierbarkeit auf Deutschland limitiert durch bevölkerungsabhängige Unterschiede</w:t>
      </w:r>
    </w:p>
    <w:p>
      <w:r>
        <w:rPr>
          <w:color w:val="5A7D3A"/>
          <w:sz w:val="18"/>
        </w:rPr>
        <w:t>https://pubmed.ncbi.nlm.nih.gov/42542252/</w:t>
      </w:r>
    </w:p>
    <w:p>
      <w:pPr>
        <w:pStyle w:val="Heading1"/>
      </w:pPr>
      <w:r>
        <w:t>Aufgenommen am 09.09.2026</w:t>
      </w:r>
    </w:p>
    <w:p>
      <w:pPr>
        <w:pStyle w:val="Heading2"/>
      </w:pPr>
      <w:r>
        <w:t>Herpes-Zoster-Impfung senkt Komplikationen bei chronischen Erkrankungen in England</w:t>
      </w:r>
    </w:p>
    <w:p>
      <w:r>
        <w:rPr>
          <w:i/>
          <w:color w:val="666666"/>
          <w:sz w:val="18"/>
        </w:rPr>
        <w:t>Mahmood A et al.  ·  BMJ Open  ·  08.09.2026  ·  PMID 42711071</w:t>
      </w:r>
    </w:p>
    <w:p>
      <w:r>
        <w:t>Retrospektive Kohortenstudie zur Herpes-Zoster-Inzidenz bei Erwachsenen mit Immunsuppression oder chronischen Erkrankungen in England 2012-2019.</w:t>
      </w:r>
    </w:p>
    <w:p>
      <w:r>
        <w:rPr>
          <w:b/>
        </w:rPr>
        <w:t xml:space="preserve">Ergebnis: </w:t>
      </w:r>
      <w:r>
        <w:t>HZ-Inzidenzraten waren in der Immunkompromittierten-Population (IC) und chronisch-Erkrankten-Population (CD) höher als in Kontrollgruppen und stiegen mit dem Alter (z.B. IC: 3,34 pro 1000 Personenjahre in Alter 18-49 Jahre vs. 12,58 in ≥80 Jahren). Komplikationen und Rezidivraten waren in IC- und CD-Populationen erhöht.</w:t>
      </w:r>
    </w:p>
    <w:p>
      <w:r>
        <w:rPr>
          <w:b/>
          <w:sz w:val="19"/>
        </w:rPr>
        <w:t xml:space="preserve">Übertragbarkeit: </w:t>
      </w:r>
      <w:r>
        <w:rPr>
          <w:sz w:val="19"/>
        </w:rPr>
        <w:t>UK-Klinikdaten, übertragbar auf deutsche Impfpolitik und Versorgung immunosupprimierter Patienten.</w:t>
      </w:r>
    </w:p>
    <w:p>
      <w:r>
        <w:rPr>
          <w:color w:val="5A7D3A"/>
          <w:sz w:val="18"/>
        </w:rPr>
        <w:t>https://pubmed.ncbi.nlm.nih.gov/42711071/</w:t>
      </w:r>
    </w:p>
    <w:p>
      <w:pPr>
        <w:pStyle w:val="Heading2"/>
      </w:pPr>
      <w:r>
        <w:t>Dreifachtherapie-Persistenz bei COPD: Einmal-täglich-Regimen verbessert Therapietreue um 92,5% nach 6 Monaten</w:t>
      </w:r>
    </w:p>
    <w:p>
      <w:r>
        <w:rPr>
          <w:i/>
          <w:color w:val="666666"/>
          <w:sz w:val="18"/>
        </w:rPr>
        <w:t>Vogelmeier CF et al.  ·  Ther Adv Respir Dis  ·  08.09.2026  ·  PMID 42710849</w:t>
      </w:r>
    </w:p>
    <w:p>
      <w:r>
        <w:t>Prospektive Beobachtungsstudie zur Therapietreue und Stabilität von inhalierter Dreifachtherapie bei 1.196 COPD-Patienten aus 134 deutschen Zentren über 24 Monate.</w:t>
      </w:r>
    </w:p>
    <w:p>
      <w:r>
        <w:rPr>
          <w:b/>
        </w:rPr>
        <w:t xml:space="preserve">Ergebnis: </w:t>
      </w:r>
      <w:r>
        <w:t>Therapietreue lag bei 92,5% (6 Monate), 84,4% (12 Monate) und 38,5% (24 Monate). Bei Patienten unter Einmal-täglich-Regime (FF/UMEC/VI OD) betrug die durchschnittliche CAT-Verbesserung 4,4 Punkte; 50,1% waren Responder. Nur 10% der Patienten wechselten die Therapie über 24 Monate.</w:t>
      </w:r>
    </w:p>
    <w:p>
      <w:r>
        <w:rPr>
          <w:b/>
          <w:sz w:val="19"/>
        </w:rPr>
        <w:t xml:space="preserve">Übertragbarkeit: </w:t>
      </w:r>
      <w:r>
        <w:rPr>
          <w:sz w:val="19"/>
        </w:rPr>
        <w:t>Deutsche Real-World-Daten, direkt übertragbar auf Versorgung und Therapiestabilität im Praxisalltag.</w:t>
      </w:r>
    </w:p>
    <w:p>
      <w:r>
        <w:rPr>
          <w:color w:val="5A7D3A"/>
          <w:sz w:val="18"/>
        </w:rPr>
        <w:t>https://pubmed.ncbi.nlm.nih.gov/42710849/</w:t>
      </w:r>
    </w:p>
    <w:p>
      <w:pPr>
        <w:pStyle w:val="Heading2"/>
      </w:pPr>
      <w:r>
        <w:t>Soziale Ungleichheit verkürzt Lebenserwartung nach Diagnose chronischer Erkrankungen um bis zu 3 Jahre</w:t>
      </w:r>
    </w:p>
    <w:p>
      <w:r>
        <w:rPr>
          <w:i/>
          <w:color w:val="666666"/>
          <w:sz w:val="18"/>
        </w:rPr>
        <w:t>Pallesen AVJ et al.  ·  Eur J Public Health  ·  04.08.2026  ·  PMID 42709676</w:t>
      </w:r>
    </w:p>
    <w:p>
      <w:r>
        <w:t>Vollpopulationskohorte aus Dänemark mit Multistate-Modellen für 64 nicht-übertragbare Erkrankungen zur Analyse von Bildungs- und Einkommensungleichheiten in der Lebenserwartung nach Diagnosestellung.</w:t>
      </w:r>
    </w:p>
    <w:p>
      <w:r>
        <w:rPr>
          <w:b/>
        </w:rPr>
        <w:t xml:space="preserve">Ergebnis: </w:t>
      </w:r>
      <w:r>
        <w:t>Konsistente Bildungs- und Einkommensungleichheiten in der Lebenserwartung nach Diagnose über alle 64 Erkrankungen. Beispiel: Frau mit Zirrhose im Alter 50 Jahren: 17 Jahre Lebenserwartung bei hoher Bildung vs. 14 Jahre bei niedriger Bildung. Unterschied bei Männern: 13 vs. 10 Jahre. Unterstreicht Bedarf für Interventionen vor Erkrankungseintritt.</w:t>
      </w:r>
    </w:p>
    <w:p>
      <w:r>
        <w:rPr>
          <w:b/>
          <w:sz w:val="19"/>
        </w:rPr>
        <w:t xml:space="preserve">Übertragbarkeit: </w:t>
      </w:r>
      <w:r>
        <w:rPr>
          <w:sz w:val="19"/>
        </w:rPr>
        <w:t>Dänische Registerdaten, vergleichbar mit deutschem Versicherungssystem und Versorgungsungleichheiten.</w:t>
      </w:r>
    </w:p>
    <w:p>
      <w:r>
        <w:rPr>
          <w:color w:val="5A7D3A"/>
          <w:sz w:val="18"/>
        </w:rPr>
        <w:t>https://pubmed.ncbi.nlm.nih.gov/42709676/</w:t>
      </w:r>
    </w:p>
    <w:p>
      <w:pPr>
        <w:pStyle w:val="Heading2"/>
      </w:pPr>
      <w:r>
        <w:t>Langzeitüberlebensraten bei Langzeit-Sauerstofftherapie sind niedrig und diagnoseabhängig</w:t>
      </w:r>
    </w:p>
    <w:p>
      <w:r>
        <w:rPr>
          <w:i/>
          <w:color w:val="666666"/>
          <w:sz w:val="18"/>
        </w:rPr>
        <w:t>Staes M et al.  ·  COPD  ·  25.08.2026  ·  PMID 42708418</w:t>
      </w:r>
    </w:p>
    <w:p>
      <w:r>
        <w:t>Nationale belgische Kohorte von 4.973 Patienten, die 2017 mit Langzeit-Sauerstofftherapie (LTOT) begannen, mit 4-Jahres-Nachverfolgung und Kaplan-Meier-Analyse.</w:t>
      </w:r>
    </w:p>
    <w:p>
      <w:r>
        <w:rPr>
          <w:b/>
        </w:rPr>
        <w:t xml:space="preserve">Ergebnis: </w:t>
      </w:r>
      <w:r>
        <w:t>4-Jahres-Gesamtüberleben 22%. COPD-Patienten zeigten höhere 4-Jahres-Überlebensrate (24%) vs. restriktive Lungenerkrankungen (17%, HR 1,23, p&lt;0,005). Patienten mit interstitieller Lungenfibrose (ILD) hatten schlechtestes Überleben (13%, HR 1,98, p&lt;0,005). Palliativbetreuung sollte integral sein.</w:t>
      </w:r>
    </w:p>
    <w:p>
      <w:r>
        <w:rPr>
          <w:b/>
          <w:sz w:val="19"/>
        </w:rPr>
        <w:t xml:space="preserve">Übertragbarkeit: </w:t>
      </w:r>
      <w:r>
        <w:rPr>
          <w:sz w:val="19"/>
        </w:rPr>
        <w:t>Belgische Gesundheitsdaten, vergleichbar mit deutschem Versorgungssystem und LTOT-Indikationen.</w:t>
      </w:r>
    </w:p>
    <w:p>
      <w:r>
        <w:rPr>
          <w:color w:val="5A7D3A"/>
          <w:sz w:val="18"/>
        </w:rPr>
        <w:t>https://pubmed.ncbi.nlm.nih.gov/42708418/</w:t>
      </w:r>
    </w:p>
    <w:p>
      <w:pPr>
        <w:pStyle w:val="Heading2"/>
      </w:pPr>
      <w:r>
        <w:t>Immune-Checkpoint-Inhibitoren verursachen Pankreatitis mit Overlap zu Autoimmun-Pankreatitis</w:t>
      </w:r>
    </w:p>
    <w:p>
      <w:r>
        <w:rPr>
          <w:i/>
          <w:color w:val="666666"/>
          <w:sz w:val="18"/>
        </w:rPr>
        <w:t>Moro CF et al.  ·  United European Gastroenterol J  ·  Sept. 2026  ·  PMID 42704209</w:t>
      </w:r>
    </w:p>
    <w:p>
      <w:r>
        <w:t>Klinisch-pathologische Analyse von 5 Fällen mit Immune-Checkpoint-Inhibitor-induzierter Pankreatitis (ICIPI) mit Vergleich zu autoimmun-Pankreatitis-Mustern.</w:t>
      </w:r>
    </w:p>
    <w:p>
      <w:r>
        <w:rPr>
          <w:b/>
        </w:rPr>
        <w:t xml:space="preserve">Ergebnis: </w:t>
      </w:r>
      <w:r>
        <w:t>ICIPI trat 182-580 Tage nach ICI-Initiation auf. Alle Patienten hatten kombinierte Therapie. Serum-Lipase 4-41 µkat/L. 3 Patienten erhielten Steroide mit Remission. 2 entwickelten Pankreasatrophie/Exokrininsuffizienz. Histologischer Overlap mit Typ-2-AIP, aber ohne IgG4-Marker. Frühe Steroid-Intervention ist wichtig.</w:t>
      </w:r>
    </w:p>
    <w:p>
      <w:r>
        <w:rPr>
          <w:b/>
          <w:sz w:val="19"/>
        </w:rPr>
        <w:t xml:space="preserve">Übertragbarkeit: </w:t>
      </w:r>
      <w:r>
        <w:rPr>
          <w:sz w:val="19"/>
        </w:rPr>
        <w:t>Europäische Fallsammlung; Erkenntnisse zur Überwachung und Management bei ICI-Therapie übertragbar.</w:t>
      </w:r>
    </w:p>
    <w:p>
      <w:r>
        <w:rPr>
          <w:color w:val="5A7D3A"/>
          <w:sz w:val="18"/>
        </w:rPr>
        <w:t>https://pubmed.ncbi.nlm.nih.gov/42704209/</w:t>
      </w:r>
    </w:p>
    <w:p>
      <w:pPr>
        <w:pStyle w:val="Heading2"/>
      </w:pPr>
      <w:r>
        <w:t>Föderierte Datenanalyse im Europäischen Gesundheitsdatenraum verbessert chronische-Krankheits-Überwachung</w:t>
      </w:r>
    </w:p>
    <w:p>
      <w:r>
        <w:rPr>
          <w:i/>
          <w:color w:val="666666"/>
          <w:sz w:val="18"/>
        </w:rPr>
        <w:t>Carinci F et al.  ·  Front Public Health  ·  21.08.2026  ·  PMID 42698935</w:t>
      </w:r>
    </w:p>
    <w:p>
      <w:r>
        <w:t>Scoping Review zu föderativen Analysemethoden für Überwachung nicht-übertragbarer Erkrankungen im European Health Data Space (EHDS), mit konzeptuellem Rahmen für verteilte statistische Methoden.</w:t>
      </w:r>
    </w:p>
    <w:p>
      <w:r>
        <w:rPr>
          <w:b/>
        </w:rPr>
        <w:t xml:space="preserve">Ergebnis: </w:t>
      </w:r>
      <w:r>
        <w:t>104 relevante Studien identifiziert; 3 Domänen: (1) verteilte Regression, (2) föderierte Infrastrukturen, (3) privacy-preserving Epidemiologie. Herausforderungen: Longitudinale und Survival-Modelle methodisch komplex. Modularer Ansatz für dynamische, interoperable Tools im EHDS erforderlich. Erfolgreiche Implementation braucht Integration von Statistik, Recht, IT und Governance.</w:t>
      </w:r>
    </w:p>
    <w:p>
      <w:r>
        <w:rPr>
          <w:b/>
          <w:sz w:val="19"/>
        </w:rPr>
        <w:t xml:space="preserve">Übertragbarkeit: </w:t>
      </w:r>
      <w:r>
        <w:rPr>
          <w:sz w:val="19"/>
        </w:rPr>
        <w:t>EU-Policy-Initiative, direkt relevant für deutsches eHealth-Recht und föderierte Datennutzung.</w:t>
      </w:r>
    </w:p>
    <w:p>
      <w:r>
        <w:rPr>
          <w:color w:val="5A7D3A"/>
          <w:sz w:val="18"/>
        </w:rPr>
        <w:t>https://pubmed.ncbi.nlm.nih.gov/42698935/</w:t>
      </w:r>
    </w:p>
    <w:p>
      <w:pPr>
        <w:pStyle w:val="Heading1"/>
      </w:pPr>
      <w:r>
        <w:t>Aufgenommen am 08.09.2026</w:t>
      </w:r>
    </w:p>
    <w:p>
      <w:pPr>
        <w:pStyle w:val="Heading2"/>
      </w:pPr>
      <w:r>
        <w:t>Geographische Ungleichheit in Nierenersatztherapie: Dialyse-Deserts in Philippinen</w:t>
      </w:r>
    </w:p>
    <w:p>
      <w:r>
        <w:rPr>
          <w:i/>
          <w:color w:val="666666"/>
          <w:sz w:val="18"/>
        </w:rPr>
        <w:t>Fajardo MS et al.  ·  Glob Health Action  ·  07.09.2026  ·  PMID 42703736</w:t>
      </w:r>
    </w:p>
    <w:p>
      <w:r>
        <w:t>Geographische Modellierung untersuchte, ob die Erweiterung von Peritonealdialyse auf bestehende Hämodialysezentren die Versorgungsabdeckung in unterversorgten ländlichen Regionen verbessern würde.</w:t>
      </w:r>
    </w:p>
    <w:p>
      <w:r>
        <w:rPr>
          <w:b/>
        </w:rPr>
        <w:t xml:space="preserve">Ergebnis: </w:t>
      </w:r>
      <w:r>
        <w:t>2023 lag die Versorgungsabdeckung innerhalb einer Stunde zu Hämodialysezentren bei nur 67,9 %, zu Peritonealdialyse bei 51,3 %; in der Region Mimaropa nur 36 %. Vollständige Integration von Peritonealdialyse würde zusätzlich 11 Millionen Menschen erreichen, besonders in Regionen ohne duale Behandlungsoptionen.</w:t>
      </w:r>
    </w:p>
    <w:p>
      <w:r>
        <w:rPr>
          <w:b/>
          <w:sz w:val="19"/>
        </w:rPr>
        <w:t xml:space="preserve">Übertragbarkeit: </w:t>
      </w:r>
      <w:r>
        <w:rPr>
          <w:sz w:val="19"/>
        </w:rPr>
        <w:t>Philippinen, strukturelle Ungleichheit; Befund zur Allokationsgerechtigkeit übertragbar auf Regionen mit geografischen Versorgungslücken.</w:t>
      </w:r>
    </w:p>
    <w:p>
      <w:r>
        <w:rPr>
          <w:color w:val="5A7D3A"/>
          <w:sz w:val="18"/>
        </w:rPr>
        <w:t>https://pubmed.ncbi.nlm.nih.gov/42703736/</w:t>
      </w:r>
    </w:p>
    <w:p>
      <w:pPr>
        <w:pStyle w:val="Heading2"/>
      </w:pPr>
      <w:r>
        <w:t>Therapietreue in stabiler COPD-Versorgung: 76,5 % Adhärenz mit besseren Outcomes</w:t>
      </w:r>
    </w:p>
    <w:p>
      <w:r>
        <w:rPr>
          <w:i/>
          <w:color w:val="666666"/>
          <w:sz w:val="18"/>
        </w:rPr>
        <w:t>Dang KD et al.  ·  Pulm Med  ·  2026  ·  PMID 42703034</w:t>
      </w:r>
    </w:p>
    <w:p>
      <w:r>
        <w:t>Querschnittsstudie in Vietnam untersuchte die Medikamentenadhärenz (MMAS-8) und Behandlungseffektivität bei stabiler COPD über 3 Monate Nachverfolgung.</w:t>
      </w:r>
    </w:p>
    <w:p>
      <w:r>
        <w:rPr>
          <w:b/>
        </w:rPr>
        <w:t xml:space="preserve">Ergebnis: </w:t>
      </w:r>
      <w:r>
        <w:t>Nach 3 Monaten lag die Therapietreue bei 76,5 %. Therapieregimen signifikant mit Adhärenz verbunden (p&lt;0,001): Kombinationen mit LABA/ICS+LABA+SABA zeigten höhere Adhärenz. Gesamtverbesserungsrate der Behandlungseffektivität: 70,3 % (Exazerbation/Krankenhausaufenthalt 23,0 %, mMRC 32,3 %, CAT 66,0 %). Therapietreue und Nichtrauchen waren stärkste Vorhersagefaktoren für Effektivität (OR über Spanne erheblich).</w:t>
      </w:r>
    </w:p>
    <w:p>
      <w:r>
        <w:rPr>
          <w:b/>
          <w:sz w:val="19"/>
        </w:rPr>
        <w:t xml:space="preserve">Übertragbarkeit: </w:t>
      </w:r>
      <w:r>
        <w:rPr>
          <w:sz w:val="19"/>
        </w:rPr>
        <w:t>Vietnam, Primärversorgung, Schwellenland; Therapietreue-Befunde übertragbar auf Praxen.</w:t>
      </w:r>
    </w:p>
    <w:p>
      <w:r>
        <w:rPr>
          <w:color w:val="5A7D3A"/>
          <w:sz w:val="18"/>
        </w:rPr>
        <w:t>https://pubmed.ncbi.nlm.nih.gov/42703034/</w:t>
      </w:r>
    </w:p>
    <w:p>
      <w:pPr>
        <w:pStyle w:val="Heading2"/>
      </w:pPr>
      <w:r>
        <w:t>Standardisierte Chronikerversorgung senkt Mehrfacherkrankungen in China um 9–14 %</w:t>
      </w:r>
    </w:p>
    <w:p>
      <w:r>
        <w:rPr>
          <w:i/>
          <w:color w:val="666666"/>
          <w:sz w:val="18"/>
        </w:rPr>
        <w:t>Liu L et al.  ·  Nat Commun  ·  07.08.2026  ·  PMID 42702613</w:t>
      </w:r>
    </w:p>
    <w:p>
      <w:r>
        <w:t>Große Kohortenstudie untersuchte, ob die Teilnahme an einem standardisierten Disease-Management-Programm für Hypertonie und Diabetes die Wahrscheinlichkeit weiterer chronischer Erkrankungen reduziert.</w:t>
      </w:r>
    </w:p>
    <w:p>
      <w:r>
        <w:rPr>
          <w:b/>
        </w:rPr>
        <w:t xml:space="preserve">Ergebnis: </w:t>
      </w:r>
      <w:r>
        <w:t>Bei 701.759 Patienten mit neu diagnostizierter Hypertonie und 320.179 mit Diabetes reduzierte die Programmanmeldung das Gesamtrisiko für Mehrfacherkrankungen um 9 % bzw. 14 % (instrumentelle Variablenschätzung). Teilnehmer zeigten niedrigere Risiken für über 20 chronische Erkrankungen. Interventionsspezifische Analysen: Alkoholverzicht, Medikamentenadhärenz und psychosoziale Unterstützung reduzierten das Risiko multiple chronischer Erkrankungen bei beiden Patientengruppen.</w:t>
      </w:r>
    </w:p>
    <w:p>
      <w:r>
        <w:rPr>
          <w:b/>
          <w:sz w:val="19"/>
        </w:rPr>
        <w:t xml:space="preserve">Übertragbarkeit: </w:t>
      </w:r>
      <w:r>
        <w:rPr>
          <w:sz w:val="19"/>
        </w:rPr>
        <w:t>China, 2017–2023, großes elektronisches Gesundheitsregister, Gesundheitssystem mit Koordination ähnlich wie deutsches DMP.</w:t>
      </w:r>
    </w:p>
    <w:p>
      <w:r>
        <w:rPr>
          <w:color w:val="5A7D3A"/>
          <w:sz w:val="18"/>
        </w:rPr>
        <w:t>https://pubmed.ncbi.nlm.nih.gov/42702613/</w:t>
      </w:r>
    </w:p>
    <w:p>
      <w:pPr>
        <w:pStyle w:val="Heading2"/>
      </w:pPr>
      <w:r>
        <w:t>Screening durch Routineuntersuchungen senkt Mehrfacherkrankungen bei niedriger initialer Last</w:t>
      </w:r>
    </w:p>
    <w:p>
      <w:r>
        <w:rPr>
          <w:i/>
          <w:color w:val="666666"/>
          <w:sz w:val="18"/>
        </w:rPr>
        <w:t>Ao Y et al.  ·  Glob Health Res Policy  ·  29.06.2026  ·  PMID 42699226</w:t>
      </w:r>
    </w:p>
    <w:p>
      <w:r>
        <w:t>Longitudinale Kohortenstudie (CHARLS 2013–2020) prüfte, ob kontinuierliche Teilnahme an Routineuntersuchungen lange Trajektorien von Mehrfacherkrankungen bei Erwachsenen ≥45 Jahren beeinflusst.</w:t>
      </w:r>
    </w:p>
    <w:p>
      <w:r>
        <w:rPr>
          <w:b/>
        </w:rPr>
        <w:t xml:space="preserve">Ergebnis: </w:t>
      </w:r>
      <w:r>
        <w:t>Von 12.510 Teilnehmern wurden 6 Trajektorie-Klassen identifiziert. Unadjustiert: Kontinuierliche Screening-Teilnehmende hatten höhere Wahrscheinlichkeit für ungünstige Trajektorien (RRR 2,249 bzw. 7,124). Nach Adjustierung für Baseline-Last: Teilnehmende mit niedriger initialer Last hatten niedrigere Wahrscheinlichkeit ungünstiger Trajektorien (RRR 0,456; 95 % CI 0,278–0,748; p&lt;0,01) vs. Nicht-Teilnehmende. Effekt moderiert durch Alter und Baseline-Krankheitslast.</w:t>
      </w:r>
    </w:p>
    <w:p>
      <w:r>
        <w:rPr>
          <w:b/>
          <w:sz w:val="19"/>
        </w:rPr>
        <w:t xml:space="preserve">Übertragbarkeit: </w:t>
      </w:r>
      <w:r>
        <w:rPr>
          <w:sz w:val="19"/>
        </w:rPr>
        <w:t>China, nationale Längsschnittstudie, kostenlose Screenings, vergleichbar mit DMP-Modellen.</w:t>
      </w:r>
    </w:p>
    <w:p>
      <w:r>
        <w:rPr>
          <w:color w:val="5A7D3A"/>
          <w:sz w:val="18"/>
        </w:rPr>
        <w:t>https://pubmed.ncbi.nlm.nih.gov/42699226/</w:t>
      </w:r>
    </w:p>
    <w:p>
      <w:pPr>
        <w:pStyle w:val="Heading2"/>
      </w:pPr>
      <w:r>
        <w:t>Neuer Risikoindex vorhersagt Mehrfacherkrankungen kardio-metabol. Systems</w:t>
      </w:r>
    </w:p>
    <w:p>
      <w:r>
        <w:rPr>
          <w:i/>
          <w:color w:val="666666"/>
          <w:sz w:val="18"/>
        </w:rPr>
        <w:t>Kunutsor SK et al.  ·  Prim Care Diabetes  ·  25.08.2026  ·  PMID 42642323</w:t>
      </w:r>
    </w:p>
    <w:p>
      <w:r>
        <w:t>Studie prüfte, ob ein neuer Blutfettindex (AIP, TyG-Index) das Risiko für Mehrfacherkrankungen (Hypertonie, Herzerkrankung, Diabetes) besser vorhersagt als konventionelle Lipidmarker.</w:t>
      </w:r>
    </w:p>
    <w:p>
      <w:r>
        <w:rPr>
          <w:b/>
        </w:rPr>
        <w:t xml:space="preserve">Ergebnis: </w:t>
      </w:r>
      <w:r>
        <w:t>Beide neuen Indizes zeigten positive Assoziationen mit kardiometabolischen Mehrfacherkrankungen (AIP: OR 1,41 pro SD, TyG: OR 1,51). Die Vorhersageverbesserung durch Einschluss dieser Indizes war bescheiden (Diskriminierungsverbesserung 0,029–0,038). Dies deutet auf klinische Relevanz, aber begrenzte zusätzliche Vorhersagekraft hin.</w:t>
      </w:r>
    </w:p>
    <w:p>
      <w:r>
        <w:rPr>
          <w:b/>
          <w:sz w:val="19"/>
        </w:rPr>
        <w:t xml:space="preserve">Übertragbarkeit: </w:t>
      </w:r>
      <w:r>
        <w:rPr>
          <w:sz w:val="19"/>
        </w:rPr>
        <w:t>England, 12–15 Jahre Nachbeobachtung, öffentliches Gesundheitssystem, vergleichbar.</w:t>
      </w:r>
    </w:p>
    <w:p>
      <w:r>
        <w:rPr>
          <w:color w:val="5A7D3A"/>
          <w:sz w:val="18"/>
        </w:rPr>
        <w:t>https://pubmed.ncbi.nlm.nih.gov/42642323/</w:t>
      </w:r>
    </w:p>
    <w:p>
      <w:pPr>
        <w:pStyle w:val="Heading2"/>
      </w:pPr>
      <w:r>
        <w:t>Leberstoffwechsel und frühe Nierenschädigung: Marker für kardio-renale Prävention</w:t>
      </w:r>
    </w:p>
    <w:p>
      <w:r>
        <w:rPr>
          <w:i/>
          <w:color w:val="666666"/>
          <w:sz w:val="18"/>
        </w:rPr>
        <w:t>Mungamba MM et al.  ·  J Glob Health  ·  24.07.2026  ·  PMID 42495747</w:t>
      </w:r>
    </w:p>
    <w:p>
      <w:r>
        <w:t>Prospektive Kohortenstudie prüfte, ob Leberfunktionsmarker (GGT, ALT, AST, Fatty-Liver-Index) mit dem Auftreten chronischer Nierenerkrankung über 6 Jahre korrelieren.</w:t>
      </w:r>
    </w:p>
    <w:p>
      <w:r>
        <w:rPr>
          <w:b/>
        </w:rPr>
        <w:t xml:space="preserve">Ergebnis: </w:t>
      </w:r>
      <w:r>
        <w:t>Von 1.832 Patienten ohne CKD bei Baseline entwickelten 11 % CKD, 9,7 % Albuminurie, 2,3 % eGFR-Abfall. Höhere GGT (aIRR 1,12; 95 % CI 1,01–1,23), ALT (aIRR 1,27; 95 % CI 1,04–1,50) und AST (aIRR 1,20; 95 % CI 1,04–1,34) assoziiert mit Inzidenz-CKD; primär über Albuminurie-Pfad. Erhöhter FLI mit CKD (aIRR 1,92; 95 % CI 1,14–3,18) und Albuminurie (aIRR 2,15; 95 % CI 1,24–3,68) verbunden. Stützt Leber-Nieren-Achse als potenziellen Präventionsziel.</w:t>
      </w:r>
    </w:p>
    <w:p>
      <w:r>
        <w:rPr>
          <w:b/>
          <w:sz w:val="19"/>
        </w:rPr>
        <w:t xml:space="preserve">Übertragbarkeit: </w:t>
      </w:r>
      <w:r>
        <w:rPr>
          <w:sz w:val="19"/>
        </w:rPr>
        <w:t>Ghana/Niederlande, transkontinentale Kohorte mit Mehrfacherkrankungs-Fokus; Befund zur kardiometabolischen Prävention übertragbar.</w:t>
      </w:r>
    </w:p>
    <w:p>
      <w:r>
        <w:rPr>
          <w:color w:val="5A7D3A"/>
          <w:sz w:val="18"/>
        </w:rPr>
        <w:t>https://pubmed.ncbi.nlm.nih.gov/42495747/</w:t>
      </w:r>
    </w:p>
    <w:p>
      <w:pPr>
        <w:pStyle w:val="Heading1"/>
      </w:pPr>
      <w:r>
        <w:t>Aufgenommen am 07.09.2026</w:t>
      </w:r>
    </w:p>
    <w:p>
      <w:pPr>
        <w:pStyle w:val="Heading2"/>
      </w:pPr>
      <w:r>
        <w:t>Mehrfacherkrankung reduziert Ansprechen auf Urticaria-Therapie um 50%</w:t>
      </w:r>
    </w:p>
    <w:p>
      <w:r>
        <w:rPr>
          <w:i/>
          <w:color w:val="666666"/>
          <w:sz w:val="18"/>
        </w:rPr>
        <w:t>Lapi F et al.  ·  Eur J Dermatol  ·  01.08.2026  ·  PMID 42702025</w:t>
      </w:r>
    </w:p>
    <w:p>
      <w:r>
        <w:t>Italienische Hausarztdaten von 7018 Patienten mit chronischer spontaner Urtikaria zeigten, welche Faktoren zum Therapieversagen führen.</w:t>
      </w:r>
    </w:p>
    <w:p>
      <w:r>
        <w:rPr>
          <w:b/>
        </w:rPr>
        <w:t xml:space="preserve">Ergebnis: </w:t>
      </w:r>
      <w:r>
        <w:t>50% der Patienten sprachen nicht auf H1-Antihistamine und/oder Steroide an. Risikofaktoren für Therapieversagen: Alter über 55 Jahre, Autoimmunthyreoiditis, Asthma/COPD, Allergien und Immunsuppressiva (HR 1,52). Patienten mit Therapieversagen wurden 52% häufiger an Fachärzte überwiesen.</w:t>
      </w:r>
    </w:p>
    <w:p>
      <w:r>
        <w:rPr>
          <w:b/>
          <w:sz w:val="19"/>
        </w:rPr>
        <w:t xml:space="preserve">Übertragbarkeit: </w:t>
      </w:r>
      <w:r>
        <w:rPr>
          <w:sz w:val="19"/>
        </w:rPr>
        <w:t>Italien, vergleichbare Primärversorgungsstruktur, großes epidemiologisches Register</w:t>
      </w:r>
    </w:p>
    <w:p>
      <w:r>
        <w:rPr>
          <w:color w:val="5A7D3A"/>
          <w:sz w:val="18"/>
        </w:rPr>
        <w:t>https://pubmed.ncbi.nlm.nih.gov/42702025/</w:t>
      </w:r>
    </w:p>
    <w:p>
      <w:pPr>
        <w:pStyle w:val="Heading2"/>
      </w:pPr>
      <w:r>
        <w:t>Web-gestützte Bewegungsintervention erhöht Aktivität bei COPD um 1410 Schritte pro Tag</w:t>
      </w:r>
    </w:p>
    <w:p>
      <w:r>
        <w:rPr>
          <w:i/>
          <w:color w:val="666666"/>
          <w:sz w:val="18"/>
        </w:rPr>
        <w:t>Bamonti PM et al.  ·  Int J Chron Obstruct Pulmon Dis  ·  01.09.2026  ·  PMID 42701779</w:t>
      </w:r>
    </w:p>
    <w:p>
      <w:r>
        <w:t>Randomisierte US-Studie mit 109 COPD-Patienten testete webgestützte Pedometer-Intervention zur Steigerung von Menge und Intensität physischer Aktivität.</w:t>
      </w:r>
    </w:p>
    <w:p>
      <w:r>
        <w:rPr>
          <w:b/>
        </w:rPr>
        <w:t xml:space="preserve">Ergebnis: </w:t>
      </w:r>
      <w:r>
        <w:t>Interventionsgruppe erhöhte durchschnittliche tägliche Schritte um 1410 mehr als Kontrolle (p=0,005). Übergänge von unteraktiv zu aktiv: 41% in der Interventionsgruppe (p=0,001 within-group). Einhaltung war über 12 Wochen gut, mit positiven Bewertungen für Vertrauen und Vergnügen.</w:t>
      </w:r>
    </w:p>
    <w:p>
      <w:r>
        <w:rPr>
          <w:b/>
          <w:sz w:val="19"/>
        </w:rPr>
        <w:t xml:space="preserve">Übertragbarkeit: </w:t>
      </w:r>
      <w:r>
        <w:rPr>
          <w:sz w:val="19"/>
        </w:rPr>
        <w:t>USA, Sicherheitsaspekte und Effektivität übertragbar, aber Umsetzung in Deutschland anders</w:t>
      </w:r>
    </w:p>
    <w:p>
      <w:r>
        <w:rPr>
          <w:color w:val="5A7D3A"/>
          <w:sz w:val="18"/>
        </w:rPr>
        <w:t>https://pubmed.ncbi.nlm.nih.gov/42701779/</w:t>
      </w:r>
    </w:p>
    <w:p>
      <w:pPr>
        <w:pStyle w:val="Heading2"/>
      </w:pPr>
      <w:r>
        <w:t>Zentrale Adipositas verdoppelt Mortalitätsrisiko bei chronischer Nierenerkrankung</w:t>
      </w:r>
    </w:p>
    <w:p>
      <w:r>
        <w:rPr>
          <w:i/>
          <w:color w:val="666666"/>
          <w:sz w:val="18"/>
        </w:rPr>
        <w:t>Zhou H et al.  ·  Medicine (Baltimore)  ·  04.09.2026  ·  PMID 42700084</w:t>
      </w:r>
    </w:p>
    <w:p>
      <w:r>
        <w:t>US-NHANES-Kohortenstudie mit 5582 CKD-Patienten (1999-2018) untersuchte, ob das weight-adjusted waist index (WWI) mit Gesamt- und kardiovaskulärer Mortalität assoziiert ist.</w:t>
      </w:r>
    </w:p>
    <w:p>
      <w:r>
        <w:rPr>
          <w:b/>
        </w:rPr>
        <w:t xml:space="preserve">Ergebnis: </w:t>
      </w:r>
      <w:r>
        <w:t>Erhöhtes WWI assoziiert mit höherem Gesamtmortalitätsrisiko (aHR 1,17, 95% CI 1,09-1,26, p&lt;0,001) und kardiovaskulärem Mortalitätsrisiko (aHR 1,24, 95% CI 1,09-1,41, p=0,001). Lineare positive Beziehung zu beiden Outcomes. Neutrophilen-Lymphozyten-Verhältnis vermittelte 6,66% des Effekts auf Gesamtmortalität.</w:t>
      </w:r>
    </w:p>
    <w:p>
      <w:r>
        <w:rPr>
          <w:b/>
          <w:sz w:val="19"/>
        </w:rPr>
        <w:t xml:space="preserve">Übertragbarkeit: </w:t>
      </w:r>
      <w:r>
        <w:rPr>
          <w:sz w:val="19"/>
        </w:rPr>
        <w:t>USA-Daten, aber zentrale Adipositas als Risikofaktor in allen Systemen relevant</w:t>
      </w:r>
    </w:p>
    <w:p>
      <w:r>
        <w:rPr>
          <w:color w:val="5A7D3A"/>
          <w:sz w:val="18"/>
        </w:rPr>
        <w:t>https://pubmed.ncbi.nlm.nih.gov/42700084/</w:t>
      </w:r>
    </w:p>
    <w:p>
      <w:pPr>
        <w:pStyle w:val="Heading2"/>
      </w:pPr>
      <w:r>
        <w:t>Minimalausstattungs-Zirkeltraining erreicht 72% trainings-wirksamer Intensität bei Atemwegserkrankungen</w:t>
      </w:r>
    </w:p>
    <w:p>
      <w:r>
        <w:rPr>
          <w:i/>
          <w:color w:val="666666"/>
          <w:sz w:val="18"/>
        </w:rPr>
        <w:t>Mellerick CR et al.  ·  Chron Respir Dis  ·  04.09.2026  ·  PMID 42696318</w:t>
      </w:r>
    </w:p>
    <w:p>
      <w:r>
        <w:t>Australische Studie mit 18 Patienten mit chronischen Atemwegserkrankungen evaluierte, ob Zirkeltraining ohne großes Equipment erforderliche Trainingsintensität (≥60% VO2peak) erreicht.</w:t>
      </w:r>
    </w:p>
    <w:p>
      <w:r>
        <w:rPr>
          <w:b/>
        </w:rPr>
        <w:t xml:space="preserve">Ergebnis: </w:t>
      </w:r>
      <w:r>
        <w:t>Durchschnittlich 72% (21%) der Sitzung erreichte ≥60% VO2peak; 40 [32-47] Minuten über diesem Schwellwert. 83% (15/18) erreichten Zielintensität für ≥30 Minuten. Teilnehmer berichteten hohe Bewertungen für Vertrauen, Komfort und Vergnügen.</w:t>
      </w:r>
    </w:p>
    <w:p>
      <w:r>
        <w:rPr>
          <w:b/>
          <w:sz w:val="19"/>
        </w:rPr>
        <w:t xml:space="preserve">Übertragbarkeit: </w:t>
      </w:r>
      <w:r>
        <w:rPr>
          <w:sz w:val="19"/>
        </w:rPr>
        <w:t>Australien, vergleichbare Rehabilitationsstruktur, aber Übertragbarkeit auf DMP-System zu prüfen</w:t>
      </w:r>
    </w:p>
    <w:p>
      <w:r>
        <w:rPr>
          <w:color w:val="5A7D3A"/>
          <w:sz w:val="18"/>
        </w:rPr>
        <w:t>https://pubmed.ncbi.nlm.nih.gov/42696318/</w:t>
      </w:r>
    </w:p>
    <w:p>
      <w:pPr>
        <w:pStyle w:val="Heading2"/>
      </w:pPr>
      <w:r>
        <w:t>Soziale Isolation erhöht Sedentarität bei schwerem COPD um 1,5 Stunden täglich</w:t>
      </w:r>
    </w:p>
    <w:p>
      <w:r>
        <w:rPr>
          <w:i/>
          <w:color w:val="666666"/>
          <w:sz w:val="18"/>
        </w:rPr>
        <w:t>Harding S et al.  ·  COPD  ·  02.08.2026  ·  PMID 42695939</w:t>
      </w:r>
    </w:p>
    <w:p>
      <w:r>
        <w:t>UK-Biobank-Studie mit 1558 COPD-Patienten untersuchte, wie Deprivation und Isolation mit Bewegungsmangel assoziiert sind.</w:t>
      </w:r>
    </w:p>
    <w:p>
      <w:r>
        <w:rPr>
          <w:b/>
        </w:rPr>
        <w:t xml:space="preserve">Ergebnis: </w:t>
      </w:r>
      <w:r>
        <w:t>Sedentarität stieg mit Schweregrad (GOLD 4 vs. GOLD 1: +19% pro Tag). Soziale Isolation führte zu zusätzlich 1,5 h Sedentarität täglich in schwererem COPD (GOLD 3-4, p=0,004). Deprivation wirkte stärker bei milder Erkrankung.</w:t>
      </w:r>
    </w:p>
    <w:p>
      <w:r>
        <w:rPr>
          <w:b/>
          <w:sz w:val="19"/>
        </w:rPr>
        <w:t xml:space="preserve">Übertragbarkeit: </w:t>
      </w:r>
      <w:r>
        <w:rPr>
          <w:sz w:val="19"/>
        </w:rPr>
        <w:t>Großbritannien, vergleichbares Versicherungssystem und epidemiologische Datenqualität</w:t>
      </w:r>
    </w:p>
    <w:p>
      <w:r>
        <w:rPr>
          <w:color w:val="5A7D3A"/>
          <w:sz w:val="18"/>
        </w:rPr>
        <w:t>https://pubmed.ncbi.nlm.nih.gov/42695939/</w:t>
      </w:r>
    </w:p>
    <w:p>
      <w:pPr>
        <w:pStyle w:val="Heading2"/>
      </w:pPr>
      <w:r>
        <w:t>Chronische Nierenschädigung bei 42% der Kinder nach Ifosfamid-Chemotherapie</w:t>
      </w:r>
    </w:p>
    <w:p>
      <w:r>
        <w:rPr>
          <w:i/>
          <w:color w:val="666666"/>
          <w:sz w:val="18"/>
        </w:rPr>
        <w:t>Pitlo L et al.  ·  Cancer Med  ·  Sept. 2026  ·  PMID 42670233</w:t>
      </w:r>
    </w:p>
    <w:p>
      <w:r>
        <w:t>Niederländische Kohorte von 292 Kindern untersuchte Häufigkeit und Determinanten chronischer Nierenerkrankung in den ersten 5 Jahren nach Ifosfamid-Chemotherapie.</w:t>
      </w:r>
    </w:p>
    <w:p>
      <w:r>
        <w:rPr>
          <w:b/>
        </w:rPr>
        <w:t xml:space="preserve">Ergebnis: </w:t>
      </w:r>
      <w:r>
        <w:t>Prävalenz chronischer Nierenschädigung: 42,1% (123/292 Patienten); 29 Patienten mit Risiko für Nierenversagen (eGFR &lt;60). Risikofaktoren: Ifosfamid-Dosis 30-59,9 g/m² (HR 1,95) oder &gt;60 g/m² (HR 4,09), Alter bei Diagnose (HR 1,12 pro Jahr), ≥2 akute Nierenversagen während Therapie (HR 3,81).</w:t>
      </w:r>
    </w:p>
    <w:p>
      <w:r>
        <w:rPr>
          <w:b/>
          <w:sz w:val="19"/>
        </w:rPr>
        <w:t xml:space="preserve">Übertragbarkeit: </w:t>
      </w:r>
      <w:r>
        <w:rPr>
          <w:sz w:val="19"/>
        </w:rPr>
        <w:t>Niederlande, vergleichbares Gesundheitssystem und Dokumentationsstandards</w:t>
      </w:r>
    </w:p>
    <w:p>
      <w:r>
        <w:rPr>
          <w:color w:val="5A7D3A"/>
          <w:sz w:val="18"/>
        </w:rPr>
        <w:t>https://pubmed.ncbi.nlm.nih.gov/42670233/</w:t>
      </w:r>
    </w:p>
    <w:p>
      <w:pPr>
        <w:pStyle w:val="Heading1"/>
      </w:pPr>
      <w:r>
        <w:t>Aufgenommen am 06.09.2026</w:t>
      </w:r>
    </w:p>
    <w:p>
      <w:pPr>
        <w:pStyle w:val="Heading2"/>
      </w:pPr>
      <w:r>
        <w:t>Probiotikum Lactobacillus plantarum stabilisiert Nierenfunktion bei CKD Stadium 3-4</w:t>
      </w:r>
    </w:p>
    <w:p>
      <w:r>
        <w:rPr>
          <w:i/>
          <w:color w:val="666666"/>
          <w:sz w:val="18"/>
        </w:rPr>
        <w:t>Saleh SE et al.  ·  Sci Rep  ·  04.09.2026  ·  PMID 42697907</w:t>
      </w:r>
    </w:p>
    <w:p>
      <w:r>
        <w:t>Doppelblinde, randomisierte, placebokontrollierte Studie an 72 Patienten mit CKD Stadium 3-4 (keine Hämodialyse) über 6 Monate: Lactobacillus plantarum 10¹⁰ CFU täglich versus Placebo, primärer Endpunkt Änderung der eGFR.</w:t>
      </w:r>
    </w:p>
    <w:p>
      <w:r>
        <w:rPr>
          <w:b/>
        </w:rPr>
        <w:t xml:space="preserve">Ergebnis: </w:t>
      </w:r>
      <w:r>
        <w:t>Probiotika-Gruppe zeigte signifikanten eGFR-Anstieg, Placebo-Gruppe Rückgang; 0 Probiotika-Patienten versus 8,6% Placebo zeigten CKD-Progression. Effekt war unabhängig von Diabetesstatus und CKD-Stadium. Kein signifikanter Unterschied in Indoxyl-Sulfat-Spiegeln zwischen den Gruppen.</w:t>
      </w:r>
    </w:p>
    <w:p>
      <w:r>
        <w:rPr>
          <w:b/>
          <w:sz w:val="19"/>
        </w:rPr>
        <w:t xml:space="preserve">Übertragbarkeit: </w:t>
      </w:r>
      <w:r>
        <w:rPr>
          <w:sz w:val="19"/>
        </w:rPr>
        <w:t>Ägyptisches Zentrum, Mechanismus unabhängig von Region, weitere Validierung nötig</w:t>
      </w:r>
    </w:p>
    <w:p>
      <w:r>
        <w:rPr>
          <w:color w:val="5A7D3A"/>
          <w:sz w:val="18"/>
        </w:rPr>
        <w:t>https://pubmed.ncbi.nlm.nih.gov/42697907/</w:t>
      </w:r>
    </w:p>
    <w:p>
      <w:pPr>
        <w:pStyle w:val="Heading2"/>
      </w:pPr>
      <w:r>
        <w:t>Antikoagulation bei Vorhofflimmern mit CKD Stadium 4-5: Apixaban senkt Schlaganfälle</w:t>
      </w:r>
    </w:p>
    <w:p>
      <w:r>
        <w:rPr>
          <w:i/>
          <w:color w:val="666666"/>
          <w:sz w:val="18"/>
        </w:rPr>
        <w:t>Chen Q et al.  ·  JAMA Netw Open  ·  01.09.2026  ·  PMID 42696280</w:t>
      </w:r>
    </w:p>
    <w:p>
      <w:r>
        <w:t>Retrospektive Kohortenstudie mit Zieltriallemulation an 42.052 Medicare- und Optum-Versicherten mit Vorhofflimmern und CKD Stadium 4-5 ohne Dialyse (Jan 2013–Feb 2025), Vergleich von Apixaban, Warfarin und Keine Antikoagulation.</w:t>
      </w:r>
    </w:p>
    <w:p>
      <w:r>
        <w:rPr>
          <w:b/>
        </w:rPr>
        <w:t xml:space="preserve">Ergebnis: </w:t>
      </w:r>
      <w:r>
        <w:t>Apixaban reduzierte Schlaganfallrate im Vergleich zu Kein-Antikoagulation (HR 0,46; 95%-KI 0,32–0,66), erhöhte aber Blutungsrate (HR 1,32; 95%-KI 1,11–1,58). Warfarin hatte höhere Blutungs- und Kompositrisiken. Apixaban versus Warfarin: HR 0,55 für schwere Blutungen (KI 0,46–0,65), HR 0,50 für Schlaganfall (KI 0,33–0,78).</w:t>
      </w:r>
    </w:p>
    <w:p>
      <w:r>
        <w:rPr>
          <w:b/>
          <w:sz w:val="19"/>
        </w:rPr>
        <w:t xml:space="preserve">Übertragbarkeit: </w:t>
      </w:r>
      <w:r>
        <w:rPr>
          <w:sz w:val="19"/>
        </w:rPr>
        <w:t>USA-Versichertendaten, Wirkmechanismus unabhängig von Gesundheitssystem übertragbar</w:t>
      </w:r>
    </w:p>
    <w:p>
      <w:r>
        <w:rPr>
          <w:color w:val="5A7D3A"/>
          <w:sz w:val="18"/>
        </w:rPr>
        <w:t>https://pubmed.ncbi.nlm.nih.gov/42696280/</w:t>
      </w:r>
    </w:p>
    <w:p>
      <w:pPr>
        <w:pStyle w:val="Heading2"/>
      </w:pPr>
      <w:r>
        <w:t>Nierenfunktion und Urämietoxine korrelieren mit kognitiven Defiziten bei CKD</w:t>
      </w:r>
    </w:p>
    <w:p>
      <w:r>
        <w:rPr>
          <w:i/>
          <w:color w:val="666666"/>
          <w:sz w:val="18"/>
        </w:rPr>
        <w:t>Cheng TW et al.  ·  Int J Med Sci  ·  30.07.2026  ·  PMID 42694884</w:t>
      </w:r>
    </w:p>
    <w:p>
      <w:r>
        <w:t>Pilot-Beobachtungsstudie an 12 Patienten mit CKD Stadium 3-5 und früher kognitiver Einschränkung: Messung von Serumindoxyl-Sulfat, Serum-p-Kresyl-Sulfat, Brain-MRI und kognitiver Funktion per CANTAB.</w:t>
      </w:r>
    </w:p>
    <w:p>
      <w:r>
        <w:rPr>
          <w:b/>
        </w:rPr>
        <w:t xml:space="preserve">Ergebnis: </w:t>
      </w:r>
      <w:r>
        <w:t>Höhere eGFR korrelierte mit besserer räumlicher Arbeitsgedächtnisleistung (r = 0,695, p = 0,012). Indoxyl-Sulfat und p-Kresyl-Sulfat zeigten inverse Korrelation mit eGFR (r = -0,301 bis -0,461), aber keine klare Assoziation mit kognitiven Testergebnissen. MRI-Läsionenlast war gering, strukturelle Abnormitäten aber vorhanden.</w:t>
      </w:r>
    </w:p>
    <w:p>
      <w:r>
        <w:rPr>
          <w:b/>
          <w:sz w:val="19"/>
        </w:rPr>
        <w:t xml:space="preserve">Übertragbarkeit: </w:t>
      </w:r>
      <w:r>
        <w:rPr>
          <w:sz w:val="19"/>
        </w:rPr>
        <w:t>Taiwan, kleine Pilotstichprobe, Konzept der Mehrfacherkrankung mit kognitiven Folgen zentral</w:t>
      </w:r>
    </w:p>
    <w:p>
      <w:r>
        <w:rPr>
          <w:color w:val="5A7D3A"/>
          <w:sz w:val="18"/>
        </w:rPr>
        <w:t>https://pubmed.ncbi.nlm.nih.gov/42694884/</w:t>
      </w:r>
    </w:p>
    <w:p>
      <w:pPr>
        <w:pStyle w:val="Heading2"/>
      </w:pPr>
      <w:r>
        <w:t>Behandlungslast verschlechtert Gesundheit bei Mehrfacherkrankung: Stressanpassung hilft</w:t>
      </w:r>
    </w:p>
    <w:p>
      <w:r>
        <w:rPr>
          <w:i/>
          <w:color w:val="666666"/>
          <w:sz w:val="18"/>
        </w:rPr>
        <w:t>Shi Y et al.  ·  Front Public Health  ·  20.08.2026  ·  PMID 42694161</w:t>
      </w:r>
    </w:p>
    <w:p>
      <w:r>
        <w:t>Querschnittsuntersuchung mit Mediationsanalyse an 507 älteren Patienten mit komplexer Mehrfacherkrankung in Zhejiang, China; Beziehung zwischen Behandlungslast und ganzheitlichem Gesundheitsstatus.</w:t>
      </w:r>
    </w:p>
    <w:p>
      <w:r>
        <w:rPr>
          <w:b/>
        </w:rPr>
        <w:t xml:space="preserve">Ergebnis: </w:t>
      </w:r>
      <w:r>
        <w:t>Behandlungslast hatte direkten negativen Effekt auf Gesundheitsstatus (B = -0,263; 95%-KI -0,357 bis -0,168), Gesamteffekt -0,449 (KI -0,538 bis -0,360). Depressive Symptome und Stressanpassungskapazität mediierten diesen Effekt partiell (jeweils ca. 10% indirekte Effekte).</w:t>
      </w:r>
    </w:p>
    <w:p>
      <w:r>
        <w:rPr>
          <w:b/>
          <w:sz w:val="19"/>
        </w:rPr>
        <w:t xml:space="preserve">Übertragbarkeit: </w:t>
      </w:r>
      <w:r>
        <w:rPr>
          <w:sz w:val="19"/>
        </w:rPr>
        <w:t>China, aber Konzept der Behandlungslast international anerkannt, Intervention skalierbar</w:t>
      </w:r>
    </w:p>
    <w:p>
      <w:r>
        <w:rPr>
          <w:color w:val="5A7D3A"/>
          <w:sz w:val="18"/>
        </w:rPr>
        <w:t>https://pubmed.ncbi.nlm.nih.gov/42694161/</w:t>
      </w:r>
    </w:p>
    <w:p>
      <w:pPr>
        <w:pStyle w:val="Heading2"/>
      </w:pPr>
      <w:r>
        <w:t>Nephrologen unterschätzen Symptombelastung bei CKD – Patientensicht zählt</w:t>
      </w:r>
    </w:p>
    <w:p>
      <w:r>
        <w:rPr>
          <w:i/>
          <w:color w:val="666666"/>
          <w:sz w:val="18"/>
        </w:rPr>
        <w:t>Jessen B et al.  ·  Inn Med (Heidelb)  ·  22.07.2026  ·  PMID 42484874</w:t>
      </w:r>
    </w:p>
    <w:p>
      <w:r>
        <w:t>Deutschlandweite Online-Befragung: 108 Nephrologen bewerteten durchschnittliche Symptombelastung bei CKD (Chronic Kidney Disease Symptom Burden Index, CKD-SBI), Vergleich mit Selbstangaben von 222 CKD-Patienten ohne Dialysepflicht.</w:t>
      </w:r>
    </w:p>
    <w:p>
      <w:r>
        <w:rPr>
          <w:b/>
        </w:rPr>
        <w:t xml:space="preserve">Ergebnis: </w:t>
      </w:r>
      <w:r>
        <w:t>Nephrologen nannten Fatigue (69,4%), Ödeme (38,9%), Hypertonie (35,2%) als häufigste; Patienten nannten Nykturie (74,3%), Fatigue (61,3%), Schlafstörungen (47,3%). Nephrologen überschätzten Gesamtbelastung und fünf Einzelsymptome signifikant, unterschätzten Belastung von 12 Symptomen.</w:t>
      </w:r>
    </w:p>
    <w:p>
      <w:r>
        <w:rPr>
          <w:b/>
          <w:sz w:val="19"/>
        </w:rPr>
        <w:t xml:space="preserve">Übertragbarkeit: </w:t>
      </w:r>
      <w:r>
        <w:rPr>
          <w:sz w:val="19"/>
        </w:rPr>
        <w:t>Deutschland, deutschsprachig, direkte Übertragbarkeit auf Praxis und Kliniken</w:t>
      </w:r>
    </w:p>
    <w:p>
      <w:r>
        <w:rPr>
          <w:color w:val="5A7D3A"/>
          <w:sz w:val="18"/>
        </w:rPr>
        <w:t>https://pubmed.ncbi.nlm.nih.gov/42484874/</w:t>
      </w:r>
    </w:p>
    <w:p>
      <w:pPr>
        <w:pStyle w:val="Heading2"/>
      </w:pPr>
      <w:r>
        <w:t>Wrist-Wearable Sensors erkennen COPD-Risiko früh durch digitale Gangmuster</w:t>
      </w:r>
    </w:p>
    <w:p>
      <w:r>
        <w:rPr>
          <w:i/>
          <w:color w:val="666666"/>
          <w:sz w:val="18"/>
        </w:rPr>
        <w:t>Fernandez N et al.  ·  Int J Chron Obstruct Pulmon Dis  ·  17.07.2026  ·  PMID 42482839</w:t>
      </w:r>
    </w:p>
    <w:p>
      <w:r>
        <w:t>Prospektive Kohortenstudie an 28.251 UK-Biobank-Teilnehmern (60-78 Jahre) mit Beschleunigungsmessern zur Prüfung, ob reale Mobilitätsmuster Hinweis auf künftiges COPD-Auftreten geben.</w:t>
      </w:r>
    </w:p>
    <w:p>
      <w:r>
        <w:rPr>
          <w:b/>
        </w:rPr>
        <w:t xml:space="preserve">Ergebnis: </w:t>
      </w:r>
      <w:r>
        <w:t>Bei 639 Teilnehmern (2,26%) trat COPD während des Beobachtungszeitraums von durchschnittlich 8,5 Jahren auf. Vier digitale Ganzbiomarker (niedrigere Laufdauer, langsamere maximale Gehgeschwindigkeit, kürzere Gehpausen, geringerer Anteil von Gängen länger als 8 Sekunden) waren unabhängig mit künftiger COPD assoziiert; ein Modell mit diesen vier Biomarkern plus Selbstangaben erreichte einen Konkordanzindex von 0,80 und ist damit vergleichbar mit klinischen Tests.</w:t>
      </w:r>
    </w:p>
    <w:p>
      <w:r>
        <w:rPr>
          <w:b/>
          <w:sz w:val="19"/>
        </w:rPr>
        <w:t xml:space="preserve">Übertragbarkeit: </w:t>
      </w:r>
      <w:r>
        <w:rPr>
          <w:sz w:val="19"/>
        </w:rPr>
        <w:t>UK-Biobank-Daten, digitale Biometrie auf Smartwatches übertragbar</w:t>
      </w:r>
    </w:p>
    <w:p>
      <w:r>
        <w:rPr>
          <w:color w:val="5A7D3A"/>
          <w:sz w:val="18"/>
        </w:rPr>
        <w:t>https://pubmed.ncbi.nlm.nih.gov/42482839/</w:t>
      </w:r>
    </w:p>
    <w:p>
      <w:pPr>
        <w:pStyle w:val="Heading1"/>
      </w:pPr>
      <w:r>
        <w:t>Aufgenommen am 05.09.2026</w:t>
      </w:r>
    </w:p>
    <w:p>
      <w:pPr>
        <w:pStyle w:val="Heading2"/>
      </w:pPr>
      <w:r>
        <w:t>Regionale Benachteiligung (nicht Einzelindividuum) prägte Leberfibrose bei HBV-Infektion</w:t>
      </w:r>
    </w:p>
    <w:p>
      <w:r>
        <w:rPr>
          <w:i/>
          <w:color w:val="666666"/>
          <w:sz w:val="18"/>
        </w:rPr>
        <w:t>Çiçek Y et al.  ·  Infect Dis Poverty  ·  03.09.2026  ·  PMID 42693478</w:t>
      </w:r>
    </w:p>
    <w:p>
      <w:r>
        <w:t>Nationale türkische Multicenterstudie (24 Zentren, n=956) zu Assoziation von Sozioökonomie (Individual- und Gebietsebene) mit Leberfibrosegrad bei CHB.</w:t>
      </w:r>
    </w:p>
    <w:p>
      <w:r>
        <w:rPr>
          <w:b/>
        </w:rPr>
        <w:t xml:space="preserve">Ergebnis: </w:t>
      </w:r>
      <w:r>
        <w:t>Leberfibrosegrad assoziiert mit älterem Alter (aOR 1,12 pro 10 Jahre), längerer Anfahrtszeit zu CHB-Fachzentrum (aOR 1,53 pro Kategorie, p&lt;0,001), aber vor allem mit niedriger Wohngebiets-Sozioökonomie (aOR 1,97 pro Stufe, p&lt;0,001); Vergleich höchste vs. niedrigste Stufe: aOR 26,00 (95%-KI 8,21–82,37).</w:t>
      </w:r>
    </w:p>
    <w:p>
      <w:r>
        <w:rPr>
          <w:b/>
          <w:sz w:val="19"/>
        </w:rPr>
        <w:t xml:space="preserve">Übertragbarkeit: </w:t>
      </w:r>
      <w:r>
        <w:rPr>
          <w:sz w:val="19"/>
        </w:rPr>
        <w:t>Türkei (vergleichbares Gesundheitswesen); regionale Ungleichheit oft unterschätzt, Koordinationszugang zentral für Prognose.</w:t>
      </w:r>
    </w:p>
    <w:p>
      <w:r>
        <w:rPr>
          <w:color w:val="5A7D3A"/>
          <w:sz w:val="18"/>
        </w:rPr>
        <w:t>https://pubmed.ncbi.nlm.nih.gov/42693478/</w:t>
      </w:r>
    </w:p>
    <w:p>
      <w:pPr>
        <w:pStyle w:val="Heading2"/>
      </w:pPr>
      <w:r>
        <w:t>Extracorporeal CO₂-Elimination verkürzte Beatmungsdauer bei schwerem COPD-Exazerbation</w:t>
      </w:r>
    </w:p>
    <w:p>
      <w:r>
        <w:rPr>
          <w:i/>
          <w:color w:val="666666"/>
          <w:sz w:val="18"/>
        </w:rPr>
        <w:t>Karagiannidis C et al.  ·  Crit Care  ·  03.09.2026  ·  PMID 42693471</w:t>
      </w:r>
    </w:p>
    <w:p>
      <w:r>
        <w:t>Randomisierte Studie zu ECCO₂R-gestützter Früh-Extubation vs. Standard-Beatmung bei invasiv beatmeten COPD-Patienten mit hypercapnischer Ateminsuffizienz.</w:t>
      </w:r>
    </w:p>
    <w:p>
      <w:r>
        <w:rPr>
          <w:b/>
        </w:rPr>
        <w:t xml:space="preserve">Ergebnis: </w:t>
      </w:r>
      <w:r>
        <w:t>ECCO₂R-Gruppe: Beatmungsdauer 7,1±2,0 Tage vs. Kontrolle 24,3±21,4 Tage (p=0,043); 0/8 vs. 3/9 (33 %) mit Tod/schwerer Behinderung; ventilatorassoziierte Pneumonie 0 vs. 37,5 %. Studie vorzeitig beendet (n=18, geplant 192), aber konsistente Trends für ECCO₂R.</w:t>
      </w:r>
    </w:p>
    <w:p>
      <w:r>
        <w:rPr>
          <w:b/>
          <w:sz w:val="19"/>
        </w:rPr>
        <w:t xml:space="preserve">Übertragbarkeit: </w:t>
      </w:r>
      <w:r>
        <w:rPr>
          <w:sz w:val="19"/>
        </w:rPr>
        <w:t>Deutschland: Spezialisierte Zentren, technische Verfügbarkeit und Kostenübernahme prüfen.</w:t>
      </w:r>
    </w:p>
    <w:p>
      <w:r>
        <w:rPr>
          <w:color w:val="5A7D3A"/>
          <w:sz w:val="18"/>
        </w:rPr>
        <w:t>https://pubmed.ncbi.nlm.nih.gov/42693471/</w:t>
      </w:r>
    </w:p>
    <w:p>
      <w:pPr>
        <w:pStyle w:val="Heading2"/>
      </w:pPr>
      <w:r>
        <w:t>Metabolisches Syndrom-Scoring sagte Mehrfacherkrankung voraus: 1,35-fache Risikoerhöhung</w:t>
      </w:r>
    </w:p>
    <w:p>
      <w:r>
        <w:rPr>
          <w:i/>
          <w:color w:val="666666"/>
          <w:sz w:val="18"/>
        </w:rPr>
        <w:t>Zhang W et al.  ·  Sci Rep  ·  24.07.2026  ·  PMID 42693153</w:t>
      </w:r>
    </w:p>
    <w:p>
      <w:r>
        <w:t>Prospektive Analyse von 17.894 Teilnehmern (China, USA, UK) zur Vorhersage kardiometabolischer Mehrfacherkrankung durch kontinuierliches Metabolisches-Syndrom-Score.</w:t>
      </w:r>
    </w:p>
    <w:p>
      <w:r>
        <w:rPr>
          <w:b/>
        </w:rPr>
        <w:t xml:space="preserve">Ergebnis: </w:t>
      </w:r>
      <w:r>
        <w:t>Über Medianfolgeup 4–7 Jahre: 1.061 Fälle kardiometabolischer Mehrfacherkrankung. Höchstes vs. niedriges Tertil des Score assoziiert mit HR 1,77–4,27 je nach Kohorte. Gepoolte HR pro 1-SD-Anstieg: 1,35 (95%-KI 1,17–1,56). Dosis-Wirkungs-Beziehung dosisabhängig oder linear.</w:t>
      </w:r>
    </w:p>
    <w:p>
      <w:r>
        <w:rPr>
          <w:b/>
          <w:sz w:val="19"/>
        </w:rPr>
        <w:t xml:space="preserve">Übertragbarkeit: </w:t>
      </w:r>
      <w:r>
        <w:rPr>
          <w:sz w:val="19"/>
        </w:rPr>
        <w:t>China, USA, UK; Risikostratifizierungsmodell universal anwendbar, aber externe Validierung ausstehend.</w:t>
      </w:r>
    </w:p>
    <w:p>
      <w:r>
        <w:rPr>
          <w:color w:val="5A7D3A"/>
          <w:sz w:val="18"/>
        </w:rPr>
        <w:t>https://pubmed.ncbi.nlm.nih.gov/42693153/</w:t>
      </w:r>
    </w:p>
    <w:p>
      <w:pPr>
        <w:pStyle w:val="Heading2"/>
      </w:pPr>
      <w:r>
        <w:t>ESA- und Eisenmanagement erforderte 1.093 Monats-Arbeitsstunden in französischen Dialysezentren</w:t>
      </w:r>
    </w:p>
    <w:p>
      <w:r>
        <w:rPr>
          <w:i/>
          <w:color w:val="666666"/>
          <w:sz w:val="18"/>
        </w:rPr>
        <w:t>El-Haik Y et al.  ·  Nephrol Ther  ·  01.08.2026  ·  PMID 42684151</w:t>
      </w:r>
    </w:p>
    <w:p>
      <w:r>
        <w:t>Organisatorische Belastungsanalyse von Erythropoese-Stimulatoren und intravenösem Eisen in 12 französischen Dialyseeinrichtungen.</w:t>
      </w:r>
    </w:p>
    <w:p>
      <w:r>
        <w:rPr>
          <w:b/>
        </w:rPr>
        <w:t xml:space="preserve">Ergebnis: </w:t>
      </w:r>
      <w:r>
        <w:t>ESA-Management 313,9 h/Monat pro Zentrum (davon 285,3 h Vorbereitung/Verabreichung/Monitoring); IV-Eisen-Management 779,3 h/Monat (664 h Verabreichung/Monitoring). 74,2 % der Kühllagerfläche für ESAs.</w:t>
      </w:r>
    </w:p>
    <w:p>
      <w:r>
        <w:rPr>
          <w:b/>
          <w:sz w:val="19"/>
        </w:rPr>
        <w:t xml:space="preserve">Übertragbarkeit: </w:t>
      </w:r>
      <w:r>
        <w:rPr>
          <w:sz w:val="19"/>
        </w:rPr>
        <w:t>Frankreich; direkte Übertragbarkeit auf deutsches Dialysesystem (DMP-ähnliche Strukturen, vergleichbare Dokumentation).</w:t>
      </w:r>
    </w:p>
    <w:p>
      <w:r>
        <w:rPr>
          <w:color w:val="5A7D3A"/>
          <w:sz w:val="18"/>
        </w:rPr>
        <w:t>https://pubmed.ncbi.nlm.nih.gov/42684151/</w:t>
      </w:r>
    </w:p>
    <w:p>
      <w:pPr>
        <w:pStyle w:val="Heading2"/>
      </w:pPr>
      <w:r>
        <w:t>Isoliert reduzierte Diffusionskapazität korrelierte mit Emphysem und Rauchen</w:t>
      </w:r>
    </w:p>
    <w:p>
      <w:r>
        <w:rPr>
          <w:i/>
          <w:color w:val="666666"/>
          <w:sz w:val="18"/>
        </w:rPr>
        <w:t>Hamrefors V et al.  ·  BMC Pulm Med  ·  31.08.2026  ·  PMID 42675482</w:t>
      </w:r>
    </w:p>
    <w:p>
      <w:r>
        <w:t>Große schwedische Querschnittsstudie (SCAPIS) zu Determinanten isoliert verminderter DLCO bei 24.261 Patienten mit normalen Spirometrieparametern.</w:t>
      </w:r>
    </w:p>
    <w:p>
      <w:r>
        <w:rPr>
          <w:b/>
        </w:rPr>
        <w:t xml:space="preserve">Ergebnis: </w:t>
      </w:r>
      <w:r>
        <w:t>DLCO unterhalb LLN (n=1.472; 6,1 %): unabhängig assoziiert mit Emphysem (OR 2,6), Lungenerkrankung außer Asthma/COPD (OR 1,8), Rauchen pro 10-Pack-Jahre (OR 1,6), interstitielle Lungenabnormitäten (OR 1,4), Belastungsbrust­schmerz (OR 1,6).</w:t>
      </w:r>
    </w:p>
    <w:p>
      <w:r>
        <w:rPr>
          <w:b/>
          <w:sz w:val="19"/>
        </w:rPr>
        <w:t xml:space="preserve">Übertragbarkeit: </w:t>
      </w:r>
      <w:r>
        <w:rPr>
          <w:sz w:val="19"/>
        </w:rPr>
        <w:t>Schweden; bevölkerungsbasiert, Screening-konzept übertragbar auf deutsches Präventiossystem.</w:t>
      </w:r>
    </w:p>
    <w:p>
      <w:r>
        <w:rPr>
          <w:color w:val="5A7D3A"/>
          <w:sz w:val="18"/>
        </w:rPr>
        <w:t>https://pubmed.ncbi.nlm.nih.gov/42675482/</w:t>
      </w:r>
    </w:p>
    <w:p>
      <w:pPr>
        <w:pStyle w:val="Heading2"/>
      </w:pPr>
      <w:r>
        <w:t>HBV-Genotyp-E-Infektionen: Resistenzmutationen unter Migration und schlechter Adhärenz</w:t>
      </w:r>
    </w:p>
    <w:p>
      <w:r>
        <w:rPr>
          <w:i/>
          <w:color w:val="666666"/>
          <w:sz w:val="18"/>
        </w:rPr>
        <w:t>Tiecco G et al.  ·  Infect Dis (Lond)  ·  03.08.2026  ·  PMID 42547309</w:t>
      </w:r>
    </w:p>
    <w:p>
      <w:r>
        <w:t>Retrospektive Fallserie (2015–2023) von 8 Patienten mit dokumentiertem HBV-Genotyp E und Resistenztest-Ergebnissen.</w:t>
      </w:r>
    </w:p>
    <w:p>
      <w:r>
        <w:rPr>
          <w:b/>
        </w:rPr>
        <w:t xml:space="preserve">Ergebnis: </w:t>
      </w:r>
      <w:r>
        <w:t>8 Patienten (62,5 % männlich, 87,5 % afrikanischer Herkunft); 75 % mit persistierender Virämie trotz Therapie; Lamivudin-Resistenz 12,5 %, Tenofovir-Resistenzmutationen 25 %, Immun-Escape-Mutationen 37,5 %; virologische Suppression nach Therapie­anpassung nur in 37,5 %.</w:t>
      </w:r>
    </w:p>
    <w:p>
      <w:r>
        <w:rPr>
          <w:b/>
          <w:sz w:val="19"/>
        </w:rPr>
        <w:t xml:space="preserve">Übertragbarkeit: </w:t>
      </w:r>
      <w:r>
        <w:rPr>
          <w:sz w:val="19"/>
        </w:rPr>
        <w:t>Italien (reales Patientenkollektiv); strukturelle Herausforderungen (Adhärenz, Migranten) in Deutschland ähnlich.</w:t>
      </w:r>
    </w:p>
    <w:p>
      <w:r>
        <w:rPr>
          <w:color w:val="5A7D3A"/>
          <w:sz w:val="18"/>
        </w:rPr>
        <w:t>https://pubmed.ncbi.nlm.nih.gov/42547309/</w:t>
      </w:r>
    </w:p>
    <w:p>
      <w:pPr>
        <w:pStyle w:val="Heading2"/>
      </w:pPr>
      <w:r>
        <w:t>HBV-assoziierte Stigmatisierung beeinträchtigte alle Lebensqualitäts-Domänen</w:t>
      </w:r>
    </w:p>
    <w:p>
      <w:r>
        <w:rPr>
          <w:i/>
          <w:color w:val="666666"/>
          <w:sz w:val="18"/>
        </w:rPr>
        <w:t>Smith V et al.  ·  J Viral Hepat  ·  Aug. 2026  ·  PMID 42499137</w:t>
      </w:r>
    </w:p>
    <w:p>
      <w:r>
        <w:t>Qualitative Studie (Concept-Elicitation-Interviews) mit 28 HBV-Patienten aus USA, China und Polen zur Erfahrung von Stigma.</w:t>
      </w:r>
    </w:p>
    <w:p>
      <w:r>
        <w:rPr>
          <w:b/>
        </w:rPr>
        <w:t xml:space="preserve">Ergebnis: </w:t>
      </w:r>
      <w:r>
        <w:t>Internalisiertes Stigma 100 %, soziales Stigma 79 %, institutionelles Stigma 57 %. Sieben Domänen identifiziert: soziale Funktion (100 %), emotionales Wohlbefinden (96 %), HBV-Transmission (96 %), körperliche Symptome, Arbeit, Beziehungen, Zugang zu Versorgung. Stigma stark mit Lebensqualitäts-Einschränkungen verwoben.</w:t>
      </w:r>
    </w:p>
    <w:p>
      <w:r>
        <w:rPr>
          <w:b/>
          <w:sz w:val="19"/>
        </w:rPr>
        <w:t xml:space="preserve">Übertragbarkeit: </w:t>
      </w:r>
      <w:r>
        <w:rPr>
          <w:sz w:val="19"/>
        </w:rPr>
        <w:t>Multinational (aber gering-Einkommens- und Mitteleinkommensländer überrepräsentiert); psychosoziale Versorgung in Deutschland unterbewertet.</w:t>
      </w:r>
    </w:p>
    <w:p>
      <w:r>
        <w:rPr>
          <w:color w:val="5A7D3A"/>
          <w:sz w:val="18"/>
        </w:rPr>
        <w:t>https://pubmed.ncbi.nlm.nih.gov/42499137/</w:t>
      </w:r>
    </w:p>
    <w:p>
      <w:pPr>
        <w:pStyle w:val="Heading1"/>
      </w:pPr>
      <w:r>
        <w:t>Aufgenommen am 04.09.2026</w:t>
      </w:r>
    </w:p>
    <w:p>
      <w:pPr>
        <w:pStyle w:val="Heading2"/>
      </w:pPr>
      <w:r>
        <w:t>Systemischer Immunentzündungs-Index sagte COPD-Wiederaufnahmen zu 90 Tagen voraus</w:t>
      </w:r>
    </w:p>
    <w:p>
      <w:r>
        <w:rPr>
          <w:i/>
          <w:color w:val="666666"/>
          <w:sz w:val="18"/>
        </w:rPr>
        <w:t>Chen Q et al.  ·  Int J Chron Obstruct Pulmon Dis  ·  28.08.2026  ·  PMID 42683431</w:t>
      </w:r>
    </w:p>
    <w:p>
      <w:r>
        <w:t>Chinesische Kohortenstudie mit 207 Patienten mit akuter COPD-Exazerbation zur prädiktiven Wertigkeit des systemischen Immunentzündungs-Index (SII) für ungeplante Wiederaufnahmen innerhalb von 90 Tagen.</w:t>
      </w:r>
    </w:p>
    <w:p>
      <w:r>
        <w:rPr>
          <w:b/>
        </w:rPr>
        <w:t xml:space="preserve">Ergebnis: </w:t>
      </w:r>
      <w:r>
        <w:t>37,7 % (78/207) erlebten Wiederaufnahmen; jede 500er-Steigerung des SII war mit erhöhtem Wiederaufnahmerisiko assoziiert (aOR 1,329, 95%-KI 1,153-1,530; p &lt; 0,001). Integriertes Modell mit SII erreichte AUC 0,809 (95%-KI 0,742-0,869) versus 0,752 für reines klinisches Modell. Nach Bootstrap-Validierung: optimismuskorrigiert 0,785; verbesserte Modellpassung (Likelihood-Ratio p &lt; 0,001).</w:t>
      </w:r>
    </w:p>
    <w:p>
      <w:r>
        <w:rPr>
          <w:b/>
          <w:sz w:val="19"/>
        </w:rPr>
        <w:t xml:space="preserve">Übertragbarkeit: </w:t>
      </w:r>
      <w:r>
        <w:rPr>
          <w:sz w:val="19"/>
        </w:rPr>
        <w:t>Chinesische Klinikdaten, Konzept übertragbar, externe Validierung erforderlich</w:t>
      </w:r>
    </w:p>
    <w:p>
      <w:r>
        <w:rPr>
          <w:color w:val="5A7D3A"/>
          <w:sz w:val="18"/>
        </w:rPr>
        <w:t>https://pubmed.ncbi.nlm.nih.gov/42683431/</w:t>
      </w:r>
    </w:p>
    <w:p>
      <w:pPr>
        <w:pStyle w:val="Heading2"/>
      </w:pPr>
      <w:r>
        <w:t>Schlechter Schlaf erhöhte Komplikationsrisiko bei chronischer Nierenkrankheit um 19-54 %</w:t>
      </w:r>
    </w:p>
    <w:p>
      <w:r>
        <w:rPr>
          <w:i/>
          <w:color w:val="666666"/>
          <w:sz w:val="18"/>
        </w:rPr>
        <w:t>Lei K et al.  ·  Front Public Health  ·  18.08.2026  ·  PMID 42682672</w:t>
      </w:r>
    </w:p>
    <w:p>
      <w:r>
        <w:t>Kohortenstudie mit 15.809 CKD-Patienten aus UK Biobank (2006-2010, Nachverfolgung bis 2022) zur Assoziation von multidimensionalen Schlafmustern mit Anämie, kardiovaskulären Ereignissen, kognitiven Beeinträchtigungen und Nebenschilddrüsenüberfunktion.</w:t>
      </w:r>
    </w:p>
    <w:p>
      <w:r>
        <w:rPr>
          <w:b/>
        </w:rPr>
        <w:t xml:space="preserve">Ergebnis: </w:t>
      </w:r>
      <w:r>
        <w:t>Schwere Insomnie mit kurzer oder langer Schlafdauer und schwer gestörter Schlaf waren mit 19-54 % höheren Risiken für Anämie, kardiovaskuläre Erkrankungen und Nebenschilddrüsenüberfunktion assoziiert (alle p &lt; 0,05). Höhere Schlafqualität war unabhängig mit reduzierten Risiken dieser Komplikationen verbunden. Schlafprofile zeigten Heterogenität in Assoziation mit Ergebnissen je nach Geschlecht und Nierenfunktion.</w:t>
      </w:r>
    </w:p>
    <w:p>
      <w:r>
        <w:rPr>
          <w:b/>
          <w:sz w:val="19"/>
        </w:rPr>
        <w:t xml:space="preserve">Übertragbarkeit: </w:t>
      </w:r>
      <w:r>
        <w:rPr>
          <w:sz w:val="19"/>
        </w:rPr>
        <w:t>UK-Biobank, vergleichbare europäische Systeme und Datenqualität</w:t>
      </w:r>
    </w:p>
    <w:p>
      <w:r>
        <w:rPr>
          <w:color w:val="5A7D3A"/>
          <w:sz w:val="18"/>
        </w:rPr>
        <w:t>https://pubmed.ncbi.nlm.nih.gov/42682672/</w:t>
      </w:r>
    </w:p>
    <w:p>
      <w:pPr>
        <w:pStyle w:val="Heading2"/>
      </w:pPr>
      <w:r>
        <w:t>Quantitative Hepatitis-B-Oberflächenantigen-Tests: nur 37,4 % spanischer Labore implementiert</w:t>
      </w:r>
    </w:p>
    <w:p>
      <w:r>
        <w:rPr>
          <w:i/>
          <w:color w:val="666666"/>
          <w:sz w:val="18"/>
        </w:rPr>
        <w:t>Chaves-Blanco L et al.  ·  Enferm Infecc Microbiol Clin (Engl Ed)  ·  Aug. 2026  ·  PMID 42542350</w:t>
      </w:r>
    </w:p>
    <w:p>
      <w:r>
        <w:t>Nationale spanische Querschnittsstudie von 91 klinisch-mikrobiologischen Laboren zur Implementierung und Praktiken von quantitativem HBsAg-Testing (qHBsAg) für das Chronic-Hepatitis-B-Management.</w:t>
      </w:r>
    </w:p>
    <w:p>
      <w:r>
        <w:rPr>
          <w:b/>
        </w:rPr>
        <w:t xml:space="preserve">Ergebnis: </w:t>
      </w:r>
      <w:r>
        <w:t>37,4 % (34/91) führten qHBsAg durch; 86 % der Nicht-Durchführer verwiesen Proben nicht wegen wahrgenommener geringer klinischer Nachfrage (57,1 %). Implementierung korrelierte mit Krankenhausgröße (p = 0,041): 0 % bei &lt;200 Betten, 23,3 % bei 200-500, 44,9 % bei 500-1000, 62,5 % bei ≥1000. Unter durchführenden Labs: 57,6 % quantifizierten nach positivem qualitativem Test, 27,3 % auf Anforderung, 15,2 % als initiales Screening. Heterogene Meldepraxis.</w:t>
      </w:r>
    </w:p>
    <w:p>
      <w:r>
        <w:rPr>
          <w:b/>
          <w:sz w:val="19"/>
        </w:rPr>
        <w:t xml:space="preserve">Übertragbarkeit: </w:t>
      </w:r>
      <w:r>
        <w:rPr>
          <w:sz w:val="19"/>
        </w:rPr>
        <w:t>Spanien, direkt auf Deutschland übertragbar für Implementierungs-Gaps</w:t>
      </w:r>
    </w:p>
    <w:p>
      <w:r>
        <w:rPr>
          <w:color w:val="5A7D3A"/>
          <w:sz w:val="18"/>
        </w:rPr>
        <w:t>https://pubmed.ncbi.nlm.nih.gov/42542350/</w:t>
      </w:r>
    </w:p>
    <w:p>
      <w:pPr>
        <w:pStyle w:val="Heading2"/>
      </w:pPr>
      <w:r>
        <w:t>Finerenone reduzierte Albuminurie bei Typ-2-Diabetes und CKD um 34,5 % in Routineversorgung</w:t>
      </w:r>
    </w:p>
    <w:p>
      <w:r>
        <w:rPr>
          <w:i/>
          <w:color w:val="666666"/>
          <w:sz w:val="18"/>
        </w:rPr>
        <w:t>Moreno-Pérez O et al.  ·  Diabetes Obes Metab  ·  30.07.2026  ·  PMID 42533276</w:t>
      </w:r>
    </w:p>
    <w:p>
      <w:r>
        <w:t>Spanische Multicenterstudie zur Effektivität und Sicherheit von Finerenon bei Patienten mit Typ-2-Diabetes und chronischer Nierenerkrankung in der Routineversorgung.</w:t>
      </w:r>
    </w:p>
    <w:p>
      <w:r>
        <w:rPr>
          <w:b/>
        </w:rPr>
        <w:t xml:space="preserve">Ergebnis: </w:t>
      </w:r>
      <w:r>
        <w:t>Bei 844 Patienten (Medianalter 72 Jahre, Median eGFR 49 mL/min/1,73 m²) reduzierte Finerenon die Albuminurie-zu-Kreatinin-Ratio (UACR) um Medianalter 34,5 % nach 6 Monaten (p &lt; 0,001), unabhängig von Hintergrundnephroprotektiva. 52,7 % erreichten die primäre Zielmarke von ≥30 % UACR-Reduktion; 89,5 % Persistenz der Therapie; Hyperkaliämie 4,8 %, Herz-Kreislauf-Ereignisse 1,1 %. Finerenon verbesserte albuminurische Marker auch bei intensiver Vormedikation.</w:t>
      </w:r>
    </w:p>
    <w:p>
      <w:r>
        <w:rPr>
          <w:b/>
          <w:sz w:val="19"/>
        </w:rPr>
        <w:t xml:space="preserve">Übertragbarkeit: </w:t>
      </w:r>
      <w:r>
        <w:rPr>
          <w:sz w:val="19"/>
        </w:rPr>
        <w:t>Spanische Routinedaten, vergleichbares Sozialversicherungssystem</w:t>
      </w:r>
    </w:p>
    <w:p>
      <w:r>
        <w:rPr>
          <w:color w:val="5A7D3A"/>
          <w:sz w:val="18"/>
        </w:rPr>
        <w:t>https://pubmed.ncbi.nlm.nih.gov/42533276/</w:t>
      </w:r>
    </w:p>
    <w:p>
      <w:pPr>
        <w:pStyle w:val="Heading2"/>
      </w:pPr>
      <w:r>
        <w:t>Integrierter Versorgungspfad bei Long COVID: alle Interventionen erzielten Fatigue-Reduktion</w:t>
      </w:r>
    </w:p>
    <w:p>
      <w:r>
        <w:rPr>
          <w:i/>
          <w:color w:val="666666"/>
          <w:sz w:val="18"/>
        </w:rPr>
        <w:t>STIMULATE-ICP Consortium  ·  Nat Med  ·  28.07.2026  ·  PMID 42521821</w:t>
      </w:r>
    </w:p>
    <w:p>
      <w:r>
        <w:t>Phase-3-Cluster-RCT mit 1.152 Teilnehmern aus 122 englischen Primary-Care-Netzwerken zum Effekt von Multi-Organ-MRI und/oder digitaler Rehabilitation im Rahmen strukturierter ICP-Interventionen auf Fatigue-Assessment-Scale nach 12 und 24 Wochen.</w:t>
      </w:r>
    </w:p>
    <w:p>
      <w:r>
        <w:rPr>
          <w:b/>
        </w:rPr>
        <w:t xml:space="preserve">Ergebnis: </w:t>
      </w:r>
      <w:r>
        <w:t>Fatigue-Assessment-Scale verbesserte sich in allen Armen um 4,5 Punkte von 35,8 auf 31,3 (nach 12 Wochen); zusätzliche Multi-Organ-MRI zeigte 0,18-Punkte-Vorteil (95%-KI -0,72 bis 1,09; p = 0,69), digitale Rehabilitation -0,53 Punkte (95%-KI -1,42 bis 0,36; p = 0,25). Multidisziplinäre holistische Versorgung allein war mit Verbesserungen verbunden. Keine schwerwiegenden unerwünschten Ereignisse.</w:t>
      </w:r>
    </w:p>
    <w:p>
      <w:r>
        <w:rPr>
          <w:b/>
          <w:sz w:val="19"/>
        </w:rPr>
        <w:t xml:space="preserve">Übertragbarkeit: </w:t>
      </w:r>
      <w:r>
        <w:rPr>
          <w:sz w:val="19"/>
        </w:rPr>
        <w:t>Englische NHS-Daten, vergleichbares Versicherungssystem und Zugangswege</w:t>
      </w:r>
    </w:p>
    <w:p>
      <w:r>
        <w:rPr>
          <w:color w:val="5A7D3A"/>
          <w:sz w:val="18"/>
        </w:rPr>
        <w:t>https://pubmed.ncbi.nlm.nih.gov/42521821/</w:t>
      </w:r>
    </w:p>
    <w:p>
      <w:pPr>
        <w:pStyle w:val="Heading1"/>
      </w:pPr>
      <w:r>
        <w:t>Aufgenommen am 03.09.2026</w:t>
      </w:r>
    </w:p>
    <w:p>
      <w:pPr>
        <w:pStyle w:val="Heading2"/>
      </w:pPr>
      <w:r>
        <w:t>Dysbiose und Obstipation bei Dialysepatienten: Mikrobiotargetierende Interventionen versprechen, aber evidenzlimitiert</w:t>
      </w:r>
    </w:p>
    <w:p>
      <w:r>
        <w:rPr>
          <w:i/>
          <w:color w:val="666666"/>
          <w:sz w:val="18"/>
        </w:rPr>
        <w:t>Shen Z et al.  ·  Front Cell Infect Microbiol  ·  18.08.2026  ·  PMID 42683184</w:t>
      </w:r>
    </w:p>
    <w:p>
      <w:r>
        <w:t>Narrativer Übersichtsartikel, der Veränderungen der Darmflora bei Patienten mit Nierenersatztherapie (ESRD) und Obstipation, ihre pathogenen Mechanismen und Therapieoptionen (Probiotika, Präbiotika, Ernährung) systematisch zusammenfasst.</w:t>
      </w:r>
    </w:p>
    <w:p>
      <w:r>
        <w:rPr>
          <w:b/>
        </w:rPr>
        <w:t xml:space="preserve">Ergebnis: </w:t>
      </w:r>
      <w:r>
        <w:t>Kernbefund: Dysbiose mit reduzierter kurzkettigen-Fettsäure-produzierenden Bakterien und erhöhten urease-positiven Spezies; bidirektionaler Mikrobiotagutkidney-Teufelskreis mit erhöhter intestinaler Permeabilität und Nierenschaden. Evidenz für Interventionen vorhanden, aber Sicherheitsaspekte und klinische Praktikabilität unklar.</w:t>
      </w:r>
    </w:p>
    <w:p>
      <w:r>
        <w:rPr>
          <w:b/>
          <w:sz w:val="19"/>
        </w:rPr>
        <w:t xml:space="preserve">Übertragbarkeit: </w:t>
      </w:r>
      <w:r>
        <w:rPr>
          <w:sz w:val="19"/>
        </w:rPr>
        <w:t>Pathophysiologie-Fokus, Interventionsevidenz zu fragmentarisch für direkte deutsche Implementierung</w:t>
      </w:r>
    </w:p>
    <w:p>
      <w:r>
        <w:rPr>
          <w:color w:val="5A7D3A"/>
          <w:sz w:val="18"/>
        </w:rPr>
        <w:t>https://pubmed.ncbi.nlm.nih.gov/42683184/</w:t>
      </w:r>
    </w:p>
    <w:p>
      <w:pPr>
        <w:pStyle w:val="Heading2"/>
      </w:pPr>
      <w:r>
        <w:t>Dapagliflozin und CKD-Progression: Effekt auf eGFR-Rückgang inkonsistent, aber Reduktion klinischer Nierenendpunkte</w:t>
      </w:r>
    </w:p>
    <w:p>
      <w:r>
        <w:rPr>
          <w:i/>
          <w:color w:val="666666"/>
          <w:sz w:val="18"/>
        </w:rPr>
        <w:t>Shadravan S et al.  ·  Iran J Kidney Dis  ·  31.07.2026  ·  PMID 42679368</w:t>
      </w:r>
    </w:p>
    <w:p>
      <w:r>
        <w:t>Systematische Übersicht von 15 Studien zur Wirkung von Dapagliflozin auf chronische Nierenerkrankung; 11 waren Sekundäranalysen der DAPA-CKD-Studie mit 4.304 Teilnehmern; nur vier unabhängige Studien nach Ausschluss von Doppeltgennung verfügbar.</w:t>
      </w:r>
    </w:p>
    <w:p>
      <w:r>
        <w:rPr>
          <w:b/>
        </w:rPr>
        <w:t xml:space="preserve">Ergebnis: </w:t>
      </w:r>
      <w:r>
        <w:t>eGFR-Effekte hochgradig heterogen (-6,6 bis +0,93 mL/min/1,73m²; I²=93,7 %); DAPA-CKD zeigte Reduktion ungünstiger klinischer renaler Ergebnisse. Heterogenität und begrenzte unabhängige Evidenz verhindern Metaanalyse; dapagliflozin erscheint nierenschützend und sicher für CKD.</w:t>
      </w:r>
    </w:p>
    <w:p>
      <w:r>
        <w:rPr>
          <w:b/>
          <w:sz w:val="19"/>
        </w:rPr>
        <w:t xml:space="preserve">Übertragbarkeit: </w:t>
      </w:r>
      <w:r>
        <w:rPr>
          <w:sz w:val="19"/>
        </w:rPr>
        <w:t>Internationale Evidenz, kardiorenales Konzept übertragbar; Datenstabilität limitiert</w:t>
      </w:r>
    </w:p>
    <w:p>
      <w:r>
        <w:rPr>
          <w:color w:val="5A7D3A"/>
          <w:sz w:val="18"/>
        </w:rPr>
        <w:t>https://pubmed.ncbi.nlm.nih.gov/42679368/</w:t>
      </w:r>
    </w:p>
    <w:p>
      <w:pPr>
        <w:pStyle w:val="Heading2"/>
      </w:pPr>
      <w:r>
        <w:t>COPD-Therapietreue: Nur 30–50 % erreichen optimale Adhärenz; COM-B-Modell identifiziert veränderbare Faktoren</w:t>
      </w:r>
    </w:p>
    <w:p>
      <w:r>
        <w:rPr>
          <w:i/>
          <w:color w:val="666666"/>
          <w:sz w:val="18"/>
        </w:rPr>
        <w:t>Zhang Y et al.  ·  Int J Chron Obstruct Pulmon Dis  ·  27.08.2026  ·  PMID 42677250</w:t>
      </w:r>
    </w:p>
    <w:p>
      <w:r>
        <w:t>Narrative Übersichtsarbeit, die Literatur zu Adhärenz-Messverfahren, Prävalenz (MPR ≥80 % bei nur 30–50 % der Patienten), Einflussfaktoren und Interventionsstrategien anhand des Capability-Opportunity-Motivation-Behaviour-Modells systematisiert.</w:t>
      </w:r>
    </w:p>
    <w:p>
      <w:r>
        <w:rPr>
          <w:b/>
        </w:rPr>
        <w:t xml:space="preserve">Ergebnis: </w:t>
      </w:r>
      <w:r>
        <w:t>Inhalationstechnikfehler 30–50 %, therapieverweigerung bei Depression/Angststörung ca. 20–25 % niedriger; Single-Inhaler-Triple-Therapie versus Multiple-Inhaler zeigte 18-Monats-Persistenz 16,5 % vs. 2,3 %. Höhere Adhärenz assoziiert mit 51 % Reduktion exazerbationsbedingter Hospitalisierung und Attenuation des FEV1-Rückgangs um ca. 21 mL/Jahr.</w:t>
      </w:r>
    </w:p>
    <w:p>
      <w:r>
        <w:rPr>
          <w:b/>
          <w:sz w:val="19"/>
        </w:rPr>
        <w:t xml:space="preserve">Übertragbarkeit: </w:t>
      </w:r>
      <w:r>
        <w:rPr>
          <w:sz w:val="19"/>
        </w:rPr>
        <w:t>Internationale Literatur, Adhärenz-Muster ähnlich wie Deutschland; länderspezifische Zahlen begrenzt</w:t>
      </w:r>
    </w:p>
    <w:p>
      <w:r>
        <w:rPr>
          <w:color w:val="5A7D3A"/>
          <w:sz w:val="18"/>
        </w:rPr>
        <w:t>https://pubmed.ncbi.nlm.nih.gov/42677250/</w:t>
      </w:r>
    </w:p>
    <w:p>
      <w:pPr>
        <w:pStyle w:val="Heading2"/>
      </w:pPr>
      <w:r>
        <w:t>COPD-Verhalten: Vier Phänotypen kombinieren Inhalationstechnik und Adhärenz; Wissenslücken zielbar</w:t>
      </w:r>
    </w:p>
    <w:p>
      <w:r>
        <w:rPr>
          <w:i/>
          <w:color w:val="666666"/>
          <w:sz w:val="18"/>
        </w:rPr>
        <w:t>Xiang J et al.  ·  Int J Chron Obstruct Pulmon Dis  ·  27.08.2026  ·  PMID 42677230</w:t>
      </w:r>
    </w:p>
    <w:p>
      <w:r>
        <w:t>Querschnittsstudie mit 700 COPD-Patienten in Peking 2025, die kombinierte Inhalationstechnik und Therapietreue zur Klassifizierung in vier Verhaltenphänotypen nutzten; Assoziationen mit Patientenmerkmalen berechnet.</w:t>
      </w:r>
    </w:p>
    <w:p>
      <w:r>
        <w:rPr>
          <w:b/>
        </w:rPr>
        <w:t xml:space="preserve">Ergebnis: </w:t>
      </w:r>
      <w:r>
        <w:t>Nur 25,3 % zeigten perfekte Inhalationstechnik, 59,0 % gute Adhärenz. Vier Phänotypen: Standard+Adhärent (20,7 %), Nicht-adhärent+Standard (4,6 %), Adhärent+Nicht-standard (38,3 %), Nicht-standard+Nicht-adhärent (36,4 %). Krankheitswissen stärkster Prädiktor: korrekte vs. fehlerhafte Technik OR 0,30–0,35 (p&lt;0,001). Krankheitsdauer assoziiert mit unterschiedlichen Adhärenzmustern.</w:t>
      </w:r>
    </w:p>
    <w:p>
      <w:r>
        <w:rPr>
          <w:b/>
          <w:sz w:val="19"/>
        </w:rPr>
        <w:t xml:space="preserve">Übertragbarkeit: </w:t>
      </w:r>
      <w:r>
        <w:rPr>
          <w:sz w:val="19"/>
        </w:rPr>
        <w:t>China, hoher Techniktransferpotential, Wissenslückenmodell auch für Deutschland prädiktiv</w:t>
      </w:r>
    </w:p>
    <w:p>
      <w:r>
        <w:rPr>
          <w:color w:val="5A7D3A"/>
          <w:sz w:val="18"/>
        </w:rPr>
        <w:t>https://pubmed.ncbi.nlm.nih.gov/42677230/</w:t>
      </w:r>
    </w:p>
    <w:p>
      <w:pPr>
        <w:pStyle w:val="Heading2"/>
      </w:pPr>
      <w:r>
        <w:t>Pädiatrische Notfallverstärkung bei komplexen Erkrankungen: Zentrale Konzentration in Seoul, Reisedistanz erhöht Mortalität</w:t>
      </w:r>
    </w:p>
    <w:p>
      <w:r>
        <w:rPr>
          <w:i/>
          <w:color w:val="666666"/>
          <w:sz w:val="18"/>
        </w:rPr>
        <w:t>Choi YY et al.  ·  J Korean Med Sci  ·  31.08.2026  ·  PMID 42676071</w:t>
      </w:r>
    </w:p>
    <w:p>
      <w:r>
        <w:t>Nationale Analyse südkoreanischer Notfallbesuche 2016–2022 (7,76 Millionen Fälle), davon 149.306 (1,9 %) mit komplexen chronischen Erkrankungen (CCCs); Reisedistanz und regionale Unterschiede in Versorgungsergebnissen untersucht.</w:t>
      </w:r>
    </w:p>
    <w:p>
      <w:r>
        <w:rPr>
          <w:b/>
        </w:rPr>
        <w:t xml:space="preserve">Ergebnis: </w:t>
      </w:r>
      <w:r>
        <w:t>CCC-Patienten: höhere Akuität (16,5 % vs. 3,1 %), längere Anfahrt (11,2 vs. 6,2 km), ICU-Admission 4,4 % vs. 0,3 %, ED-Todesfälle 0,2 % vs. 0,04 %. 47,9 % aller CCC-Fälle in Seoul; längere Reise unabhängig mit Mortalität assoziiert: OR 1,3 (15–59,9 km), 1,6 (60–99,9 km), 1,3 (≥100 km). Zentrale Konzentration (40,7 % in 5 Krankenhäusern) zeigt Gesamtfehler in Ressourcenallokation.</w:t>
      </w:r>
    </w:p>
    <w:p>
      <w:r>
        <w:rPr>
          <w:b/>
          <w:sz w:val="19"/>
        </w:rPr>
        <w:t xml:space="preserve">Übertragbarkeit: </w:t>
      </w:r>
      <w:r>
        <w:rPr>
          <w:sz w:val="19"/>
        </w:rPr>
        <w:t>Südkorea, Zentrailisierungsproblem relevant für deutsche Flächenländer; Mortalitäts-Distanz-Beziehung übertragbar</w:t>
      </w:r>
    </w:p>
    <w:p>
      <w:r>
        <w:rPr>
          <w:color w:val="5A7D3A"/>
          <w:sz w:val="18"/>
        </w:rPr>
        <w:t>https://pubmed.ncbi.nlm.nih.gov/42676071/</w:t>
      </w:r>
    </w:p>
    <w:p>
      <w:pPr>
        <w:pStyle w:val="Heading2"/>
      </w:pPr>
      <w:r>
        <w:t>Lebensbedrohliche Erkrankungen bei Kindern in Irland: Prävalenz 34,8–50,0 pro 10.000; Datendefizite erfordern sichere ID</w:t>
      </w:r>
    </w:p>
    <w:p>
      <w:r>
        <w:rPr>
          <w:i/>
          <w:color w:val="666666"/>
          <w:sz w:val="18"/>
        </w:rPr>
        <w:t>Smith S et al.  ·  BMC Pediatr  ·  28.07.2026  ·  PMID 42509542</w:t>
      </w:r>
    </w:p>
    <w:p>
      <w:r>
        <w:t>Querschnittsanalyse irischer Spitaldaten 2019 und 2024, um Prävalenz lebensbedrohlicher Zustände bei 0–19-Jährigen unter fehlender eindeutiger Patientenkennung zu schätzen; drei Schätzszenarien mit Sensitivitätsanalysen.</w:t>
      </w:r>
    </w:p>
    <w:p>
      <w:r>
        <w:rPr>
          <w:b/>
        </w:rPr>
        <w:t xml:space="preserve">Ergebnis: </w:t>
      </w:r>
      <w:r>
        <w:t>Baseline-Prävalenz 34,8–50,0 pro 10.000 (2019) und 32,3–44,5 pro 10.000 (2024); mit Adjustierung für Untererfassung: 46,4–66,6 (2019) und 43,0–59,3 pro 10.000 (2024). Höher bei Männern, größte Gruppe &lt;1 Jahr. Schätzungen konsistent mit ähnlich-wohlhabenden Ländern; Methodentransparenz ermöglicht Vergleiche trotz Datenlimitationen.</w:t>
      </w:r>
    </w:p>
    <w:p>
      <w:r>
        <w:rPr>
          <w:b/>
          <w:sz w:val="19"/>
        </w:rPr>
        <w:t xml:space="preserve">Übertragbarkeit: </w:t>
      </w:r>
      <w:r>
        <w:rPr>
          <w:sz w:val="19"/>
        </w:rPr>
        <w:t>Irland, administratives Datensystem ohne eindeutige ID vergleichbar mit Teilen deutscher Krankenhauslandschaft</w:t>
      </w:r>
    </w:p>
    <w:p>
      <w:r>
        <w:rPr>
          <w:color w:val="5A7D3A"/>
          <w:sz w:val="18"/>
        </w:rPr>
        <w:t>https://pubmed.ncbi.nlm.nih.gov/42509542/</w:t>
      </w:r>
    </w:p>
    <w:p>
      <w:pPr>
        <w:pStyle w:val="Heading2"/>
      </w:pPr>
      <w:r>
        <w:t>Sarcoidosis-Trajektorien: Chronische Erkrankung tritt bei 28,5 % auf, mit erhöhtem Infekt- und Depressionsrisiko</w:t>
      </w:r>
    </w:p>
    <w:p>
      <w:r>
        <w:rPr>
          <w:i/>
          <w:color w:val="666666"/>
          <w:sz w:val="18"/>
        </w:rPr>
        <w:t>Rossides M et al.  ·  Respir Res  ·  24.07.2026  ·  PMID 42498935</w:t>
      </w:r>
    </w:p>
    <w:p>
      <w:r>
        <w:t>Prospektive Kohortenstudie mit 9.665 Patienten, die neue Sarcoidose-Diagnosen zwischen 2006 und 2018 im schwedischen Register identifizierte und über fünf Jahre verfolgte; zwei längerfristige Verlaufsmuster wurden mittels statistischer Modellierung der Arztbesuche ermittelt.</w:t>
      </w:r>
    </w:p>
    <w:p>
      <w:r>
        <w:rPr>
          <w:b/>
        </w:rPr>
        <w:t xml:space="preserve">Ergebnis: </w:t>
      </w:r>
      <w:r>
        <w:t>71,5 % zeigten selbstlimitierten Verlauf mit Remission in zwei Jahren, 28,5 % chronischen Verlauf mit persistenten Besuchen; chronisches Sarcoidosis war assoziiert mit: eGFR Krankheit (Hoehn und Yahr ≥ 2 vs. 1), erhöhtem Infektrisiko, Herzinsuffizienz, Diabetes, Depression, Angststörung und früherem Tod. Immunosuppressive Therapie bei Diagnose erhöhte Chronizitätsrisiko um Faktor 2,18 (95%-KI 2,04–2,33).</w:t>
      </w:r>
    </w:p>
    <w:p>
      <w:r>
        <w:rPr>
          <w:b/>
          <w:sz w:val="19"/>
        </w:rPr>
        <w:t xml:space="preserve">Übertragbarkeit: </w:t>
      </w:r>
      <w:r>
        <w:rPr>
          <w:sz w:val="19"/>
        </w:rPr>
        <w:t>Schweden, nationale Patientenregister, vergleichbare Gesundheitssysteme</w:t>
      </w:r>
    </w:p>
    <w:p>
      <w:r>
        <w:rPr>
          <w:color w:val="5A7D3A"/>
          <w:sz w:val="18"/>
        </w:rPr>
        <w:t>https://pubmed.ncbi.nlm.nih.gov/42498935/</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Nicht uebertragbare Krankheiten</dc:title>
  <dc:subject/>
  <dc:creator>Monitor Versorgungsforschung</dc:creator>
  <cp:keywords/>
  <dc:description>generated by python-docx</dc:description>
  <cp:lastModifiedBy/>
  <cp:revision>1</cp:revision>
  <dcterms:created xsi:type="dcterms:W3CDTF">2026-10-07T06:00:00Z</dcterms:created>
  <dcterms:modified xsi:type="dcterms:W3CDTF">2026-10-07T06:00:00Z</dcterms:modified>
  <cp:category/>
</cp:coreProperties>
</file>