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NCD und chronische Krankheiten</w:t>
      </w:r>
    </w:p>
    <w:p>
      <w:r>
        <w:rPr>
          <w:i/>
          <w:color w:val="666666"/>
          <w:sz w:val="18"/>
        </w:rPr>
        <w:t>Stand: 09.10.2026  |  6 Studien  |  ncd.m-vf.de</w:t>
      </w:r>
    </w:p>
    <w:p>
      <w:pPr>
        <w:pStyle w:val="Heading1"/>
      </w:pPr>
      <w:r>
        <w:t>Aufgenommen am 09.10.2026</w:t>
      </w:r>
    </w:p>
    <w:p>
      <w:pPr>
        <w:pStyle w:val="Heading2"/>
      </w:pPr>
      <w:r>
        <w:t>Intersektionale Diskriminierung erhöht Stress und Alkoholkonsum bei Minderheiten</w:t>
      </w:r>
    </w:p>
    <w:p>
      <w:r>
        <w:rPr>
          <w:i/>
          <w:color w:val="666666"/>
          <w:sz w:val="18"/>
        </w:rPr>
        <w:t>Smith MS et al.  ·  Ann Behav Med  ·  07.01.2026  ·  PMID 42847391</w:t>
      </w:r>
    </w:p>
    <w:p>
      <w:r>
        <w:t>Zwei Querschnittsstudien mit insgesamt 1.181 sexuellen Minderheitenmännern of Color zum Zusammenhang zwischen intersektionaler Diskriminierung (Rassismus und Heterosexismus gleichzeitig) und kardiometabolischen Risikofaktoren.</w:t>
      </w:r>
    </w:p>
    <w:p>
      <w:r>
        <w:rPr>
          <w:b/>
        </w:rPr>
        <w:t xml:space="preserve">Ergebnis: </w:t>
      </w:r>
      <w:r>
        <w:t>Intersektionale Diskriminierung war unabhängig mit wahrgenommenem Stress und Alkoholkonsum assoziiert (beide p &lt;0,05), ebenso mit erhöhtem BMI. Dies zeigt, dass überlappende Diskriminierungserfahrungen Gesundheitsverhalten ungünstiger beeinflussen als einzelne Diskriminierungsformen.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Mechanismus aber auf alle Mehrfachdiskriminierungs-Settings übertragbar, Deutschland mit migrantischen Communities.</w:t>
      </w:r>
    </w:p>
    <w:p>
      <w:r>
        <w:rPr>
          <w:color w:val="5A7D3A"/>
          <w:sz w:val="18"/>
        </w:rPr>
        <w:t>https://pubmed.ncbi.nlm.nih.gov/42847391/</w:t>
      </w:r>
    </w:p>
    <w:p>
      <w:pPr>
        <w:pStyle w:val="Heading2"/>
      </w:pPr>
      <w:r>
        <w:t>Yoga verbesserte Nierenfunktion bei CKD-Stadien 3–4 um 6,94 mL/min/1,73m² innerhalb 12 Wochen</w:t>
      </w:r>
    </w:p>
    <w:p>
      <w:r>
        <w:rPr>
          <w:i/>
          <w:color w:val="666666"/>
          <w:sz w:val="18"/>
        </w:rPr>
        <w:t>Nair RG et al.  ·  Ann Behav Med  ·  07.01.2026  ·  PMID 42847350</w:t>
      </w:r>
    </w:p>
    <w:p>
      <w:r>
        <w:t>Randomisierte kontrollierte Studie mit 81 CKD-Patienten in Stadien 3 und 4 (diabetische oder hypertensive Ätiologie), die 12 Wochen lang Yoga-Praktiken (5 Stunden pro Woche) zusätzlich zur Standardbehandlung erhielten.</w:t>
      </w:r>
    </w:p>
    <w:p>
      <w:r>
        <w:rPr>
          <w:b/>
        </w:rPr>
        <w:t xml:space="preserve">Ergebnis: </w:t>
      </w:r>
      <w:r>
        <w:t>Yoga-Gruppe zeigte signifikante Verbesserungen: Serum-Kreatinin -0,42 (p=0,013), geschätzte glomeruläre Filtrationsrate +6,94 mL/min/1,73m² (p=0,030), Urin-Albumin-Kreatinin-Ratio -464,2 mg/g (p=0,029) und TGF-β1 -218,2 pg/mL (p=0,021). Mediationsanalyse zeigt reduziertes TGF-β1 als Wirkpfad.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Indien, aber Intervention universell einsetzbar, Kosteneffektivität, geringe Implementierungsbarrieren.</w:t>
      </w:r>
    </w:p>
    <w:p>
      <w:r>
        <w:rPr>
          <w:color w:val="5A7D3A"/>
          <w:sz w:val="18"/>
        </w:rPr>
        <w:t>https://pubmed.ncbi.nlm.nih.gov/42847350/</w:t>
      </w:r>
    </w:p>
    <w:p>
      <w:pPr>
        <w:pStyle w:val="Heading2"/>
      </w:pPr>
      <w:r>
        <w:t>Community-basierte Co-Design-Studie zu nachhaltiger Gesundheit bei Jugendlichen in Kanada und Jamaika</w:t>
      </w:r>
    </w:p>
    <w:p>
      <w:r>
        <w:rPr>
          <w:i/>
          <w:color w:val="666666"/>
          <w:sz w:val="18"/>
        </w:rPr>
        <w:t>Stennett R et al.  ·  BMJ Open  ·  07.10.2026  ·  PMID 42843868</w:t>
      </w:r>
    </w:p>
    <w:p>
      <w:r>
        <w:t>Protokoll einer Multimethod-Community-Based-Participatory-Research-Studie zur Entwicklung einer Intervention für Jugendliche (15–25 Jahre) zu nachhaltigem Lebensstil und Prävention nichtübertragbarer Erkrankungen durch Umwelt- und Gesundheitsperspektiven in zwei Phasen (kontextuelle Kartierung, Co-Design).</w:t>
      </w:r>
    </w:p>
    <w:p>
      <w:r>
        <w:rPr>
          <w:b/>
        </w:rPr>
        <w:t xml:space="preserve">Ergebnis: </w:t>
      </w:r>
      <w:r>
        <w:t>Dies ist ein Studienprotokoll, das die Machbarkeit, Umsetzungstreue und kontextuelle Passung einer SHAL-Intervention (Sustainability Healthy Active Living) in equity-deserving Populationen untersuchen wird. Erkenntnisse werden zur Finalisierung der Intervention und zu Best-Practice-Wissenstransfer in Konferenzen und Workshops führen. Fokus auf Jugendliche als Change Agents in präventiven, umweltbezogenen Systemen.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mit vergleichbarem Versicherungssystem, präventives Gesundheitssystem mit Fokus auf Lebensstil und Mehrfacherkrankungen.</w:t>
      </w:r>
    </w:p>
    <w:p>
      <w:r>
        <w:rPr>
          <w:color w:val="5A7D3A"/>
          <w:sz w:val="18"/>
        </w:rPr>
        <w:t>https://pubmed.ncbi.nlm.nih.gov/42843868/</w:t>
      </w:r>
    </w:p>
    <w:p>
      <w:pPr>
        <w:pStyle w:val="Heading2"/>
      </w:pPr>
      <w:r>
        <w:t>COPD-Symptommonitoring in Pulmonalrehabilitation sagte schwere Exazerbationen nicht zuverlässig voraus</w:t>
      </w:r>
    </w:p>
    <w:p>
      <w:r>
        <w:rPr>
          <w:i/>
          <w:color w:val="666666"/>
          <w:sz w:val="18"/>
        </w:rPr>
        <w:t>Machefert M et al.  ·  Pulmonology  ·  07.10.2026  ·  PMID 42841793</w:t>
      </w:r>
    </w:p>
    <w:p>
      <w:r>
        <w:t>Prospektive Multicenterstudie mit 128 stabilen COPD-Patienten in Erhaltungs-Pulmonalrehabilitationen in Frankreich über ein Jahr mit 4.200 dokumentierten Sitzungen zur Vorhersage schwerer Exazerbationen durch klinische und Belastungsparameter.</w:t>
      </w:r>
    </w:p>
    <w:p>
      <w:r>
        <w:rPr>
          <w:b/>
        </w:rPr>
        <w:t xml:space="preserve">Ergebnis: </w:t>
      </w:r>
      <w:r>
        <w:t>Von 128 Patienten erlebten 19 (14,8%) schwere Exazerbationen. Routinemäßig dokumentierte klinische Marker (COPD Assessment Test, modifizierte Borg-Skala, Belastungsleistung) zeigten begrenzte Vorhersagekraft (AUC 0,45–0,58, alle p&gt;0,1); schwache zeitliche Assoziationen zwischen Symptomen und Leistung. Dies unterstreicht Komplexität der Exazerbationen und Bedarf für digitales Multiparameter-Monitoring.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ambulante Strukturen, Finanzierung und Reha-Programme ähnlich Deutschland.</w:t>
      </w:r>
    </w:p>
    <w:p>
      <w:r>
        <w:rPr>
          <w:color w:val="5A7D3A"/>
          <w:sz w:val="18"/>
        </w:rPr>
        <w:t>https://pubmed.ncbi.nlm.nih.gov/42841793/</w:t>
      </w:r>
    </w:p>
    <w:p>
      <w:pPr>
        <w:pStyle w:val="Heading2"/>
      </w:pPr>
      <w:r>
        <w:t>Adipositas erhöhte chirurgische Komplikationen nach Nierentransplantation, nicht aber Langzeitüberleben</w:t>
      </w:r>
    </w:p>
    <w:p>
      <w:r>
        <w:rPr>
          <w:i/>
          <w:color w:val="666666"/>
          <w:sz w:val="18"/>
        </w:rPr>
        <w:t>Melera E et al.  ·  Clin Transplant  ·  Okt. 2026  ·  PMID 42839226</w:t>
      </w:r>
    </w:p>
    <w:p>
      <w:r>
        <w:t>Schweizer Einzelzentrum-Retrospektivstudie mit 953 aufeinanderfolgenden Nierenpatienten (150 adipös, BMI ≥30; 803 nicht adipös) von 1999 bis 2023 zur Auswirkung von Empfängeradipositas auf kurz- und langfristige Transplantationsergebnisse.</w:t>
      </w:r>
    </w:p>
    <w:p>
      <w:r>
        <w:rPr>
          <w:b/>
        </w:rPr>
        <w:t xml:space="preserve">Ergebnis: </w:t>
      </w:r>
      <w:r>
        <w:t>Adipöse Empfänger hatten höhere Raten von Operationsstellen-Infektionen (11 % vs. 3 %, p&lt;0,001), Gesamtinfektionen (29 % vs. 5 %, p&lt;0,001), Lymphozylen (18 % vs. 10 %, p=0,007), inkisionalen Hernien (10 % vs. 5 %, p=0,032) und verspäteter Transplantatalfunction (21 % vs. 14 %, p=0,024). Längerer Aufenthalt: 19 vs. 17 Tage (p=0,038). Patienten- und Transplantat-Überleben nach 7,3 Jahren gleich (Hazard Ratio 1,09 bzw. 0,92, p&gt;0,05). Adipositas sollte kein Kontraindikationskriterium sein.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vergleichbares Sozialsystem und Transplantationsstruktur wie Deutschland und DACH-Region.</w:t>
      </w:r>
    </w:p>
    <w:p>
      <w:r>
        <w:rPr>
          <w:color w:val="5A7D3A"/>
          <w:sz w:val="18"/>
        </w:rPr>
        <w:t>https://pubmed.ncbi.nlm.nih.gov/42839226/</w:t>
      </w:r>
    </w:p>
    <w:p>
      <w:pPr>
        <w:pStyle w:val="Heading2"/>
      </w:pPr>
      <w:r>
        <w:t>Typ-2-Diabetes: Nierenerkrankungsrate sank von 55,3 auf 43,7 pro 1000 Personenjahre</w:t>
      </w:r>
    </w:p>
    <w:p>
      <w:r>
        <w:rPr>
          <w:i/>
          <w:color w:val="666666"/>
          <w:sz w:val="18"/>
        </w:rPr>
        <w:t>Lee CJ et al.  ·  Diabetes Obes Metab  ·  09.08.2026  ·  PMID 42571988</w:t>
      </w:r>
    </w:p>
    <w:p>
      <w:r>
        <w:t>Dänische Registeranalyse zur Prävalenz, Inzidenz und Mortalität der chronischen Nierenerkrankung bei 1,3 Millionen Personen mit Typ-1 und Typ-2-Diabetes zwischen 2016 und 2024.</w:t>
      </w:r>
    </w:p>
    <w:p>
      <w:r>
        <w:rPr>
          <w:b/>
        </w:rPr>
        <w:t xml:space="preserve">Ergebnis: </w:t>
      </w:r>
      <w:r>
        <w:t>Die Prävalenz der Nierenerkrankung stieg bei Typ-2-Diabetes von 24,8 % auf 37,3 %, die Inzidenz sank aber von 55,3 auf 43,7 pro 1000 Personenjahre (Hochaltrigkeit ≥70 Jahre: von 93,6 auf 74,3), die Mortalität blieb bei Patienten mit Nierenerkrankung erhöht. Das zeigt Prävention wirkt, Früherkennung aber lückenhaft.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Dänisches Register mit deutschen Strukturen vergleichbar, DMP-Daten könnten ähnliche Trends zeigen.</w:t>
      </w:r>
    </w:p>
    <w:p>
      <w:r>
        <w:rPr>
          <w:color w:val="5A7D3A"/>
          <w:sz w:val="18"/>
        </w:rPr>
        <w:t>https://pubmed.ncbi.nlm.nih.gov/42571988/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NCD und chronische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2026-10-09T06:00:00Z</dcterms:created>
  <dcterms:modified xsi:type="dcterms:W3CDTF">2026-10-09T06:00:00Z</dcterms:modified>
  <cp:category/>
</cp:coreProperties>
</file>