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29.08.2026  |  6 Studien  |  ncd.m-vf.de</w:t>
      </w:r>
    </w:p>
    <w:p>
      <w:pPr>
        <w:pStyle w:val="Heading1"/>
      </w:pPr>
      <w:r>
        <w:t>Aufgenommen am 29.08.2026</w:t>
      </w:r>
    </w:p>
    <w:p>
      <w:pPr>
        <w:pStyle w:val="Heading2"/>
      </w:pPr>
      <w:r>
        <w:t>Rassen-freie Nierenfunktionsformel ändert Risikostratifizierung nicht</w:t>
      </w:r>
    </w:p>
    <w:p>
      <w:r>
        <w:rPr>
          <w:i/>
          <w:color w:val="666666"/>
          <w:sz w:val="18"/>
        </w:rPr>
        <w:t>Huisman BJMV et al.  ·  Glob Heart  ·  21.08.2026  ·  PMID 42631246</w:t>
      </w:r>
    </w:p>
    <w:p>
      <w:r>
        <w:t>HELIUS-Studie mit 21.617 Erwachsenen aus Amsterdam vergleicht alte (2009) und neue rassen-freie (2021) CKD-EPI-Formeln zur Nierenfunktion und kardiovaskulärem Risiko.</w:t>
      </w:r>
    </w:p>
    <w:p>
      <w:r>
        <w:rPr>
          <w:b/>
        </w:rPr>
        <w:t xml:space="preserve">Ergebnis: </w:t>
      </w:r>
      <w:r>
        <w:t>Die neue Formel zeigte bei Afrikanern leicht niedrigere eGFR-Werte, aber CKD-Klassifikation (κ=0,94-0,99) und kardiovaskuläre Risikostratifizierung waren nahezu identisch; Befund bestätigt klinische Austauschbarkeit.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europäisches Sozialversicherungssystem</w:t>
      </w:r>
    </w:p>
    <w:p>
      <w:r>
        <w:rPr>
          <w:color w:val="5A7D3A"/>
          <w:sz w:val="18"/>
        </w:rPr>
        <w:t>https://pubmed.ncbi.nlm.nih.gov/42631246/</w:t>
      </w:r>
    </w:p>
    <w:p>
      <w:pPr>
        <w:pStyle w:val="Heading2"/>
      </w:pPr>
      <w:r>
        <w:t>Chronisches Pruritus bei Dialysepatienten: Häufigkeit und Belastung deutlich unterschätzt</w:t>
      </w:r>
    </w:p>
    <w:p>
      <w:r>
        <w:rPr>
          <w:i/>
          <w:color w:val="666666"/>
          <w:sz w:val="18"/>
        </w:rPr>
        <w:t>Downey C et al.  ·  J Ren Care  ·  Sept. 2026  ·  PMID 42554232</w:t>
      </w:r>
    </w:p>
    <w:p>
      <w:r>
        <w:t>Nationale Umfrage an 689 irischen Dialysepatienten zur Häufigkeit, Schweregrad und Erlebnis von dialyse-assoziiertem Juckreiz.</w:t>
      </w:r>
    </w:p>
    <w:p>
      <w:r>
        <w:rPr>
          <w:b/>
        </w:rPr>
        <w:t xml:space="preserve">Ergebnis: </w:t>
      </w:r>
      <w:r>
        <w:t>62% erlebten Pruritus, 66% davon moderat-schwer; Kopf/Gesicht am stärksten assoziiert mit Schweregrad (OR 2,08). Psychische Belastung erheblich: Schlafstörungen, Infektionsrisiko. Nur wenig Behandlung.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Irland, NHS-Dialysezentren, europäische Strukturen</w:t>
      </w:r>
    </w:p>
    <w:p>
      <w:r>
        <w:rPr>
          <w:color w:val="5A7D3A"/>
          <w:sz w:val="18"/>
        </w:rPr>
        <w:t>https://pubmed.ncbi.nlm.nih.gov/42554232/</w:t>
      </w:r>
    </w:p>
    <w:p>
      <w:pPr>
        <w:pStyle w:val="Heading2"/>
      </w:pPr>
      <w:r>
        <w:t>Aminosäure-Dialysatlösungen verbessern Ernährungsstatus bei Peritonealdialyse</w:t>
      </w:r>
    </w:p>
    <w:p>
      <w:r>
        <w:rPr>
          <w:i/>
          <w:color w:val="666666"/>
          <w:sz w:val="18"/>
        </w:rPr>
        <w:t>Lindholm B et al.  ·  BMC Nephrol  ·  30.07.2026  ·  PMID 42538540</w:t>
      </w:r>
    </w:p>
    <w:p>
      <w:r>
        <w:t>Systematischer Review zu klinischen Studien mit 1,1%-Aminosäure-basierten Peritonealdialysatlösungen statt Glucose zur Reduktion der Glukoseexposition.</w:t>
      </w:r>
    </w:p>
    <w:p>
      <w:r>
        <w:rPr>
          <w:b/>
        </w:rPr>
        <w:t xml:space="preserve">Ergebnis: </w:t>
      </w:r>
      <w:r>
        <w:t>Aminosäure-Lösungen verbessern Serumalbumin und Stickstoffbilanz bei tolerabler Verträglichkeit; reduzieren Glukosebelastung. Langzeitdaten zu Technik-Überleben und Mortalität fehlen noch, aber Evidenz unterstützt gezielten Einsatz bei mangelernährten Hochrisikopatienten.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Europa, Peritonealdialyse-Standard</w:t>
      </w:r>
    </w:p>
    <w:p>
      <w:r>
        <w:rPr>
          <w:color w:val="5A7D3A"/>
          <w:sz w:val="18"/>
        </w:rPr>
        <w:t>https://pubmed.ncbi.nlm.nih.gov/42538540/</w:t>
      </w:r>
    </w:p>
    <w:p>
      <w:pPr>
        <w:pStyle w:val="Heading2"/>
      </w:pPr>
      <w:r>
        <w:t>Long COVID erhöht Risiko für neue chronische Erkrankungen deutlich</w:t>
      </w:r>
    </w:p>
    <w:p>
      <w:r>
        <w:rPr>
          <w:i/>
          <w:color w:val="666666"/>
          <w:sz w:val="18"/>
        </w:rPr>
        <w:t>Sõnajalg H et al.  ·  Front Public Health  ·  16.07.2026  ·  PMID 42534966</w:t>
      </w:r>
    </w:p>
    <w:p>
      <w:r>
        <w:t>Bevölkerungsbasierte estnische Kohorte (N=2.639 Long-COVID-Patienten, 199.171 Kontrollen) zur Assoziation zwischen Long COVID und Neuauftreten chronischer Erkrankungen.</w:t>
      </w:r>
    </w:p>
    <w:p>
      <w:r>
        <w:rPr>
          <w:b/>
        </w:rPr>
        <w:t xml:space="preserve">Ergebnis: </w:t>
      </w:r>
      <w:r>
        <w:t>Long COVID assoziiert mit erhöhtem Risiko für Asthma (OR 5,12), COPD (OR 4,08), Schlafapnoe (OR 3,05). Type-2-Diabetes-Inzidenz stieg nach März 2020 über erwartete Trends (p=1,84×10-80).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Estland, nationale Gesundheitsdaten, europäisches System</w:t>
      </w:r>
    </w:p>
    <w:p>
      <w:r>
        <w:rPr>
          <w:color w:val="5A7D3A"/>
          <w:sz w:val="18"/>
        </w:rPr>
        <w:t>https://pubmed.ncbi.nlm.nih.gov/42534966/</w:t>
      </w:r>
    </w:p>
    <w:p>
      <w:pPr>
        <w:pStyle w:val="Heading2"/>
      </w:pPr>
      <w:r>
        <w:t>Endostatin zeigt Anämierisiko bei älteren Nierenpatienten an</w:t>
      </w:r>
    </w:p>
    <w:p>
      <w:r>
        <w:rPr>
          <w:i/>
          <w:color w:val="666666"/>
          <w:sz w:val="18"/>
        </w:rPr>
        <w:t>Corsonello A et al.  ·  J Transl Med  ·  24.07.2026  ·  PMID 42533353</w:t>
      </w:r>
    </w:p>
    <w:p>
      <w:r>
        <w:t>SCOPE-Studie (2.008 Erwachsene ≥75 Jahre) zur Assoziation zwischen zirkulierendem Endostatin und prävalenter/inzidenter Anämie bei CKD.</w:t>
      </w:r>
    </w:p>
    <w:p>
      <w:r>
        <w:rPr>
          <w:b/>
        </w:rPr>
        <w:t xml:space="preserve">Ergebnis: </w:t>
      </w:r>
      <w:r>
        <w:t>Höhere Endostatin-Level unabhängig assoziiert mit niedrigerem Hämoglobin (β -0,21) und prävalenter Anämie (OR 1,38). Bei Zwei-Jahres-Nachverfolgung: 11,4% Neuauftreten von Anämie, höhere Endostatin-Level erhöhten Risiko (sHR 1,40); Assoziation stärker bei CKD.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Multizenterstudie (Schweden, Österreich, Niederlande, Spanien, Polen)</w:t>
      </w:r>
    </w:p>
    <w:p>
      <w:r>
        <w:rPr>
          <w:color w:val="5A7D3A"/>
          <w:sz w:val="18"/>
        </w:rPr>
        <w:t>https://pubmed.ncbi.nlm.nih.gov/42533353/</w:t>
      </w:r>
    </w:p>
    <w:p>
      <w:pPr>
        <w:pStyle w:val="Heading2"/>
      </w:pPr>
      <w:r>
        <w:t>Inhaled corticosteroids senken kardiovaskuläres Risiko bei COPD nicht</w:t>
      </w:r>
    </w:p>
    <w:p>
      <w:r>
        <w:rPr>
          <w:i/>
          <w:color w:val="666666"/>
          <w:sz w:val="18"/>
        </w:rPr>
        <w:t>Nielsen MRI et al.  ·  BMJ Open  ·  29.07.2026  ·  PMID 42526931</w:t>
      </w:r>
    </w:p>
    <w:p>
      <w:r>
        <w:t>Registerbasierte Kohortenstudie mit 82.327 COPD-Patienten in Dänemark zu kardiovaskulären Ereignissen unter ICS-Therapie in verschiedenen Dosen.</w:t>
      </w:r>
    </w:p>
    <w:p>
      <w:r>
        <w:rPr>
          <w:b/>
        </w:rPr>
        <w:t xml:space="preserve">Ergebnis: </w:t>
      </w:r>
      <w:r>
        <w:t>ICS waren bei keiner Dosis mit erhöhtem kardiovaskulärem Risiko assoziiert; moderate Dosen zeigten sogar modeste Risikoreduktion (HR 0,89, p&lt;0,05). Befund widerlegt Safety-Bedenken gegen ICS.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 Registerdaten, vergleichbares Nordeuropa-System</w:t>
      </w:r>
    </w:p>
    <w:p>
      <w:r>
        <w:rPr>
          <w:color w:val="5A7D3A"/>
          <w:sz w:val="18"/>
        </w:rPr>
        <w:t>https://pubmed.ncbi.nlm.nih.gov/42526931/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2026-08-29T06:00:00Z</dcterms:created>
  <dcterms:modified xsi:type="dcterms:W3CDTF">2026-08-29T06:00:00Z</dcterms:modified>
  <cp:category/>
</cp:coreProperties>
</file>