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16.09.2026  |  6 Studien  |  ncd.m-vf.de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Case Finding für COPD nach Lungenkrebs-Screening wird von Patienten akzeptiert</w:t>
      </w:r>
    </w:p>
    <w:p>
      <w:r>
        <w:rPr>
          <w:i/>
          <w:color w:val="666666"/>
          <w:sz w:val="18"/>
        </w:rPr>
        <w:t>Phillips OR et al.  ·  BMJ Open Respir Res  ·  15.09.2026  ·  PMID 42744412</w:t>
      </w:r>
    </w:p>
    <w:p>
      <w:r>
        <w:t>Qualitative Studie mit 15 teilstrukturierten Interviews: Untersuchung der Wahrnehmung von Patienten zum Case Finding für COPD nach Lungenkrebs-Screening mittels mobiler Forschungseinheit in Nottinghamshire.</w:t>
      </w:r>
    </w:p>
    <w:p>
      <w:r>
        <w:rPr>
          <w:b/>
        </w:rPr>
        <w:t xml:space="preserve">Ergebnis: </w:t>
      </w:r>
      <w:r>
        <w:t>Kernfaktoren für positive Bewertung: Lob für klinisches Personal, Zugänglichkeit und Atmosphäre der Forschungseinheit sowie Zweckmäßigkeit des Case Finding. Hauptproblem: Mangelnde Kommunikation mit Hausarztpraxen in den Wochen nach der Bewertung. Teilnehmer befürworteten eine landesweite Ausweitung des Ansatzes.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(England), vergleichbar mit deutschem primärversorgtem System.</w:t>
      </w:r>
    </w:p>
    <w:p>
      <w:r>
        <w:rPr>
          <w:color w:val="5A7D3A"/>
          <w:sz w:val="18"/>
        </w:rPr>
        <w:t>https://pubmed.ncbi.nlm.nih.gov/42744412/</w:t>
      </w:r>
    </w:p>
    <w:p>
      <w:pPr>
        <w:pStyle w:val="Heading2"/>
      </w:pPr>
      <w:r>
        <w:t>Pharmazeut-geführte Interventionen verbessern Adhärenz zu Phosphatbindern und Phosphorkontrolle</w:t>
      </w:r>
    </w:p>
    <w:p>
      <w:r>
        <w:rPr>
          <w:i/>
          <w:color w:val="666666"/>
          <w:sz w:val="18"/>
        </w:rPr>
        <w:t>Trapp A et al.  ·  Nephrol Nurs J  ·  Juli 2026  ·  PMID 42742309</w:t>
      </w:r>
    </w:p>
    <w:p>
      <w:r>
        <w:t>Prospektive dreiphasige Studie: Evaluierung von pharmazeut-geführten Interventionen auf die Einhaltung von Phosphatbinder-Therapie und Phosphorkontrolle in einer Dialyse-Population mit Hemo-, Peritoneal- und Heimdialyse.</w:t>
      </w:r>
    </w:p>
    <w:p>
      <w:r>
        <w:rPr>
          <w:b/>
        </w:rPr>
        <w:t xml:space="preserve">Ergebnis: </w:t>
      </w:r>
      <w:r>
        <w:t>Pharmazeut-Integration in das Programm führte zu verbesserter Adhärenz, besserer Phosphorkontrolle und reduzierten Diskrepanzen in der Medikation. Das Programm verbesserte auch Ergebnisse und Workflow-Effizienz.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(Oregon, Montana), aber Adhärenz-Intervention auf deutsches Dialyse-System übertragbar.</w:t>
      </w:r>
    </w:p>
    <w:p>
      <w:r>
        <w:rPr>
          <w:color w:val="5A7D3A"/>
          <w:sz w:val="18"/>
        </w:rPr>
        <w:t>https://pubmed.ncbi.nlm.nih.gov/42742309/</w:t>
      </w:r>
    </w:p>
    <w:p>
      <w:pPr>
        <w:pStyle w:val="Heading2"/>
      </w:pPr>
      <w:r>
        <w:t>Frühere Exazerbationen und höhere GOLD-Grade sagen künftige COPD-Exazerbationen voraus</w:t>
      </w:r>
    </w:p>
    <w:p>
      <w:r>
        <w:rPr>
          <w:i/>
          <w:color w:val="666666"/>
          <w:sz w:val="18"/>
        </w:rPr>
        <w:t>Song Q et al.  ·  Ann Med  ·  15.09.2026  ·  PMID 42741955</w:t>
      </w:r>
    </w:p>
    <w:p>
      <w:r>
        <w:t>Retrospektive Kohortenstudie an 1.076 COPD-Patienten unter Doppeltherapie (LABA/LAMA): Analyse von Risikofaktoren für zukünftige Exazerbationen während einjähriger Nachverfolgung.</w:t>
      </w:r>
    </w:p>
    <w:p>
      <w:r>
        <w:rPr>
          <w:b/>
        </w:rPr>
        <w:t xml:space="preserve">Ergebnis: </w:t>
      </w:r>
      <w:r>
        <w:t>284 Patienten (26,4%) erlebten während der Nachverfolgung Exazerbationen. Unabhängige Risikofaktoren: GOLD-Grade 3–4 (OR 1,343, 95%-KI 1,016–1,776), eine Exazerbation im Vorjahr (OR 1,763, 95%-KI 1,248–2,489) und ≥2 Exazerbationen im Vorjahr (OR 2,514, 95%-KI 1,792–3,525). In der Subgruppe mit Hypertonie (Gruppe B) war die Hypertonie ebenfalls Risikofaktor (OR 3,400).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COPD-Klassifikation nach GOLD international standardisiert.</w:t>
      </w:r>
    </w:p>
    <w:p>
      <w:r>
        <w:rPr>
          <w:color w:val="5A7D3A"/>
          <w:sz w:val="18"/>
        </w:rPr>
        <w:t>https://pubmed.ncbi.nlm.nih.gov/42741955/</w:t>
      </w:r>
    </w:p>
    <w:p>
      <w:pPr>
        <w:pStyle w:val="Heading2"/>
      </w:pPr>
      <w:r>
        <w:t>CKD-Prävalenz stabil, aber Komorbiditäten zeigen divergente Trends über 20 Jahre</w:t>
      </w:r>
    </w:p>
    <w:p>
      <w:r>
        <w:rPr>
          <w:i/>
          <w:color w:val="666666"/>
          <w:sz w:val="18"/>
        </w:rPr>
        <w:t>Farag YM et al.  ·  Ren Fail  ·  14.09.2026  ·  PMID 42736589</w:t>
      </w:r>
    </w:p>
    <w:p>
      <w:r>
        <w:t>Trend-Analyse von 1999–2018 mit NHANES-Daten: Untersuchung der CKD-Prävalenz und neun Komorbiditäten (Adipositas, Diabetes, Hypertonie, Anämie etc.) nach eGFR- und Albuminurie-Kategorien.</w:t>
      </w:r>
    </w:p>
    <w:p>
      <w:r>
        <w:rPr>
          <w:b/>
        </w:rPr>
        <w:t xml:space="preserve">Ergebnis: </w:t>
      </w:r>
      <w:r>
        <w:t>CKD-Prävalenz stabil bei 20% bei Erwachsenen ≥20 Jahren. Adipositas und Diabetes nahmen signifikant zu, Hypertonie, Anämie, Hyperkalämie und kardiovaskuläre Erkrankung blieben stabil. Hypertriglyzeridämie und Hypercholesterinämie zeigten initialen Anstieg, dann Plateau. Ungleiche Verteilung der Komorbiditäten über KDIGO-eGFR- und Albuminurie-Unterkategorien, mit erhöhtem Risiko in G3bA2- und G4A1-Patienten.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KDIGO-Klassifikation international standardisiert; Epidemiologie informativ für Ressourcenplanung in Deutschland.</w:t>
      </w:r>
    </w:p>
    <w:p>
      <w:r>
        <w:rPr>
          <w:color w:val="5A7D3A"/>
          <w:sz w:val="18"/>
        </w:rPr>
        <w:t>https://pubmed.ncbi.nlm.nih.gov/42736589/</w:t>
      </w:r>
    </w:p>
    <w:p>
      <w:pPr>
        <w:pStyle w:val="Heading2"/>
      </w:pPr>
      <w:r>
        <w:t>Mehrfacherkrankung verschärft sich durch Einsamkeit und soziale Inaktivität</w:t>
      </w:r>
    </w:p>
    <w:p>
      <w:r>
        <w:rPr>
          <w:i/>
          <w:color w:val="666666"/>
          <w:sz w:val="18"/>
        </w:rPr>
        <w:t>Zhou Y et al.  ·  Nat Commun  ·  15.08.2026  ·  PMID 42736300</w:t>
      </w:r>
    </w:p>
    <w:p>
      <w:r>
        <w:t>Längsschnittstudie in 19 Ländern an Personen ab 45 Jahren: Untersucht wurden bidirektionale Assoziationen zwischen körperlicher Mehrfacherkrankung und Einsamkeit sowie die vermittelnde Rolle sozialer Inaktivität.</w:t>
      </w:r>
    </w:p>
    <w:p>
      <w:r>
        <w:rPr>
          <w:b/>
        </w:rPr>
        <w:t xml:space="preserve">Ergebnis: </w:t>
      </w:r>
      <w:r>
        <w:t>Mehrfacherkrankung erhöhte das Risiko für Einsamkeit (adjustierte HR 1,25, 95%-KI 1,20–1,30). Einsamkeit erhöhte wiederum das Risiko für Mehrfacherkrankung (adjustierte HR 1,10, 95%-KI 1,05–1,17). Soziale Inaktivität vermittelte diese Assoziation teilweise. Diese Befunde deuten auf einen Teufelskreis hin, in dem jede Erkrankung die andere verschärft.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und europäische Daten, aber Mehrlän-der-Analyse; Vergleichbarkeit länderspezifisch unterschiedlich.</w:t>
      </w:r>
    </w:p>
    <w:p>
      <w:r>
        <w:rPr>
          <w:color w:val="5A7D3A"/>
          <w:sz w:val="18"/>
        </w:rPr>
        <w:t>https://pubmed.ncbi.nlm.nih.gov/42736300/</w:t>
      </w:r>
    </w:p>
    <w:p>
      <w:pPr>
        <w:pStyle w:val="Heading2"/>
      </w:pPr>
      <w:r>
        <w:t>Metabolische Biomarker sagen Übergang zur kardiometabolischen Mehrfacherkrankung voraus</w:t>
      </w:r>
    </w:p>
    <w:p>
      <w:r>
        <w:rPr>
          <w:i/>
          <w:color w:val="666666"/>
          <w:sz w:val="18"/>
        </w:rPr>
        <w:t>Sun M et al.  ·  Maturitas  ·  22.08.2026  ·  PMID 42664616</w:t>
      </w:r>
    </w:p>
    <w:p>
      <w:r>
        <w:t>Analyse von 79.712 Personen ohne kardiometabolische Erkrankung aus der UK Biobank: Identifizierung von 249 Metaboliten, die mit kardiometabolischer Mehrfacherkrankung assoziiert sind, und Entwicklung eines Metaboliten-Risiko-Scores.</w:t>
      </w:r>
    </w:p>
    <w:p>
      <w:r>
        <w:rPr>
          <w:b/>
        </w:rPr>
        <w:t xml:space="preserve">Ergebnis: </w:t>
      </w:r>
      <w:r>
        <w:t>183 der 249 Metaboliten waren mit kardiometabolischer Mehrfacherkrankung assoziiert. Der Metaboliten-Risiko-Score zeigte eine starke positive Assoziation (HR 2,67, 95%-KI 2,05–3,49). Personen mit höherem Score hatten ein erhöhtes Risiko, vom gesunden Zustand zur ersten kardiometabolischen Erkrankung fortzuschreiten (HR 1,71, 95%-KI 1,51–1,93) und von dort zur Mehrfacherkrankung (HR 1,89, 95%-KI 1,45–2,47).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aber Metaboliten-Verfahren international nicht standardisiert; Übertragbarkeit auf Deutschland begrenzt.</w:t>
      </w:r>
    </w:p>
    <w:p>
      <w:r>
        <w:rPr>
          <w:color w:val="5A7D3A"/>
          <w:sz w:val="18"/>
        </w:rPr>
        <w:t>https://pubmed.ncbi.nlm.nih.gov/42664616/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2026-09-16T06:00:00Z</dcterms:created>
  <dcterms:modified xsi:type="dcterms:W3CDTF">2026-09-16T06:00:00Z</dcterms:modified>
  <cp:category/>
</cp:coreProperties>
</file>