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NCD und chronische Krankheiten</w:t>
      </w:r>
    </w:p>
    <w:p>
      <w:r>
        <w:rPr>
          <w:i/>
          <w:color w:val="666666"/>
          <w:sz w:val="18"/>
        </w:rPr>
        <w:t>Stand: 19.10.2026  |  6 Studien  |  ncd.m-vf.de</w:t>
      </w:r>
    </w:p>
    <w:p>
      <w:pPr>
        <w:pStyle w:val="Heading1"/>
      </w:pPr>
      <w:r>
        <w:t>Aufgenommen am 19.10.2026</w:t>
      </w:r>
    </w:p>
    <w:p>
      <w:pPr>
        <w:pStyle w:val="Heading2"/>
      </w:pPr>
      <w:r>
        <w:t>Hämoglobin-Zielbereich 105-125 g/L erhöhte Sterblichkeit bei Hämodialysepatienten nicht</w:t>
      </w:r>
    </w:p>
    <w:p>
      <w:r>
        <w:rPr>
          <w:i/>
          <w:color w:val="666666"/>
          <w:sz w:val="18"/>
        </w:rPr>
        <w:t>Birnie K et al.  ·  Pharmacoepidemiol Drug Saf  ·  Nov. 2026  ·  PMID 42893801</w:t>
      </w:r>
    </w:p>
    <w:p>
      <w:r>
        <w:t>Elektronische Patientendaten aus 10 englischen Nierenzentren (2004-2016) verglichen mittels Target-Trial-Emulation verschiedene Hämoglobin-Zielwerte unter standardisierter Darbepoetindosierung.</w:t>
      </w:r>
    </w:p>
    <w:p>
      <w:r>
        <w:rPr>
          <w:b/>
        </w:rPr>
        <w:t xml:space="preserve">Ergebnis: </w:t>
      </w:r>
      <w:r>
        <w:t>Bei 8.628 Patienten (Medianalter 66 Jahre) zeigten sich für 105-125 g/L vs. 95-115 g/L Hazard Ratio 0,92 (95% KI 0,75-1,12), für &gt;125 g/L vs. 95-115 g/L HR 1,20 (95% KI 0,94-1,54). Ein moderat erhöhtes Ziel war nicht mit erhöhter Mortalität assoziiert, während Werte über 125 g/L das Mortalitätsrisiko möglicherweise steigern.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UK-Nierenzentren mit vollständiger elektronischer Dokumentation, übertragbar auf Deutschland.</w:t>
      </w:r>
    </w:p>
    <w:p>
      <w:r>
        <w:rPr>
          <w:color w:val="5A7D3A"/>
          <w:sz w:val="18"/>
        </w:rPr>
        <w:t>https://pubmed.ncbi.nlm.nih.gov/42893801/</w:t>
      </w:r>
    </w:p>
    <w:p>
      <w:pPr>
        <w:pStyle w:val="Heading2"/>
      </w:pPr>
      <w:r>
        <w:t>COPD-Last in Asien stieg 2009-2023 um 41 Prozent trotz sinkender altersstandardisierter Raten</w:t>
      </w:r>
    </w:p>
    <w:p>
      <w:r>
        <w:rPr>
          <w:i/>
          <w:color w:val="666666"/>
          <w:sz w:val="18"/>
        </w:rPr>
        <w:t>Luo Q et al.  ·  Int J Chron Obstruct Pulmon Dis  ·  13.10.2026  ·  PMID 42893247</w:t>
      </w:r>
    </w:p>
    <w:p>
      <w:r>
        <w:t>Global Burden of Disease 2023 Analyse für 48 asiatische Länder (2009-2023) quantifizierte Inzidenz, Prävalenz, Todesfälle und DALYs mit Fokus auf demografische Treiber und Ungleichheit nach Sozio-demografischem Index.</w:t>
      </w:r>
    </w:p>
    <w:p>
      <w:r>
        <w:rPr>
          <w:b/>
        </w:rPr>
        <w:t xml:space="preserve">Ergebnis: </w:t>
      </w:r>
      <w:r>
        <w:t>Inzidenzfälle stiegen von 7,74 auf 10,75 Millionen (+38,9%), Prävalenz von 91,88 auf 129,76 Millionen (+41,2%), Todesfälle von 2,11 auf 2,63 Millionen (+24,8%). Altersstandardisierte Raten sanken jedoch in 34-43 der 48 Standorte. Von 522.061 zusätzlichen Todesfällen waren 345.084 auf Bevölkerungswachstum und 933.776 auf Alterung zurückzuführen. Sozioökonomische Konzentration der Todesfalllasten verschärfte sich (SII -69,90 auf -87,22).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Asien, zeigt versorgungspolitischen Handlungsbedarf durch demografische Lasten unabhängig von Epidemiologie-Verbesserungen.</w:t>
      </w:r>
    </w:p>
    <w:p>
      <w:r>
        <w:rPr>
          <w:color w:val="5A7D3A"/>
          <w:sz w:val="18"/>
        </w:rPr>
        <w:t>https://pubmed.ncbi.nlm.nih.gov/42893247/</w:t>
      </w:r>
    </w:p>
    <w:p>
      <w:pPr>
        <w:pStyle w:val="Heading2"/>
      </w:pPr>
      <w:r>
        <w:t>Niedriges gewichtsadjustiertes Muskelvolumen fördert COPD-Exazerbationen bei niedrigem BMI</w:t>
      </w:r>
    </w:p>
    <w:p>
      <w:r>
        <w:rPr>
          <w:i/>
          <w:color w:val="666666"/>
          <w:sz w:val="18"/>
        </w:rPr>
        <w:t>Zhang Y et al.  ·  Int J Chron Obstruct Pulmon Dis  ·  13.10.2026  ·  PMID 42893075</w:t>
      </w:r>
    </w:p>
    <w:p>
      <w:r>
        <w:t>Querschnittstudie mit 419 COPD-Patienten untersuchte Assoziation zwischen Körperzusammensetzung (traditionell versus gewichtsadjustiert) und häufigen Exazerbationen (≥2 moderat oder ≥1 schwer im Vorjahr).</w:t>
      </w:r>
    </w:p>
    <w:p>
      <w:r>
        <w:rPr>
          <w:b/>
        </w:rPr>
        <w:t xml:space="preserve">Ergebnis: </w:t>
      </w:r>
      <w:r>
        <w:t>Niedriges ASM/BMI war mit häufigen Exazerbationen assoziiert (bereinigtes OR 1,74; 95% KI 1,07-2,87), besonders stark bei BMI &lt;24 kg/m² (aOR 5,66; 95% KI 2,22-17,66). Traditionelle Höhenindizes zeigten keine signifikante Assoziation (aOR 1,52; 95% KI 0,96-2,41).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relevant für Versorgungspraxis: Muskelabbau als therapeutischer Angriffspunkt.</w:t>
      </w:r>
    </w:p>
    <w:p>
      <w:r>
        <w:rPr>
          <w:color w:val="5A7D3A"/>
          <w:sz w:val="18"/>
        </w:rPr>
        <w:t>https://pubmed.ncbi.nlm.nih.gov/42893075/</w:t>
      </w:r>
    </w:p>
    <w:p>
      <w:pPr>
        <w:pStyle w:val="Heading2"/>
      </w:pPr>
      <w:r>
        <w:t>Sehbehinderung reduziert Medikamentenadhärenz bei älteren Chronikern um bis zu 85 Prozent</w:t>
      </w:r>
    </w:p>
    <w:p>
      <w:r>
        <w:rPr>
          <w:i/>
          <w:color w:val="666666"/>
          <w:sz w:val="18"/>
        </w:rPr>
        <w:t>Shen Q et al.  ·  Med Sci Monit  ·  18.10.2026  ·  PMID 42892708</w:t>
      </w:r>
    </w:p>
    <w:p>
      <w:r>
        <w:t>Querschnittsstudie mit 100 Patienten &gt;60 Jahren an geriatrischer Klinik untersuchte Assoziation zwischen Grad der Sehbehinderung und Medikamentenadhärenz bei chronischen Erkrankungen mittels MMAS-8 Skala.</w:t>
      </w:r>
    </w:p>
    <w:p>
      <w:r>
        <w:rPr>
          <w:b/>
        </w:rPr>
        <w:t xml:space="preserve">Ergebnis: </w:t>
      </w:r>
      <w:r>
        <w:t>MMAS-8 Scores sanken von 7,32 (Normalsicht) auf 4,29 bei schwerer Sehbehinderung. Niedrige Adhärenz stieg von 3,7% (normal) auf 45,0% (mild), 71,4% (moderat) und 88,9% (schwer). Bereinigte Odds Ratios: milde Behinderung OR 3,45 (95% KI 1,18-10,13), moderate OR 8,72 (95% KI 2,94-25,83), schwere OR 16,45 (95% KI 4,21-64,23) versus Normalsicht.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patientenschutzrelevant: Sehbehinderung als unerkanntes Adhärenzrisiko in der Praxis.</w:t>
      </w:r>
    </w:p>
    <w:p>
      <w:r>
        <w:rPr>
          <w:color w:val="5A7D3A"/>
          <w:sz w:val="18"/>
        </w:rPr>
        <w:t>https://pubmed.ncbi.nlm.nih.gov/42892708/</w:t>
      </w:r>
    </w:p>
    <w:p>
      <w:pPr>
        <w:pStyle w:val="Heading2"/>
      </w:pPr>
      <w:r>
        <w:t>CFTR-I556V-Variant erhöht COPD-Risiko um 96 Prozent nach Adjustierung</w:t>
      </w:r>
    </w:p>
    <w:p>
      <w:r>
        <w:rPr>
          <w:i/>
          <w:color w:val="666666"/>
          <w:sz w:val="18"/>
        </w:rPr>
        <w:t>Xu H et al.  ·  Int J Chron Obstruct Pulmon Dis  ·  11.10.2026  ·  PMID 42889849</w:t>
      </w:r>
    </w:p>
    <w:p>
      <w:r>
        <w:t>Klinische und experimentelle Studie mit 208 COPD-Patienten und 100 Kontrollen identifizierte CFTR-Genvarianten und untersuchte Auswirkungen der I556V-Variante auf ROS und Mitochondrienfunktion sowie Lungenparameter nach Zigarettenrauch in transgenen Mäusen.</w:t>
      </w:r>
    </w:p>
    <w:p>
      <w:r>
        <w:rPr>
          <w:b/>
        </w:rPr>
        <w:t xml:space="preserve">Ergebnis: </w:t>
      </w:r>
      <w:r>
        <w:t>I556V-Variante zeigte signifikante COPD-Assoziation (P=0,045), mit 2,12-fach erhöhtem Risiko (OR 2,12; 95% KI 1,16-3,86), nach Adjustierung für Alter, Geschlecht und Rauchen OR 1,96 (95% KI 1,01-3,81, +96%). In Mäusen führte I556V zu 23,03% erhöhter Atemwegswanddicke und 48,40% erhöhter Kollagenablagerung nach CS-Exposition mit exazerbierter Inflammation.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Grundlage für genetische Stratifizierung und präventive Interventionen in Hochrisikopopulationen.</w:t>
      </w:r>
    </w:p>
    <w:p>
      <w:r>
        <w:rPr>
          <w:color w:val="5A7D3A"/>
          <w:sz w:val="18"/>
        </w:rPr>
        <w:t>https://pubmed.ncbi.nlm.nih.gov/42889849/</w:t>
      </w:r>
    </w:p>
    <w:p>
      <w:pPr>
        <w:pStyle w:val="Heading2"/>
      </w:pPr>
      <w:r>
        <w:t>Nilotinib senkt neurodegenerative Erkrankungen bei CML-Patienten um 63 Prozent</w:t>
      </w:r>
    </w:p>
    <w:p>
      <w:r>
        <w:rPr>
          <w:i/>
          <w:color w:val="666666"/>
          <w:sz w:val="18"/>
        </w:rPr>
        <w:t>Wittström F et al.  ·  Alzheimers Dement  ·  Okt. 2026  ·  PMID 42860391</w:t>
      </w:r>
    </w:p>
    <w:p>
      <w:r>
        <w:t>Schwedische populationsbasierte Kohortenstudie (2005-2024) verglich Inzidenz neurodegenerativer Erkrankungen bei 1.322 CML-Patienten unter verschiedenen Tyrosinkinasehemmern versus gematcht gesunde Vergleicher.</w:t>
      </w:r>
    </w:p>
    <w:p>
      <w:r>
        <w:rPr>
          <w:b/>
        </w:rPr>
        <w:t xml:space="preserve">Ergebnis: </w:t>
      </w:r>
      <w:r>
        <w:t>Bei 1.188 Imatinib-Nutzern (41 neurodegenerative Events) HR 0,98 (95% KI 0,71-1,36), bei 541 Dasatinib-Nutzern (15 Events) HR 1,18 (95% KI 0,68-2,03), bei 390 Nilotinib-Nutzern (5 Events) HR 0,37 (95% KI 0,15-0,90). Nur Nilotinib zeigte statistisch signifikante Assoziation mit reduzierter neurodegenerativer Erkrankung.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Skandinavische Kohortendaten mit Universalversicherung, begrenzte Übertragbarkeit wegen Selektionseffekte bei Wirkstoffwahl.</w:t>
      </w:r>
    </w:p>
    <w:p>
      <w:r>
        <w:rPr>
          <w:color w:val="5A7D3A"/>
          <w:sz w:val="18"/>
        </w:rPr>
        <w:t>https://pubmed.ncbi.nlm.nih.gov/42860391/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NCD und chronische Krankheiten</dc:title>
  <dc:subject/>
  <dc:creator>Monitor Versorgungsforschung</dc:creator>
  <cp:keywords/>
  <dc:description>generated by python-docx</dc:description>
  <cp:lastModifiedBy/>
  <cp:revision>1</cp:revision>
  <dcterms:created xsi:type="dcterms:W3CDTF">2026-10-19T06:00:00Z</dcterms:created>
  <dcterms:modified xsi:type="dcterms:W3CDTF">2026-10-19T06:00:00Z</dcterms:modified>
  <cp:category/>
</cp:coreProperties>
</file>