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29.09.2026  |  6 Studien  |  ncd.m-vf.de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Sarcopenie bei chronischer Nierenkrankheit: 28 % Prävalenz bei ESRD, assoziiert mit Metabolik und Frailty</w:t>
      </w:r>
    </w:p>
    <w:p>
      <w:r>
        <w:rPr>
          <w:i/>
          <w:color w:val="666666"/>
          <w:sz w:val="18"/>
        </w:rPr>
        <w:t>Agidew MM et al.  ·  BMJ Open  ·  28.09.2026  ·  PMID 42805656</w:t>
      </w:r>
    </w:p>
    <w:p>
      <w:r>
        <w:t>Querschnittstudie aus Äthiopien zu Sarcopenie-Prävalenz und Risikofaktoren bei erwachsenen CKD-Patienten (n=120) in einer nephrologischen Klinik, mit fokus auf ESRD-Differenzierung.</w:t>
      </w:r>
    </w:p>
    <w:p>
      <w:r>
        <w:rPr>
          <w:b/>
        </w:rPr>
        <w:t xml:space="preserve">Ergebnis: </w:t>
      </w:r>
      <w:r>
        <w:t>Sarcopenie-Prävalenz war signifikant höher bei ESRD als ohne ESRD (28,3 % vs. 10,0 %; p=0,01). Unabhängige Prädiktoren waren niedriges HDL, erhöhtes Triglycerid, Hyperglykämie, Hypertonie und Frailty. Korrelationen mit Nierenfunktion (r=−0,291; p=0,001) und oxidativem Stress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aber CKD-Komplikationen global, Screening-Empfehlungen übertragbar</w:t>
      </w:r>
    </w:p>
    <w:p>
      <w:r>
        <w:rPr>
          <w:color w:val="5A7D3A"/>
          <w:sz w:val="18"/>
        </w:rPr>
        <w:t>https://pubmed.ncbi.nlm.nih.gov/42805656/</w:t>
      </w:r>
    </w:p>
    <w:p>
      <w:pPr>
        <w:pStyle w:val="Heading2"/>
      </w:pPr>
      <w:r>
        <w:t>Nierentransplantate von Spendern mit Diabetes: 5-Jahres-Funktion nach Matchingvergleich unbedenklich</w:t>
      </w:r>
    </w:p>
    <w:p>
      <w:r>
        <w:rPr>
          <w:i/>
          <w:color w:val="666666"/>
          <w:sz w:val="18"/>
        </w:rPr>
        <w:t>Colella-Santos M et al.  ·  Clin Transplant  ·  Okt. 2026  ·  PMID 42804549</w:t>
      </w:r>
    </w:p>
    <w:p>
      <w:r>
        <w:t>Retrospektive brasilianische Kohortenstudie zu 5-Jahres-Nierenfunktion und Transplantat-Überleben nach Nierentransplantation mit verstorbenen Spendern mit oder ohne Diabetes mellitus (n=3.058), mit Propensity-Score-Matching.</w:t>
      </w:r>
    </w:p>
    <w:p>
      <w:r>
        <w:rPr>
          <w:b/>
        </w:rPr>
        <w:t xml:space="preserve">Ergebnis: </w:t>
      </w:r>
      <w:r>
        <w:t>Nach Matching unterschieden sich eGFR über 5 Jahre, eGFR-Steigung und zensiertes Transplantat-Überleben nicht zwischen Spendern mit und ohne Diabetes. Pre-implantations-Biopsien zeigten selten Diabetes-assoziierte glomeruläre Läsionen; keine Banff-Parameter sagten eGFR&lt;30 oder Transplantatverlust voraus (alle 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Organallokation und Transplantat-Qualitätskriterien überträglich</w:t>
      </w:r>
    </w:p>
    <w:p>
      <w:r>
        <w:rPr>
          <w:color w:val="5A7D3A"/>
          <w:sz w:val="18"/>
        </w:rPr>
        <w:t>https://pubmed.ncbi.nlm.nih.gov/42804549/</w:t>
      </w:r>
    </w:p>
    <w:p>
      <w:pPr>
        <w:pStyle w:val="Heading2"/>
      </w:pPr>
      <w:r>
        <w:t>Ältere mit konservativer Nierenfunktions-Erhaltung lehnen Dialyse ab – Nephrologie stellt sie selten bereit</w:t>
      </w:r>
    </w:p>
    <w:p>
      <w:r>
        <w:rPr>
          <w:i/>
          <w:color w:val="666666"/>
          <w:sz w:val="18"/>
        </w:rPr>
        <w:t>Geiger MP et al.  ·  JAMA Netw Open  ·  01.09.2026  ·  PMID 42804203</w:t>
      </w:r>
    </w:p>
    <w:p>
      <w:r>
        <w:t>Qualitative Sekundäranalyse von Klinikakten aus zwei US-RCTs (CKD-EDU und DIAL-SDM, 2019–2024) zur Entscheidungsfindung von älteren (≥75 Jahren) mit ESRD bezüglich konservativer Nierenbehandlung ohne Dialyse.</w:t>
      </w:r>
    </w:p>
    <w:p>
      <w:r>
        <w:rPr>
          <w:b/>
        </w:rPr>
        <w:t xml:space="preserve">Ergebnis: </w:t>
      </w:r>
      <w:r>
        <w:t>35 von 118 Patienten (mittl. Alter 82 J.) wählten konservative Behandlung. Gründe: Vermeidung von Dialyse-Belastung zur Qualitätserhaltung, schlechte Gesundheit, Beobachtung von Dialyse-Folgen bei Angehörigen, Schutz vor Übermedikalisierung am Lebensende. Nephrologists hinterfragten häufig zielkonkordante Entscheidungen, initiierten selten Advance-Care-Planning.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Shared Decision Making und Palliativversorgung international relevant</w:t>
      </w:r>
    </w:p>
    <w:p>
      <w:r>
        <w:rPr>
          <w:color w:val="5A7D3A"/>
          <w:sz w:val="18"/>
        </w:rPr>
        <w:t>https://pubmed.ncbi.nlm.nih.gov/42804203/</w:t>
      </w:r>
    </w:p>
    <w:p>
      <w:pPr>
        <w:pStyle w:val="Heading2"/>
      </w:pPr>
      <w:r>
        <w:t>Therapietreue senkt HCC-Inzidenz bei Hepatitis-B-Zirrhose um 23 %</w:t>
      </w:r>
    </w:p>
    <w:p>
      <w:r>
        <w:rPr>
          <w:i/>
          <w:color w:val="666666"/>
          <w:sz w:val="18"/>
        </w:rPr>
        <w:t>Shin YE et al.  ·  J Med Virol  ·  Okt. 2026  ·  PMID 42803662</w:t>
      </w:r>
    </w:p>
    <w:p>
      <w:r>
        <w:t>Kohortenstudie mit südkoreanischen Abrechnungsdaten zur Assoziation zwischen Therapietreue (Medikamentenpossession-Ratio ≥90 %) bei Nukleosid-Analoga-Therapie und Hepatozellulären Karzinom-Risiko bei chronischer Hepatitis B.</w:t>
      </w:r>
    </w:p>
    <w:p>
      <w:r>
        <w:rPr>
          <w:b/>
        </w:rPr>
        <w:t xml:space="preserve">Ergebnis: </w:t>
      </w:r>
      <w:r>
        <w:t>Bei Patienten mit Claims-definierter Zirrhose zeigte hohe Therapietreue eine 34 % niedrigere HCC-Inzidenz als geringe Treue (32,92 vs. 49,59 pro 1000 Personenjahre; IR-Ratio 0,66; 95%-KI 0,57–0,78), in multivariaten Cox-Regressionen bestätigt (HR 0,77; 95%-KI 0,66–0,90).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nationales Versicherungssystem vergleichbar mit Deutschland</w:t>
      </w:r>
    </w:p>
    <w:p>
      <w:r>
        <w:rPr>
          <w:color w:val="5A7D3A"/>
          <w:sz w:val="18"/>
        </w:rPr>
        <w:t>https://pubmed.ncbi.nlm.nih.gov/42803662/</w:t>
      </w:r>
    </w:p>
    <w:p>
      <w:pPr>
        <w:pStyle w:val="Heading2"/>
      </w:pPr>
      <w:r>
        <w:t>Automatische Peritonealdialyse senkt Restfunktion schneller als CAPD</w:t>
      </w:r>
    </w:p>
    <w:p>
      <w:r>
        <w:rPr>
          <w:i/>
          <w:color w:val="666666"/>
          <w:sz w:val="18"/>
        </w:rPr>
        <w:t>Sun L et al.  ·  Ren Fail  ·  27.09.2026  ·  PMID 42802590</w:t>
      </w:r>
    </w:p>
    <w:p>
      <w:r>
        <w:t>Retrospektive chinesische Kohortenstudie zu Nierenrestfunktion (RKF) bei Peritonealdialyse-Patienten mit Neudiagnose ESKD, vergleichend nach Modalität (APD vs. CAPD).</w:t>
      </w:r>
    </w:p>
    <w:p>
      <w:r>
        <w:rPr>
          <w:b/>
        </w:rPr>
        <w:t xml:space="preserve">Ergebnis: </w:t>
      </w:r>
      <w:r>
        <w:t>Nach 6 Monaten Peritonealdialyse zeigte die APD-Gruppe signifikant niedrigere RKF (1,9±1,6 vs. 3,0±1,7 mL/min/1,73 m²; p=0,043) und schnelleren mittleren RKF-Rückgang (−6,6±2,5 vs. −4,3±2,3 mL/min/1,73 m²/Jahr; p=0,002). In multivariater Regression war APD unabhängig mit beschleunigtem RKF-Rückgang assoziiert (β=0,93; p=0,004).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Nierenersatzverfahren und Organschutz universal relevant</w:t>
      </w:r>
    </w:p>
    <w:p>
      <w:r>
        <w:rPr>
          <w:color w:val="5A7D3A"/>
          <w:sz w:val="18"/>
        </w:rPr>
        <w:t>https://pubmed.ncbi.nlm.nih.gov/42802590/</w:t>
      </w:r>
    </w:p>
    <w:p>
      <w:pPr>
        <w:pStyle w:val="Heading2"/>
      </w:pPr>
      <w:r>
        <w:t>Direkt-wirkende Antivirale sind sicher bei Hepatitis-C-Patienten mit Hypertonie</w:t>
      </w:r>
    </w:p>
    <w:p>
      <w:r>
        <w:rPr>
          <w:i/>
          <w:color w:val="666666"/>
          <w:sz w:val="18"/>
        </w:rPr>
        <w:t>Brzdęk M et al.  ·  Viruses  ·  12.07.2026  ·  PMID 42515615</w:t>
      </w:r>
    </w:p>
    <w:p>
      <w:r>
        <w:t>Retrospektive Kohortenstudie von 2015–2023 aus Polen zu Sicherheit und Wirksamkeit direkt-wirkender Antiviraler (DAA) bei HCV-infizierten Patienten mit arterieller Hypertonie.</w:t>
      </w:r>
    </w:p>
    <w:p>
      <w:r>
        <w:rPr>
          <w:b/>
        </w:rPr>
        <w:t xml:space="preserve">Ergebnis: </w:t>
      </w:r>
      <w:r>
        <w:t>Von 18.968 DAA-behandelten HCV-Patienten hatten 5.976 Hypertonie. Anhaltendes virologisches Ansprechen (SVR) war hoch und vergleichbar zwischen Hypertonie- und Nicht-Hypertonie-Gruppe (94,8 % vs. 94,2 % ITT-Analyse, 97,6 % vs. 97,6 % per-Protokoll). Hypertonie war nicht unabhängig mit Therapieversagen assoziiert (OR 0,87; 95%-KI 0,69–1,10).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Struktur und Kostenträgermodell europäisch vergleichbar</w:t>
      </w:r>
    </w:p>
    <w:p>
      <w:r>
        <w:rPr>
          <w:color w:val="5A7D3A"/>
          <w:sz w:val="18"/>
        </w:rPr>
        <w:t>https://pubmed.ncbi.nlm.nih.gov/42515615/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