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03.10.2026  |  7 Studien  |  ncd.m-vf.de</w:t>
      </w:r>
    </w:p>
    <w:p>
      <w:pPr>
        <w:pStyle w:val="Heading1"/>
      </w:pPr>
      <w:r>
        <w:t>Aufgenommen am 03.10.2026</w:t>
      </w:r>
    </w:p>
    <w:p>
      <w:pPr>
        <w:pStyle w:val="Heading2"/>
      </w:pPr>
      <w:r>
        <w:t>Depression senkte das Risiko für Mehrfacherkrankung: Remission assoziiert mit niedrigerem Kardiometabolen-Risiko</w:t>
      </w:r>
    </w:p>
    <w:p>
      <w:r>
        <w:rPr>
          <w:i/>
          <w:color w:val="666666"/>
          <w:sz w:val="18"/>
        </w:rPr>
        <w:t>Yao M et al.  ·  J Glob Health  ·  02.10.2026  ·  PMID 42825401</w:t>
      </w:r>
    </w:p>
    <w:p>
      <w:r>
        <w:t>Prospektive Kohortenstudie mit 51.416 Teilnehmern aus China, USA und Europa untersuchte, ob langfristige depressive Belastung (gemessen durch Verlauf und kumulative Scores) mit neuaufgetretener Mehrfacherkrankung (Herz-Kreislauf und Diabetes) assoziiert ist.</w:t>
      </w:r>
    </w:p>
    <w:p>
      <w:r>
        <w:rPr>
          <w:b/>
        </w:rPr>
        <w:t xml:space="preserve">Ergebnis: </w:t>
      </w:r>
      <w:r>
        <w:t>Depressionsfortschritt erhöhte CMM-Risiko: China HR 1,47 (95%-CI 1,00–2,17), USA HR 1,33 (1,01–1,74), Europa HR 1,46 (1,26–1,69). Depressionsremission reduzierte Risiko: China HR 0,56 (0,36–0,87), Europa HR 0,76 (0,63–0,92). Frauen stärker betroffen in USA und Europa.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 mit vergleichbarem Design; deutsches System ohne direkte Abbildung, aber Mehrfacherkrankungen-Prävention zentral für DMPs</w:t>
      </w:r>
    </w:p>
    <w:p>
      <w:r>
        <w:rPr>
          <w:color w:val="5A7D3A"/>
          <w:sz w:val="18"/>
        </w:rPr>
        <w:t>https://pubmed.ncbi.nlm.nih.gov/42825401/</w:t>
      </w:r>
    </w:p>
    <w:p>
      <w:pPr>
        <w:pStyle w:val="Heading2"/>
      </w:pPr>
      <w:r>
        <w:t>Peer-Support-Programme für chronische Nierenerkrankung: Systemische Unterstützung und Engagement zentral</w:t>
      </w:r>
    </w:p>
    <w:p>
      <w:r>
        <w:rPr>
          <w:i/>
          <w:color w:val="666666"/>
          <w:sz w:val="18"/>
        </w:rPr>
        <w:t>Faravan A et al.  ·  J Ren Care  ·  Dez. 2026  ·  PMID 42820648</w:t>
      </w:r>
    </w:p>
    <w:p>
      <w:r>
        <w:t>Qualitative Metasynthese von 15 Studien zu Facilitators von Peer-Support-Programmen für Patienten mit chronischer Nierenerkrankung.</w:t>
      </w:r>
    </w:p>
    <w:p>
      <w:r>
        <w:rPr>
          <w:b/>
        </w:rPr>
        <w:t xml:space="preserve">Ergebnis: </w:t>
      </w:r>
      <w:r>
        <w:t>Drei Hauptfacilitators identifiziert: (1) supportive Organisationskultur im Gesundheitssystem, (2) tiefe peer-Verbindungen und gutes rapport, (3) engagierte und motivierte Peer-Supporter und -Empfänger. Erfolgreiche Programme erfordern Interaktion zwischen organisationaler Unterstützung, sinnvoller Peer-Beziehung und aktiver Partizipation.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europäische und englischsprachige Studien; Peer-Support-Ansätze in Deutschland (Selbsthilfe, DMP-Strukturen) unmittelbar anwendbar</w:t>
      </w:r>
    </w:p>
    <w:p>
      <w:r>
        <w:rPr>
          <w:color w:val="5A7D3A"/>
          <w:sz w:val="18"/>
        </w:rPr>
        <w:t>https://pubmed.ncbi.nlm.nih.gov/42820648/</w:t>
      </w:r>
    </w:p>
    <w:p>
      <w:pPr>
        <w:pStyle w:val="Heading2"/>
      </w:pPr>
      <w:r>
        <w:t>GLP-1-Rezeptor-Agonisten schützen die Niere bei chronischer Nierenerkrankung und Diabetes</w:t>
      </w:r>
    </w:p>
    <w:p>
      <w:r>
        <w:rPr>
          <w:i/>
          <w:color w:val="666666"/>
          <w:sz w:val="18"/>
        </w:rPr>
        <w:t>Boeckhaus J et al.  ·  Clin Sci (Lond)  ·  14.10.2026  ·  PMID 42820470</w:t>
      </w:r>
    </w:p>
    <w:p>
      <w:r>
        <w:t>Übersichtsarbeit zur Evidenz für Nephroprotektivität von GLP-1 Agonisten bei Patienten mit Typ-2-Diabetes und chronischer Nierenerkrankung jenseits von Glukosekontrolle.</w:t>
      </w:r>
    </w:p>
    <w:p>
      <w:r>
        <w:rPr>
          <w:b/>
        </w:rPr>
        <w:t xml:space="preserve">Ergebnis: </w:t>
      </w:r>
      <w:r>
        <w:t>GLP-1-RA reduzieren eGFR-Abfall, albuminurie und kardiovaskuläre Ereignisse durch anti-inflammatorische und anti-fibrotische Mechanismen. Effekte teilweise unabhängig von Gewichtsreduktion. Sicherheitsprofil vergleichbar mit Standard; potenzielle neue Indikation auch ohne Diabetes bei CKD.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Wirkmechanismus-Review ohne Versorgungsdaten; Evidenz aus RCTs übertragbar auf deutsches System</w:t>
      </w:r>
    </w:p>
    <w:p>
      <w:r>
        <w:rPr>
          <w:color w:val="5A7D3A"/>
          <w:sz w:val="18"/>
        </w:rPr>
        <w:t>https://pubmed.ncbi.nlm.nih.gov/42820470/</w:t>
      </w:r>
    </w:p>
    <w:p>
      <w:pPr>
        <w:pStyle w:val="Heading2"/>
      </w:pPr>
      <w:r>
        <w:t>Actualisiertes WHO-Modul für Mundgesundheit in Überwachungssystemen für nicht übertragbare Erkrankungen</w:t>
      </w:r>
    </w:p>
    <w:p>
      <w:r>
        <w:rPr>
          <w:i/>
          <w:color w:val="666666"/>
          <w:sz w:val="18"/>
        </w:rPr>
        <w:t>Rendell N et al.  ·  Bull World Health Organ  ·  01.10.2026  ·  PMID 42820175</w:t>
      </w:r>
    </w:p>
    <w:p>
      <w:r>
        <w:t>WHO präsentiert überarbeitetes Modul für STEPS-Surveillance (Überwachung von Risikofaktoren) mit klinischer Untersuchungskomponente für Mundgesundheit, die von geschultem Nicht-Zahnarzt-Personal durchführbar ist.</w:t>
      </w:r>
    </w:p>
    <w:p>
      <w:r>
        <w:rPr>
          <w:b/>
        </w:rPr>
        <w:t xml:space="preserve">Ergebnis: </w:t>
      </w:r>
      <w:r>
        <w:t>Neues Modul integriert aktualisierte Selbstangaben und klinische Bewertung statt nur Wahrnehmungsangaben. Praktisch und skalierbar für Länder ohne zahnärztliche Kapazität, unterstützt Integration von Mundgesundheit in Strategien zur universellen Gesundheitsversorgung.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WHO-Standard für alle Länder; direkt auf deutsches RKI-Surveillance-System übertragbar</w:t>
      </w:r>
    </w:p>
    <w:p>
      <w:r>
        <w:rPr>
          <w:color w:val="5A7D3A"/>
          <w:sz w:val="18"/>
        </w:rPr>
        <w:t>https://pubmed.ncbi.nlm.nih.gov/42820175/</w:t>
      </w:r>
    </w:p>
    <w:p>
      <w:pPr>
        <w:pStyle w:val="Heading2"/>
      </w:pPr>
      <w:r>
        <w:t>Krankenhausinfektionen bei Kindern mit Sepsis zeigten höhere Sterblichkeit als ambulant erworbene Infektionen</w:t>
      </w:r>
    </w:p>
    <w:p>
      <w:r>
        <w:rPr>
          <w:i/>
          <w:color w:val="666666"/>
          <w:sz w:val="18"/>
        </w:rPr>
        <w:t>Ravichandran N et al.  ·  Eur J Pediatr  ·  19.09.2026  ·  PMID 42763313</w:t>
      </w:r>
    </w:p>
    <w:p>
      <w:r>
        <w:t>Retrospektive nationale Kohortenstudie zur Epidemiologie pädiatrischer Sepsis in Irland 2020–2025 mit Analyse von Krankheitsverlauf, Multimorbidität und Outcomes.</w:t>
      </w:r>
    </w:p>
    <w:p>
      <w:r>
        <w:rPr>
          <w:b/>
        </w:rPr>
        <w:t xml:space="preserve">Ergebnis: </w:t>
      </w:r>
      <w:r>
        <w:t>4.442 Sepsis-Aufnahmen: 30,7% nosokomial, 69,3% ambulant. Nosokomiale Sepsis: 84,0% Intensivaufnahmen vs. 32,3%, Sterblichkeit 7,6% vs. 1,8% (p&lt;0,001). Komorbidität assoziiert mit kritischem Verlauf (aOR neonatal 2,66; nicht-neonatal 4,88), aber schwere Verläufe auch ohne dokumentierte Komorbiditäten.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Klinikdaten; vergleichbar mit deutschem Krankenhausmanagementsystem für Infektionsprävention</w:t>
      </w:r>
    </w:p>
    <w:p>
      <w:r>
        <w:rPr>
          <w:color w:val="5A7D3A"/>
          <w:sz w:val="18"/>
        </w:rPr>
        <w:t>https://pubmed.ncbi.nlm.nih.gov/42763313/</w:t>
      </w:r>
    </w:p>
    <w:p>
      <w:pPr>
        <w:pStyle w:val="Heading2"/>
      </w:pPr>
      <w:r>
        <w:t>Sterblichkeitsüberwachung mit multiplen Todesursachen zur Verfolgung chronischer Erkrankungen in der COVID-19-Ära</w:t>
      </w:r>
    </w:p>
    <w:p>
      <w:r>
        <w:rPr>
          <w:i/>
          <w:color w:val="666666"/>
          <w:sz w:val="18"/>
        </w:rPr>
        <w:t>Jones J  ·  Ann Epidemiol  ·  15.09.2026  ·  PMID 42744417</w:t>
      </w:r>
    </w:p>
    <w:p>
      <w:r>
        <w:t>Educational Module zu Mortalitäts-Surveillance-Methoden, das sich auf einen bereits publizierten Artikel zur Nutzung von Mehrfach-Todesursachen-Daten konzentriert (Referenz: Durán et al., Ann Epidemiol 2026;113:23-29).</w:t>
      </w:r>
    </w:p>
    <w:p>
      <w:r>
        <w:rPr>
          <w:b/>
        </w:rPr>
        <w:t xml:space="preserve">Ergebnis: </w:t>
      </w:r>
      <w:r>
        <w:t>Modul demonstriert Nutzen von Mehrfach-Todesursachen-Kodierung zur Erfassung von Trends chronischer Erkrankungen; Fallbeispiel Schweiz COVID-19-Pandemie zeigt, wie Überwachungsmethoden Versorgungsmuster offenbaren.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 mit ähnlichem System wie Deutschland; Mortalitäts-Surveillance-Design direkt auf deutsches Todesbescheinigungssystem übertragbar</w:t>
      </w:r>
    </w:p>
    <w:p>
      <w:r>
        <w:rPr>
          <w:color w:val="5A7D3A"/>
          <w:sz w:val="18"/>
        </w:rPr>
        <w:t>https://pubmed.ncbi.nlm.nih.gov/42744417/</w:t>
      </w:r>
    </w:p>
    <w:p>
      <w:pPr>
        <w:pStyle w:val="Heading2"/>
      </w:pPr>
      <w:r>
        <w:t>COPD ist zu heterogen für Single-Trial-Zulassungen: Mehrfach-Studien-Evidenz erforderlich</w:t>
      </w:r>
    </w:p>
    <w:p>
      <w:r>
        <w:rPr>
          <w:i/>
          <w:color w:val="666666"/>
          <w:sz w:val="18"/>
        </w:rPr>
        <w:t>Cazzola M et al.  ·  Lung  ·  31.07.2026  ·  PMID 42536190</w:t>
      </w:r>
    </w:p>
    <w:p>
      <w:r>
        <w:t>Expertenpapier zur FDA-Proposal, einzelne RCTs als Standard für COPD-Medikamentenzulassung zu akzeptieren; erörtert Heterogenität, Effektgrößen und Generalisierbarkeit.</w:t>
      </w:r>
    </w:p>
    <w:p>
      <w:r>
        <w:rPr>
          <w:b/>
        </w:rPr>
        <w:t xml:space="preserve">Ergebnis: </w:t>
      </w:r>
      <w:r>
        <w:t>COPD zeigt variable Trajektorien, modest treatment effects, limitierte validierte Biomarker. Single RCTs risikieren Type-I-Fehler und begrenzte Übertragbarkeit durch restriktive Einschlusskriterien. Empfehlung: mindestens zwei unabhängige Studien bei CKD oder äquivalente Post-Marketing-Validierung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COPD-Versorgung international vergleichbar; Argument für robuste Evidenzstandards in allen Gesundheitssystemen relevant</w:t>
      </w:r>
    </w:p>
    <w:p>
      <w:r>
        <w:rPr>
          <w:color w:val="5A7D3A"/>
          <w:sz w:val="18"/>
        </w:rPr>
        <w:t>https://pubmed.ncbi.nlm.nih.gov/42536190/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2026-10-03T06:00:00Z</dcterms:created>
  <dcterms:modified xsi:type="dcterms:W3CDTF">2026-10-03T06:00:00Z</dcterms:modified>
  <cp:category/>
</cp:coreProperties>
</file>