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15.10.2026  |  6 Studien  |  ncd.m-vf.de</w:t>
      </w:r>
    </w:p>
    <w:p>
      <w:pPr>
        <w:pStyle w:val="Heading1"/>
      </w:pPr>
      <w:r>
        <w:t>Aufgenommen am 15.10.2026</w:t>
      </w:r>
    </w:p>
    <w:p>
      <w:pPr>
        <w:pStyle w:val="Heading2"/>
      </w:pPr>
      <w:r>
        <w:t>COPD-Leitlinie: Gestaffelte Therapie senkt Exazerbationen in der Praxis</w:t>
      </w:r>
    </w:p>
    <w:p>
      <w:r>
        <w:rPr>
          <w:i/>
          <w:color w:val="666666"/>
          <w:sz w:val="18"/>
        </w:rPr>
        <w:t>D'Urzo AD et al.  ·  Can Fam Physician  ·  Okt. 2026  ·  PMID 42875068</w:t>
      </w:r>
    </w:p>
    <w:p>
      <w:r>
        <w:t>Umsetzungsleitlinie für Hausärzte zur 2023-Empfehlung der Canadian Thoracic Society beschreibt, wie Bronchodilator-Monotherapie bei leichter, Dualtherapie bei moderater und Tripeltherapie bei schwerer stabiler COPD die Symptome reduziert und Exazerbationen verhindert.</w:t>
      </w:r>
    </w:p>
    <w:p>
      <w:r>
        <w:rPr>
          <w:b/>
        </w:rPr>
        <w:t xml:space="preserve">Ergebnis: </w:t>
      </w:r>
      <w:r>
        <w:t>Stratifizierte Pharmakotherapie nach Symptombelastung und Exazerbationsrisiko: Single long-acting bronchodilator für milde, dual long-acting bronchodilator für moderate und single-inhaler triple therapy für schwere COPD mit hochem Exazerbationsrisiko reduziert Mortalität. Richtlinie betont Therapietreue als Erfolgsfaktor für Überlebensvorteil.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 Primärversorgungsstruktur; direkt auf deutsche Disease-Management-Programme übertragbar</w:t>
      </w:r>
    </w:p>
    <w:p>
      <w:r>
        <w:rPr>
          <w:color w:val="5A7D3A"/>
          <w:sz w:val="18"/>
        </w:rPr>
        <w:t>https://pubmed.ncbi.nlm.nih.gov/42875068/</w:t>
      </w:r>
    </w:p>
    <w:p>
      <w:pPr>
        <w:pStyle w:val="Heading2"/>
      </w:pPr>
      <w:r>
        <w:t>Integriertes Care-Modell senkt Notaufnahmen bei High-Risk-COPD um 78 %</w:t>
      </w:r>
    </w:p>
    <w:p>
      <w:r>
        <w:rPr>
          <w:i/>
          <w:color w:val="666666"/>
          <w:sz w:val="18"/>
        </w:rPr>
        <w:t>Organista D et al.  ·  Acta Med Port  ·  01.10.2026  ·  PMID 42874036</w:t>
      </w:r>
    </w:p>
    <w:p>
      <w:r>
        <w:t>Portugiesische Vorher-nachher-Studie an 53 Hochrisiko-COPD-Patienten (LACE-Index &gt;9) evaluierte ein frühes, multidisziplinäres Versorgungsmodell mit ärztlicher, pflegerischer und sozialer Betreuung sowie hybrider Überwachung (vor Ort und remote).</w:t>
      </w:r>
    </w:p>
    <w:p>
      <w:r>
        <w:rPr>
          <w:b/>
        </w:rPr>
        <w:t xml:space="preserve">Ergebnis: </w:t>
      </w:r>
      <w:r>
        <w:t>Nach einem Jahr sanken mittlere Notaufnahmen von 3,09 auf 0,67 Besuche (−78 %, p&lt;0,001) und Hospitalisierungen von 1,39 auf 0,33 (−76 %, p&lt;0,001). Remote-Monitoring ermöglichte frühe klinische Interventionen; nur zwei Patienten mussten bei schwerem respiratorischen Versagen aufgenommen werden. Soziale Intervention half den meisten, häusliche Unterstützung zu 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ähnliche Sozialversicherungsstruktur; Koordination und Überwachungsmodelle auf deutsche integrierte Versorgung übertragbar</w:t>
      </w:r>
    </w:p>
    <w:p>
      <w:r>
        <w:rPr>
          <w:color w:val="5A7D3A"/>
          <w:sz w:val="18"/>
        </w:rPr>
        <w:t>https://pubmed.ncbi.nlm.nih.gov/42874036/</w:t>
      </w:r>
    </w:p>
    <w:p>
      <w:pPr>
        <w:pStyle w:val="Heading2"/>
      </w:pPr>
      <w:r>
        <w:t>Schwangerschaftskomplikationen erhöhen Risiko für Herz-Nieren-Erkrankungen</w:t>
      </w:r>
    </w:p>
    <w:p>
      <w:r>
        <w:rPr>
          <w:i/>
          <w:color w:val="666666"/>
          <w:sz w:val="18"/>
        </w:rPr>
        <w:t>Wambua S et al.  ·  BMJ Med  ·  06.10.2026  ·  PMID 42872422</w:t>
      </w:r>
    </w:p>
    <w:p>
      <w:r>
        <w:t>Longitudinale Kohortenstudie an 1,4 Millionen englischen Frauen untersuchte, wie Schwangerschaftskomplikationen das Risiko für kardiovaskuläre Erkrankungen, Typ-2-Diabetes, Hypertonie und chronische Nierenkrankheit in den Jahren nach der Schwangerschaft beeinflussen.</w:t>
      </w:r>
    </w:p>
    <w:p>
      <w:r>
        <w:rPr>
          <w:b/>
        </w:rPr>
        <w:t xml:space="preserve">Ergebnis: </w:t>
      </w:r>
      <w:r>
        <w:t>Gestationsdiabetes erhöhte das Typ-2-Diabetes-Risiko siebenfach (HR 7,0); Präeklampsie verdreifachte das Hypertonierisiko (HR 3,05) und verdoppelte das Nierenkrankheitsrisiko (HR 2,0). Postpartale Depression erhöhte alle vier Endpunkte um 35–56 % (HR 1,35–1,56). Diese Befunde unterstützen präventive Interventionen in der postpartalen Phase bei Frauen mit Schwangerschaftskomplikationen.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vergleichbares Gesundheitssystem; Daten aus Primärversorgungsdatenbank</w:t>
      </w:r>
    </w:p>
    <w:p>
      <w:r>
        <w:rPr>
          <w:color w:val="5A7D3A"/>
          <w:sz w:val="18"/>
        </w:rPr>
        <w:t>https://pubmed.ncbi.nlm.nih.gov/42872422/</w:t>
      </w:r>
    </w:p>
    <w:p>
      <w:pPr>
        <w:pStyle w:val="Heading2"/>
      </w:pPr>
      <w:r>
        <w:t>Chronische Urtikaria erleichtert Früherkennung, aber nicht Kontrolle von Herz-Kreislauf-Erkrankungen</w:t>
      </w:r>
    </w:p>
    <w:p>
      <w:r>
        <w:rPr>
          <w:i/>
          <w:color w:val="666666"/>
          <w:sz w:val="18"/>
        </w:rPr>
        <w:t>Yang ZH et al.  ·  Biomed Environ Sci  ·  20.09.2026  ·  PMID 42870596</w:t>
      </w:r>
    </w:p>
    <w:p>
      <w:r>
        <w:t>Chinesische nationale Querschnittsstudie an 118.036 Erwachsenen mit Herz-Kreislauf-Erkrankungen untersuchte Prävalenz, Risikofaktoren und Auswirkungen chronischer Urtikaria auf Bewusstsein, Behandlung und Kontrolle von Hypertonie, Diabetes und Dyslipidämie.</w:t>
      </w:r>
    </w:p>
    <w:p>
      <w:r>
        <w:rPr>
          <w:b/>
        </w:rPr>
        <w:t xml:space="preserve">Ergebnis: </w:t>
      </w:r>
      <w:r>
        <w:t>Urtikaria-Prävalenz: 2,90 %, höher bei Frauen (3,41 % vs. 2,56 %) und Landbevölkerung. Risikofaktoren: aktuelles Rauchen (OR 1,17), Schlafmangel &lt;5h (OR 1,79) und &gt;10h (OR 1,39). Patienten mit Urtikaria zeigten höhere CMD-Bewusstseinraten (Hypertonie 50,7 % vs. 40,3 %) und Behandlungsquoten (Hypertonie 41,4 % vs. 34,2 %), aber vergleichbare Kontrollraten. Urtikaria wirkt als Marker, verbessert aber nicht die Krankheitskontrolle.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Mehrfacherkrankung-Befunde aber unabhängig von Gesundheitssystem relevant</w:t>
      </w:r>
    </w:p>
    <w:p>
      <w:r>
        <w:rPr>
          <w:color w:val="5A7D3A"/>
          <w:sz w:val="18"/>
        </w:rPr>
        <w:t>https://pubmed.ncbi.nlm.nih.gov/42870596/</w:t>
      </w:r>
    </w:p>
    <w:p>
      <w:pPr>
        <w:pStyle w:val="Heading2"/>
      </w:pPr>
      <w:r>
        <w:t>Maresin-1-Profil markiert pädiatrische Nierenschädigung stadienabhängig</w:t>
      </w:r>
    </w:p>
    <w:p>
      <w:r>
        <w:rPr>
          <w:i/>
          <w:color w:val="666666"/>
          <w:sz w:val="18"/>
        </w:rPr>
        <w:t>Guler MA et al.  ·  BMC Nephrol  ·  28.09.2026  ·  PMID 42870244</w:t>
      </w:r>
    </w:p>
    <w:p>
      <w:r>
        <w:t>Türkische Querschnittsstudie an gesunden Kindern und Patienten mit CKD-Stadien 1–5 gemessen Serum-Maresin-1 (MaR1), ein pro-resolutives Lipidmediator-Biomarker, um dessen Rolle bei entzündlich-degenerativen Nierenprozessen zu charakterisieren.</w:t>
      </w:r>
    </w:p>
    <w:p>
      <w:r>
        <w:rPr>
          <w:b/>
        </w:rPr>
        <w:t xml:space="preserve">Ergebnis: </w:t>
      </w:r>
      <w:r>
        <w:t>Serum-MaR1-Konzentrationen zeigten stadienabhängiges Muster: Kontrollen 110,2 pg/mL, Stadium 1 CKD 20,0 pg/mL (deutlicher Abfall), dann progressive Erhöhung Stadium 2 (39,6), 3 (60,7), 4 (203,9), Stadium 5 (284,6 pg/mL). Markante Suppression in frühem Stadium gefolgt von progressiver Elevation in fortgeschrittenen Stadien deutet auf Biomarker-Potenzial hin, erfordert aber Validierung in Längsschnittstudien.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Türkei; diagnostischer Biomarker-Ansatz prinzipiell systemunabhängig</w:t>
      </w:r>
    </w:p>
    <w:p>
      <w:r>
        <w:rPr>
          <w:color w:val="5A7D3A"/>
          <w:sz w:val="18"/>
        </w:rPr>
        <w:t>https://pubmed.ncbi.nlm.nih.gov/42870244/</w:t>
      </w:r>
    </w:p>
    <w:p>
      <w:pPr>
        <w:pStyle w:val="Heading2"/>
      </w:pPr>
      <w:r>
        <w:t>Frühe Nierenkoordinator-Überweisung verhindert ungeplante Dialyseeinleitung</w:t>
      </w:r>
    </w:p>
    <w:p>
      <w:r>
        <w:rPr>
          <w:i/>
          <w:color w:val="666666"/>
          <w:sz w:val="18"/>
        </w:rPr>
        <w:t>Tiew HW et al.  ·  BMC Nephrol  ·  05.08.2026  ·  PMID 42870239</w:t>
      </w:r>
    </w:p>
    <w:p>
      <w:r>
        <w:t>Singapurer Kohortenstudie mit 282 Patienten im Stadium 5 CKD untersuchte, wie der Zeitpunkt der Überweisung zu einem Nierenkoordinator (bei verschiedenen eGFR-Schwellwerten) das Risiko für ungeplante Dialyseeinleitung beeinflusst.</w:t>
      </w:r>
    </w:p>
    <w:p>
      <w:r>
        <w:rPr>
          <w:b/>
        </w:rPr>
        <w:t xml:space="preserve">Ergebnis: </w:t>
      </w:r>
      <w:r>
        <w:t>Überweisung bei eGFR 9–14 mL/min/1,73m² war mit 55 % niedrigerem Risiko für ungeplante Dialyseeinleitung assoziiert (HR 0,45, 95%-KI 0,22–0,91) im Vergleich zu späteren Überweisungen. Ungeplante Einleitung war häufiger bei CKD Stage 5 als Stage 4 (78,8 % vs. 62,5 %). Frühzeitige Koordination ermöglichte ausreichend Zeit für Vorbereitung eines permanenten Zugangs.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Singapur, aber Case-Management-Prinzip auf deutsches Versorgungssystem und Hausarzt-Steuerung übertragbar</w:t>
      </w:r>
    </w:p>
    <w:p>
      <w:r>
        <w:rPr>
          <w:color w:val="5A7D3A"/>
          <w:sz w:val="18"/>
        </w:rPr>
        <w:t>https://pubmed.ncbi.nlm.nih.gov/42870239/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2026-10-15T06:00:00Z</dcterms:created>
  <dcterms:modified xsi:type="dcterms:W3CDTF">2026-10-15T06:00:00Z</dcterms:modified>
  <cp:category/>
</cp:coreProperties>
</file>