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Nicht uebertragbare Krankheiten</w:t>
      </w:r>
    </w:p>
    <w:p>
      <w:r>
        <w:rPr>
          <w:i/>
          <w:color w:val="666666"/>
          <w:sz w:val="18"/>
        </w:rPr>
        <w:t>Stand: 19.09.2026  |  7 Studien  |  ncd.m-vf.de</w:t>
      </w:r>
    </w:p>
    <w:p>
      <w:pPr>
        <w:pStyle w:val="Heading1"/>
      </w:pPr>
      <w:r>
        <w:t>Aufgenommen am 19.09.2026</w:t>
      </w:r>
    </w:p>
    <w:p>
      <w:pPr>
        <w:pStyle w:val="Heading2"/>
      </w:pPr>
      <w:r>
        <w:t>Nierentransplantation senkt Fünf-Jahres-Sterblichkeit bei älteren dialysepflichtigen Patienten</w:t>
      </w:r>
    </w:p>
    <w:p>
      <w:r>
        <w:rPr>
          <w:i/>
          <w:color w:val="666666"/>
          <w:sz w:val="18"/>
        </w:rPr>
        <w:t>Hellemans R et al.  ·  BMJ  ·  18.09.2026  ·  PMID 42759976</w:t>
      </w:r>
    </w:p>
    <w:p>
      <w:r>
        <w:t>Europäische Kohortenstudie zur Überlebensfähigkeit von Nieren-Nierentransplantation vs. fortlaufende Dialyse bei 39.244 transplantierten und 64.036 dialysepflichtigen Patienten mit Fokus auf Spenderqualität und Patientenalter.</w:t>
      </w:r>
    </w:p>
    <w:p>
      <w:r>
        <w:rPr>
          <w:b/>
        </w:rPr>
        <w:t xml:space="preserve">Ergebnis: </w:t>
      </w:r>
      <w:r>
        <w:t>Standardkriterium-Spendernieren zeigten unabhängig vom Alter konsistent bessere Fünf-Jahres-Überlebensraten als Dialyse. Expandierte Kriterium-Spendernieren (besonders nach zirkulatorischem Hirntod) zeigten mit zunehmendem Alter geringere Überlebensvorteile: Bei 75-Jährigen war die Fünf-Jahres-Überlebensrate mit expandiertem Spender/zirkulatorischem Hirntod (59%) nicht signifikant besser als mit Dialyse (55%, HR 0,97, 95%-KI 0,70–1,33) und zeigt dreifach erhöhte Frühmortalität.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Registerdaten, vergleichbare Gesundheitssysteme DACH und weitere</w:t>
      </w:r>
    </w:p>
    <w:p>
      <w:r>
        <w:rPr>
          <w:color w:val="5A7D3A"/>
          <w:sz w:val="18"/>
        </w:rPr>
        <w:t>https://pubmed.ncbi.nlm.nih.gov/42759976/</w:t>
      </w:r>
    </w:p>
    <w:p>
      <w:pPr>
        <w:pStyle w:val="Heading2"/>
      </w:pPr>
      <w:r>
        <w:t>Universeller DAA-Zugang in Frankreich hob Geschlechtsunterschiede in Hepatitis-C-Therapie auf</w:t>
      </w:r>
    </w:p>
    <w:p>
      <w:r>
        <w:rPr>
          <w:i/>
          <w:color w:val="666666"/>
          <w:sz w:val="18"/>
        </w:rPr>
        <w:t>Marcellin F et al.  ·  Liver Int  ·  Okt. 2026  ·  PMID 42757681</w:t>
      </w:r>
    </w:p>
    <w:p>
      <w:r>
        <w:t>Französische Kohorte mit 97.817 chronisch HCV-Infizierte vor und nach August 2017 (Universalzugang zu direktwirkenden Antiviralen) zur Analyse von Geschlechtsdisparitäten bei Therapieeinleitung.</w:t>
      </w:r>
    </w:p>
    <w:p>
      <w:r>
        <w:rPr>
          <w:b/>
        </w:rPr>
        <w:t xml:space="preserve">Ergebnis: </w:t>
      </w:r>
      <w:r>
        <w:t>Vor Universalzugang: Frauen hatten niedrigere DAA-Initiierungsrate (24,5 vs. 26,1/100 Personenjahre, p&lt;0,001). Nach Universalzugang (2017–2022): Frauen zeigten höhere Rate (22,3 vs. 18,5/100 PY, p&lt;0,001). Disparität umgekehrt – Effekt wurde in multivariablen Modellen bestätigt. Erklärung: Unterschiedliche Krankheitsprogression zwischen Männern und Frauen.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 Sozialversicherung, Versorgungspolitik-Lesson</w:t>
      </w:r>
    </w:p>
    <w:p>
      <w:r>
        <w:rPr>
          <w:color w:val="5A7D3A"/>
          <w:sz w:val="18"/>
        </w:rPr>
        <w:t>https://pubmed.ncbi.nlm.nih.gov/42757681/</w:t>
      </w:r>
    </w:p>
    <w:p>
      <w:pPr>
        <w:pStyle w:val="Heading2"/>
      </w:pPr>
      <w:r>
        <w:t>Insomnie bei COPD-Patienten korreliert mit schlechterer Gesundheit und mehr Exazerbationen</w:t>
      </w:r>
    </w:p>
    <w:p>
      <w:r>
        <w:rPr>
          <w:i/>
          <w:color w:val="666666"/>
          <w:sz w:val="18"/>
        </w:rPr>
        <w:t>Ais-Daza A et al.  ·  Chron Respir Dis  ·  18.09.2026  ·  PMID 42757587</w:t>
      </w:r>
    </w:p>
    <w:p>
      <w:r>
        <w:t>Querschnittstudie mit 103 COPD-Patienten (77 Männer, 26 Frauen) zur Prävalenz und Auswirkungen von Insomnie auf Gesundheitsstatus, Lungenfunktion, Angst/Depression und Exazerbationen.</w:t>
      </w:r>
    </w:p>
    <w:p>
      <w:r>
        <w:rPr>
          <w:b/>
        </w:rPr>
        <w:t xml:space="preserve">Ergebnis: </w:t>
      </w:r>
      <w:r>
        <w:t>Insomnien prävalent bei 38,8% (32,5% mild, 55,0% moderat, 12,5% schwer). Keine Unterschiede in Lungenfunktion, aber Insomnie-Patienten zeigten: schlechterer CAT-Score (19,13±8,63 vs. 11,32±8,13; p&lt;0,001), höhere Tagesmüdigkeit (5,23±3,10 vs. 3,84±2,31; p=0,011), mehr Angst (61,5% vs. 31,2%; OR 3,533) und mehr Exazerbationen (50% vs. 28,6%; OR 2,5; p=0,037). CAT-Score war unabhängiger Prädiktor (OR 1,083; 95%-KI 1,011–1,160; p=0,023).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Primärversorgung, übertragbar auf deutsches COPD-Management</w:t>
      </w:r>
    </w:p>
    <w:p>
      <w:r>
        <w:rPr>
          <w:color w:val="5A7D3A"/>
          <w:sz w:val="18"/>
        </w:rPr>
        <w:t>https://pubmed.ncbi.nlm.nih.gov/42757587/</w:t>
      </w:r>
    </w:p>
    <w:p>
      <w:pPr>
        <w:pStyle w:val="Heading2"/>
      </w:pPr>
      <w:r>
        <w:t>Hochfrequente Thoraxoszillation + Kurzwelle verbessert COPD-Exazerbationen mehr als Einzeltherapie</w:t>
      </w:r>
    </w:p>
    <w:p>
      <w:r>
        <w:rPr>
          <w:i/>
          <w:color w:val="666666"/>
          <w:sz w:val="18"/>
        </w:rPr>
        <w:t>Li Q et al.  ·  Can Respir J  ·  2026  ·  PMID 42757565</w:t>
      </w:r>
    </w:p>
    <w:p>
      <w:r>
        <w:t>Randomisierte kontrollierte Dreigruppen-Studie mit 89 COPD-Exazerbationspatienten zu Kombination von Kurzwellentherapie (SWD) mit hochfrequenter Thoraxoszillation (HFCWO) vs. HFCWO allein vs. Standardbehandlung über 72 Stunden.</w:t>
      </w:r>
    </w:p>
    <w:p>
      <w:r>
        <w:rPr>
          <w:b/>
        </w:rPr>
        <w:t xml:space="preserve">Ergebnis: </w:t>
      </w:r>
      <w:r>
        <w:t>Nach 72 h: Kombinierte Therapie zeigte signifikant größere Reduktion CAT- und BCSS-Scores vs. HFCWO allein und Kontrolle (p&lt;0,05). Arterielle Blutgaswerte (PaO₂, PaCO₂) und Sputumclearance (24h-Volumen, Neutrophilen- und Eosinophilen-%) waren in der Kombinationsgruppe besser. Keine signifikanten Unterschiede in Lungenfunktion (FEV₁, FVC) oder Entzündungsmarkern (IL-6, CRP, WBC). Thermotherapie als adjuvante Strategie wirksam.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China-Daten, aber Technik und Outcome-Parameter universell</w:t>
      </w:r>
    </w:p>
    <w:p>
      <w:r>
        <w:rPr>
          <w:color w:val="5A7D3A"/>
          <w:sz w:val="18"/>
        </w:rPr>
        <w:t>https://pubmed.ncbi.nlm.nih.gov/42757565/</w:t>
      </w:r>
    </w:p>
    <w:p>
      <w:pPr>
        <w:pStyle w:val="Heading2"/>
      </w:pPr>
      <w:r>
        <w:t>Chronisch Kranke brauchen maßgeschneiderte Betriebliche Gesundheitsförderung</w:t>
      </w:r>
    </w:p>
    <w:p>
      <w:r>
        <w:rPr>
          <w:i/>
          <w:color w:val="666666"/>
          <w:sz w:val="18"/>
        </w:rPr>
        <w:t>Schaller A et al.  ·  Front Public Health  ·  03.09.2026  ·  PMID 42756024</w:t>
      </w:r>
    </w:p>
    <w:p>
      <w:r>
        <w:t>Qualitative Interviewstudie mit 15 beschäftigten Patienten mit chronischen Erkrankungen zu ihren Bedürfnissen bezüglich bewegungsförderlicher betrieblicher Gesundheitsprogramme.</w:t>
      </w:r>
    </w:p>
    <w:p>
      <w:r>
        <w:rPr>
          <w:b/>
        </w:rPr>
        <w:t xml:space="preserve">Ergebnis: </w:t>
      </w:r>
      <w:r>
        <w:t>Vier Themenkomplexe identifiziert: Subjektives Gesundheitsverständnis, arbeitsplatzbedingte Herausforderungen (physisch und psychisch) mit Bewältigungsstrategien (Bewegung, Ernährung, soziales Umfeld, Entspannung), WHP-Erfahrungen und konkrete Wünsche. Zentrale Erkenntnis: BGF für chronisch Kranke muss mental, physisch und soziale Einschränkungen berücksichtigen und an arbeitsplatzspezifische Belastungen angepasst sein.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Bundeswehr-Universität München, direkt übertragbar</w:t>
      </w:r>
    </w:p>
    <w:p>
      <w:r>
        <w:rPr>
          <w:color w:val="5A7D3A"/>
          <w:sz w:val="18"/>
        </w:rPr>
        <w:t>https://pubmed.ncbi.nlm.nih.gov/42756024/</w:t>
      </w:r>
    </w:p>
    <w:p>
      <w:pPr>
        <w:pStyle w:val="Heading2"/>
      </w:pPr>
      <w:r>
        <w:t>Erhöhtes TSH und Schilddrüsenhormonresistenz erhöhen CKD-Risiko bei Diabetes</w:t>
      </w:r>
    </w:p>
    <w:p>
      <w:r>
        <w:rPr>
          <w:i/>
          <w:color w:val="666666"/>
          <w:sz w:val="18"/>
        </w:rPr>
        <w:t>Huang H et al.  ·  Ren Fail  ·  18.09.2026  ·  PMID 42755292</w:t>
      </w:r>
    </w:p>
    <w:p>
      <w:r>
        <w:t>Querschnittstudie bei 2.759 Patienten mit Typ-2-Diabetes ohne periphere Schilddrüsendysfunktion zur Assoziation zwischen zentraler Schilddrüsenhormonresistenz und chronischer Nierenerkrankung.</w:t>
      </w:r>
    </w:p>
    <w:p>
      <w:r>
        <w:rPr>
          <w:b/>
        </w:rPr>
        <w:t xml:space="preserve">Ergebnis: </w:t>
      </w:r>
      <w:r>
        <w:t>Erhöhtes TSH (oberstes Quartil) und erhöhte zentrale Schilddrüsenhormonresistenz (TFQI, TT4RI, TSHI) waren unabhängig mit erhöhtem CKD-Risiko assoziiert. TSH-Quartil 4: OR 1,50 (95%-KI 1,08–2,07). Nicht-lineare Assoziation nachgewiesen. Nach Propensity-Score-Matching (n=684 Paare): OR 1,66 (95%-KI 1,21–2,27). Leicht verfügbare Indizes könnten für Früh-Risikostratifikation nützlich sein.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China-Daten, aber Endokrinologie-Nierenpathologie universell gültig</w:t>
      </w:r>
    </w:p>
    <w:p>
      <w:r>
        <w:rPr>
          <w:color w:val="5A7D3A"/>
          <w:sz w:val="18"/>
        </w:rPr>
        <w:t>https://pubmed.ncbi.nlm.nih.gov/42755292/</w:t>
      </w:r>
    </w:p>
    <w:p>
      <w:pPr>
        <w:pStyle w:val="Heading2"/>
      </w:pPr>
      <w:r>
        <w:t>Zentralvenöse Katheter bei Dialyse über 80 Jahren erhöhen Sterblichkeit gegenüber arteriovenösen Fisteln um den Faktor 3</w:t>
      </w:r>
    </w:p>
    <w:p>
      <w:r>
        <w:rPr>
          <w:i/>
          <w:color w:val="666666"/>
          <w:sz w:val="18"/>
        </w:rPr>
        <w:t>Park JU et al.  ·  Korean J Intern Med  ·  01.09.2026  ·  PMID 42754529</w:t>
      </w:r>
    </w:p>
    <w:p>
      <w:r>
        <w:t>Koreanische nationale Kohortenstudie mit 79.286 Hämodialysepatienten (2012–2021) zur Mortalität nach Vascular-Access-Typ, stratifiziert nach Alter (inkl. Patienten über 80 Jahren).</w:t>
      </w:r>
    </w:p>
    <w:p>
      <w:r>
        <w:rPr>
          <w:b/>
        </w:rPr>
        <w:t xml:space="preserve">Ergebnis: </w:t>
      </w:r>
      <w:r>
        <w:t>Zentrale venöse Katheter (CVC) assoziiert mit höchster Mortalität. Vs. arteriovenöse Fistel (AVF): aHR 3,54 (95%-KI 3,43–3,65). Auch bei Patienten über 80 Jahren und über 90 Jahren erhöht (aHR 3,30; 95%-KI 3,14–3,47 bzw. 3,18; 95%-KI 2,65–3,82). CVC vs. Graft ebenfalls erhöhtes Risiko über alle Altersgruppen. Hohes Alter sollte keine Kontraindikation für AVF sein – individualisierte Entscheidungen erforderlich.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Südkorea, Routineversorgungsdaten, Altersdemographie vergleichbar</w:t>
      </w:r>
    </w:p>
    <w:p>
      <w:r>
        <w:rPr>
          <w:color w:val="5A7D3A"/>
          <w:sz w:val="18"/>
        </w:rPr>
        <w:t>https://pubmed.ncbi.nlm.nih.gov/42754529/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Nicht uebertragbare Krankheiten</dc:title>
  <dc:subject/>
  <dc:creator>Monitor Versorgungsforschung</dc:creator>
  <cp:keywords/>
  <dc:description>generated by python-docx</dc:description>
  <cp:lastModifiedBy/>
  <cp:revision>1</cp:revision>
  <dcterms:created xsi:type="dcterms:W3CDTF">2026-09-19T06:00:00Z</dcterms:created>
  <dcterms:modified xsi:type="dcterms:W3CDTF">2026-09-19T06:00:00Z</dcterms:modified>
  <cp:category/>
</cp:coreProperties>
</file>