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19.08.2026  |  7 Studien  |  ncd.m-vf.de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Hybrid-Versorgung für COPD-Patienten mit hohem Risiko: Pflegeleitung, Personalisierung und digitale Unterstützung zeigen Machbarkeit</w:t>
      </w:r>
    </w:p>
    <w:p>
      <w:r>
        <w:rPr>
          <w:i/>
          <w:color w:val="666666"/>
          <w:sz w:val="18"/>
        </w:rPr>
        <w:t>Gómez-López A et al.  ·  J Med Internet Res  ·  18.08.2026  ·  PMID 42612086</w:t>
      </w:r>
    </w:p>
    <w:p>
      <w:r>
        <w:t>Co-Design-Studie in Barcelona mit vier PDSA-Zyklen zur Operationalisierung einer Hybrid-Care-Intervention (Pflege vor Ort, Personalisierung, digitale Unterstützung) für Patienten mit COPD, Asthma und Bronchiektasen bei exazerbierter und stabiler Erkrankung.</w:t>
      </w:r>
    </w:p>
    <w:p>
      <w:r>
        <w:rPr>
          <w:b/>
        </w:rPr>
        <w:t xml:space="preserve">Ergebnis: </w:t>
      </w:r>
      <w:r>
        <w:t>Am Ende PDSA-3 (August 2025) wurde Operationalisierung dreier Kernkomponenten erreicht: (1) Nurse-Led-Versorgung vor Ort, (2) Personalisierung der Intervention, (3) fortgeschrittene digitale Unterstützung. Konsens unter allen Stakeholdern zu Anwendbarkeit im klinisch stabilen und exazerbiertem Zustand sowie zu kurzfristiger Implementierungs- und nachhaltiger Übernahmestrategie.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katalanisches Gesundheitssystem – Erkenntnisse zur Integration digitaler Tools in koordinierte Versorgung relevant</w:t>
      </w:r>
    </w:p>
    <w:p>
      <w:r>
        <w:rPr>
          <w:color w:val="5A7D3A"/>
          <w:sz w:val="18"/>
        </w:rPr>
        <w:t>https://pubmed.ncbi.nlm.nih.gov/42612086/</w:t>
      </w:r>
    </w:p>
    <w:p>
      <w:pPr>
        <w:pStyle w:val="Heading2"/>
      </w:pPr>
      <w:r>
        <w:t>Patienten mit eosinophiler COPD und Exazerbationen haben hohes Hospitalisierungs- und Kostenrisiko trotz Dreifachtherapie</w:t>
      </w:r>
    </w:p>
    <w:p>
      <w:r>
        <w:rPr>
          <w:i/>
          <w:color w:val="666666"/>
          <w:sz w:val="18"/>
        </w:rPr>
        <w:t>Di Giorgi N et al.  ·  Int J Chron Obstruct Pulmon Dis  ·  13.08.2026  ·  PMID 42609817</w:t>
      </w:r>
    </w:p>
    <w:p>
      <w:r>
        <w:t>Reale-Welt-Datenanalyse von 3.279 COPD-Patienten in einem italienischen Tertiärkrankenhaus zur Identifikation von Patienten mit erhöhten Eosinophilen, die für zielgerichtete biologische Therapien (Dupilumab) infrage kommen.</w:t>
      </w:r>
    </w:p>
    <w:p>
      <w:r>
        <w:rPr>
          <w:b/>
        </w:rPr>
        <w:t xml:space="preserve">Ergebnis: </w:t>
      </w:r>
      <w:r>
        <w:t>Unter 224 Patienten mit Exazerbationen unter Dreifachtherapie hatten 87 (38,8 %) mindestens eine Eosinophilenzahl ≥300 Zellen/µL (Median-Messwerte 210 [IQR 130–335] Zellen/µL). Patienten mit EOS ≥300 gegenüber &lt;300: höhere Krankenhausaufnahmen (23,0 % vs. 12,2 %; p=0,005), größere Komorbiditätslast (71,3 % kardiovaskulär, 59,8 % metabolisch), numerisch höhere Gesamtsterblichkeit (19,5 % vs. 13,0 %, nicht signifikant), mehr jährliche Kontakte (4,5 vs. 3,0;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europäisches Krankenversicherungssystem; Eosinophil-Monitoring zur Therapiesteuerung</w:t>
      </w:r>
    </w:p>
    <w:p>
      <w:r>
        <w:rPr>
          <w:color w:val="5A7D3A"/>
          <w:sz w:val="18"/>
        </w:rPr>
        <w:t>https://pubmed.ncbi.nlm.nih.gov/42609817/</w:t>
      </w:r>
    </w:p>
    <w:p>
      <w:pPr>
        <w:pStyle w:val="Heading2"/>
      </w:pPr>
      <w:r>
        <w:t>Strukturierte Transitionsversorgung erhöht Übergangsbereitschaft junger Erwachsener mit chronischen Erkrankungen (COCCOS-Protokoll)</w:t>
      </w:r>
    </w:p>
    <w:p>
      <w:r>
        <w:rPr>
          <w:i/>
          <w:color w:val="666666"/>
          <w:sz w:val="18"/>
        </w:rPr>
        <w:t>Van Wilder L et al.  ·  PLoS One  ·  17.08.2026  ·  PMID 42607051</w:t>
      </w:r>
    </w:p>
    <w:p>
      <w:r>
        <w:t>Protokoll einer quasi-experimentellen Studie zur Evaluation eines co-gestalteten Übergangsprogramms von Kindermedizin zu Erwachsenenmedizin bei Patienten mit Typ-1-Diabetes, Asthma oder Adipositas in Belgien.</w:t>
      </w:r>
    </w:p>
    <w:p>
      <w:r>
        <w:rPr>
          <w:b/>
        </w:rPr>
        <w:t xml:space="preserve">Ergebnis: </w:t>
      </w:r>
      <w:r>
        <w:t>Ziel ist Test von vier strukturierten Konsultationen über 13–16 Monate. Primäres Outcome: Transition Readiness Assessment Questionnaire. Sekundäroutcomes: Patient Empowerment, Therapietreue, gesundheitsbezogene Lebensqualität, psychische Gesundheit. Kosteneffektivität aus Payer-Perspektive mit Quality-Adjusted Life Years gemessen. Mixed-Methods-Prozessevaluationen geplant. Im Stadium PDSA-3 (August 2025); Ergebnisse erwartet 2027.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ähnliche Versicherungssysteme und Versorgungspfade wie deutschsprachiger Raum</w:t>
      </w:r>
    </w:p>
    <w:p>
      <w:r>
        <w:rPr>
          <w:color w:val="5A7D3A"/>
          <w:sz w:val="18"/>
        </w:rPr>
        <w:t>https://pubmed.ncbi.nlm.nih.gov/42607051/</w:t>
      </w:r>
    </w:p>
    <w:p>
      <w:pPr>
        <w:pStyle w:val="Heading2"/>
      </w:pPr>
      <w:r>
        <w:t>Mehrfacherkrankung im Alter erhöht Gesamt-Versorgungsausgaben um 11,6 %; sozioökonomische Ungleichheiten verstärken den Effekt</w:t>
      </w:r>
    </w:p>
    <w:p>
      <w:r>
        <w:rPr>
          <w:i/>
          <w:color w:val="666666"/>
          <w:sz w:val="18"/>
        </w:rPr>
        <w:t>Doheny M et al.  ·  BMJ Open  ·  14.08.2026  ·  PMID 42601104</w:t>
      </w:r>
    </w:p>
    <w:p>
      <w:r>
        <w:t>Querschnittsuntersuchung von 371.583 Personen ≥65 Jahre in Region Stockholm zur Prävalenz und Kostenfolgen von Mehrfacherkrankung.</w:t>
      </w:r>
    </w:p>
    <w:p>
      <w:r>
        <w:rPr>
          <w:b/>
        </w:rPr>
        <w:t xml:space="preserve">Ergebnis: </w:t>
      </w:r>
      <w:r>
        <w:t>Mehrfacherkrankung bei 62,6 % der älteren Erwachsenen. Mit ≥4 Erkrankungen stiegen die Durchschnittsausgaben auf 143.063 SEK (gegenüber 34.346 SEK ohne Erkrankung). Multimorbidität assoziiert mit 11,6 % höheren Gesamtausgaben (Cost Ratio 1,116, KI 1,114–1,118). Tiefste Einkommensgruppe zeigte 3,8 % höhere Ausgaben als höchste Gruppe. Soziale Pflegeausgaben überstiegen ab Alter 80 Jahren die Gesundheitsausgaben.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öffentliches Versicherungssystem und Dokumentation wie Deutschland</w:t>
      </w:r>
    </w:p>
    <w:p>
      <w:r>
        <w:rPr>
          <w:color w:val="5A7D3A"/>
          <w:sz w:val="18"/>
        </w:rPr>
        <w:t>https://pubmed.ncbi.nlm.nih.gov/42601104/</w:t>
      </w:r>
    </w:p>
    <w:p>
      <w:pPr>
        <w:pStyle w:val="Heading2"/>
      </w:pPr>
      <w:r>
        <w:t>Pertussis-Hospitalisierungen bei chronischen Erkrankungen: Hochrisiko-Gruppen und Präventionsbedarf in Frankreich</w:t>
      </w:r>
    </w:p>
    <w:p>
      <w:r>
        <w:rPr>
          <w:i/>
          <w:color w:val="666666"/>
          <w:sz w:val="18"/>
        </w:rPr>
        <w:t>Vargas-Zambrano JC et al.  ·  Euro Surveill  ·  Aug. 2026  ·  PMID 42596896</w:t>
      </w:r>
    </w:p>
    <w:p>
      <w:r>
        <w:t>Retrospektive Analyse von 10.893 Patienten mit Keuchhusten-Hospitalisierungen 2008–2020 in Frankreich nach Präsenz chronischer Grunderkrankungen (Asthma, COPD, Diabetes, Immunsuppression).</w:t>
      </w:r>
    </w:p>
    <w:p>
      <w:r>
        <w:rPr>
          <w:b/>
        </w:rPr>
        <w:t xml:space="preserve">Ergebnis: </w:t>
      </w:r>
      <w:r>
        <w:t>Bei Kindern/Jugendlichen (n=7.212): 17,5 % mit Asthma, 0,9 % mit Immunsuppression. Höchste kumulierte Inzidenzrate bei Immunsuppression (adjustiert CIR 3,6; KI 2,8–4,6). Bei Erwachsenen (n=3.681): 62,4 % mit Asthma/COPD, 16,1 % immunsupprimiert, 12,3 % mit Diabetes. Höchste CIR bei Asthma/COPD (18,6; KI 17,4–19,9). Medianhosp.-kosten für Immunsupprimierte 4.401 EUR. Keine signifikanten Änderungen der Ressourcennutzung vor/nach Hospitalisierung bei Erwachsenen.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französisches Gesundheitssystem und Krankenversicherungsdaten wie Deutschland</w:t>
      </w:r>
    </w:p>
    <w:p>
      <w:r>
        <w:rPr>
          <w:color w:val="5A7D3A"/>
          <w:sz w:val="18"/>
        </w:rPr>
        <w:t>https://pubmed.ncbi.nlm.nih.gov/42596896/</w:t>
      </w:r>
    </w:p>
    <w:p>
      <w:pPr>
        <w:pStyle w:val="Heading2"/>
      </w:pPr>
      <w:r>
        <w:t>Verzögerte Palliativversorgung in Primärversorgung treibt vermeidbare Notfallabteilungsbesuche bei älteren Menschen mit Mehrfacherkrankung</w:t>
      </w:r>
    </w:p>
    <w:p>
      <w:r>
        <w:rPr>
          <w:i/>
          <w:color w:val="666666"/>
          <w:sz w:val="18"/>
        </w:rPr>
        <w:t>Bring H et al.  ·  Scand J Prim Health Care  ·  12.08.2026  ·  PMID 42583708</w:t>
      </w:r>
    </w:p>
    <w:p>
      <w:r>
        <w:t>Qualitative Befragung von 100 Fachleuten (Ärzte, Pflegekräfte) über Gründe für Notfallabteilungsbesuche bei älteren Patienten mit Mehrfacherkrankung und Palliativbedarf in Stockholm.</w:t>
      </w:r>
    </w:p>
    <w:p>
      <w:r>
        <w:rPr>
          <w:b/>
        </w:rPr>
        <w:t xml:space="preserve">Ergebnis: </w:t>
      </w:r>
      <w:r>
        <w:t>Übergeordnetes Thema: ‚Verzögerte, fragmentierte Palliativversorgung trägt zu ED-Besuchen bei'. Zwei Kategorien identifiziert: (1) Palliativbeschlüsse in Primärversorgung (Erkennen von Bedarf, Initiierung, Einbeziehung von Patienten/Familien); (2) Versorgung zu Hause (Planung, Symptommanagement, Informationstransfer). Fachleute berichteten, dass fehlende Vorlaufplanung zu krisenhaften ED-Besuchen führt, die Patientenwünschen widersprechen.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 Primärversorgungsstruktur und Palliativstandards mit Deutschland/DACH</w:t>
      </w:r>
    </w:p>
    <w:p>
      <w:r>
        <w:rPr>
          <w:color w:val="5A7D3A"/>
          <w:sz w:val="18"/>
        </w:rPr>
        <w:t>https://pubmed.ncbi.nlm.nih.gov/42583708/</w:t>
      </w:r>
    </w:p>
    <w:p>
      <w:pPr>
        <w:pStyle w:val="Heading2"/>
      </w:pPr>
      <w:r>
        <w:t>Polypharmazie konzentriert sich auf ältere, multimorbide und sozioökonomisch benachteiligte Personen – Versorgungsmuster in Spanien</w:t>
      </w:r>
    </w:p>
    <w:p>
      <w:r>
        <w:rPr>
          <w:i/>
          <w:color w:val="666666"/>
          <w:sz w:val="18"/>
        </w:rPr>
        <w:t>Aparicio-Rodriguez G et al.  ·  Front Public Health  ·  16.07.2026  ·  PMID 42535037</w:t>
      </w:r>
    </w:p>
    <w:p>
      <w:r>
        <w:t>Querschnittsstudie von 33.534 Personen mit Polypharmazie (≥5 verschiedene ATC4-Medikamentengruppen) in La Rioja, Spanien, zu Verteilung nach Alter, Geschlecht und sozioökonomischem Status.</w:t>
      </w:r>
    </w:p>
    <w:p>
      <w:r>
        <w:rPr>
          <w:b/>
        </w:rPr>
        <w:t xml:space="preserve">Ergebnis: </w:t>
      </w:r>
      <w:r>
        <w:t>Mittlere Medikamentenbelastung 7,07 Gruppen (SD 2,17); 58,4 % erhielten 6–9 Gruppen. 71,8 % gehörten zur unteren Einkommensgruppe, die höchsten Belastungen (≥10 Gruppen) zeigten 14,9 % der Armen gegen 8,0–9,2 % der mittleren und höheren Gruppen. Chronische Grunderkrankungen (Herzinsuffizienz, Nierenkrankheit, Gefäßerkrankung) stark assoziiert mit höherer Medikamentenbelastung.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deutschsprachiger Raum – Datenquellen aus öffentlich finanzierter Versorgung</w:t>
      </w:r>
    </w:p>
    <w:p>
      <w:r>
        <w:rPr>
          <w:color w:val="5A7D3A"/>
          <w:sz w:val="18"/>
        </w:rPr>
        <w:t>https://pubmed.ncbi.nlm.nih.gov/42535037/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2026-08-19T06:00:00Z</dcterms:created>
  <dcterms:modified xsi:type="dcterms:W3CDTF">2026-08-19T06:00:00Z</dcterms:modified>
  <cp:category/>
</cp:coreProperties>
</file>