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26.10.2026  |  6 Studien  |  ncd.m-vf.de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Lipidkontrolle senkt Mortalität bei älteren Diabetikern mit Nierenerkrankung stärker als Glykämie</w:t>
      </w:r>
    </w:p>
    <w:p>
      <w:r>
        <w:rPr>
          <w:i/>
          <w:color w:val="666666"/>
          <w:sz w:val="18"/>
        </w:rPr>
        <w:t>Wang X et al.  ·  Clin Interv Aging  ·  20.10.2026  ·  PMID 42927069</w:t>
      </w:r>
    </w:p>
    <w:p>
      <w:r>
        <w:t>Retrospektive Kohortenstudie an 2005 älteren (≥65 J.) und 5973 jüngeren (&lt;65 J.) mit Typ-2-Diabetes und CKD: Assoziation zwischen Zeit im therapeutischen Bereich (TTR) für LDL-C und HbA1c und Gesamtmortalität.</w:t>
      </w:r>
    </w:p>
    <w:p>
      <w:r>
        <w:rPr>
          <w:b/>
        </w:rPr>
        <w:t xml:space="preserve">Ergebnis: </w:t>
      </w:r>
      <w:r>
        <w:t>Bei älteren Erwachsenen: LDL-TTR pro 10-%-Anstieg mit niedrigerer Mortalität assoziiert (HR 0,934; p=0,003), HbA1c-TTR nicht (HR 0,983; p=0,459). Signifikante Interaktion zwischen HbA1c-TTR × LDL-TTR (HR 1,016; p=0,006). Bei jüngeren signifikant beide Effekte, Interaktion nicht. Lipidkontrolle offenbar bei älteren Mehrfacherkrankten prioritär.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Mehrfacherkrankung und Altersaspekt universal, aber Sensitivitätsanalysen zeigen Instabilität</w:t>
      </w:r>
    </w:p>
    <w:p>
      <w:r>
        <w:rPr>
          <w:color w:val="5A7D3A"/>
          <w:sz w:val="18"/>
        </w:rPr>
        <w:t>https://pubmed.ncbi.nlm.nih.gov/42927069/</w:t>
      </w:r>
    </w:p>
    <w:p>
      <w:pPr>
        <w:pStyle w:val="Heading2"/>
      </w:pPr>
      <w:r>
        <w:t>Soziale Isolation bei COPD erhöht Exazerbations- und Mortalitätsrisiko um 32–75 %</w:t>
      </w:r>
    </w:p>
    <w:p>
      <w:r>
        <w:rPr>
          <w:i/>
          <w:color w:val="666666"/>
          <w:sz w:val="18"/>
        </w:rPr>
        <w:t>Liu C et al.  ·  J Glob Health  ·  23.10.2026  ·  PMID 42924627</w:t>
      </w:r>
    </w:p>
    <w:p>
      <w:r>
        <w:t>Longitudinale Kohortenstudie an 3679 COPD-Patienten in China zur Identifikation von Faktoren für Aktivitätseinschränkung und deren Folgen.</w:t>
      </w:r>
    </w:p>
    <w:p>
      <w:r>
        <w:rPr>
          <w:b/>
        </w:rPr>
        <w:t xml:space="preserve">Ergebnis: </w:t>
      </w:r>
      <w:r>
        <w:t>11,3 % der Patienten hatten eingeschränkte soziale Aktivitäten. Diese waren unabhängig mit erhöhtem Risiko für akute Exazerbation assoziiert (aOR 1,32; 95%-KI 1,10–1,58; p=0,003), schwere Exazerbation (aOR 1,30; 95%-KI 1,01–1,66; p=0,038) und Mortalität (HR 1,75; 95%-KI 1,30–2,36; p&lt;0,001). Soziale Isolation sollte routinemäßig als Marker für erhöhtes Exazerbationsrisiko erfasst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epidemiologische Struktur, Outcome-Messung unabhängig von Gesundheitssystem</w:t>
      </w:r>
    </w:p>
    <w:p>
      <w:r>
        <w:rPr>
          <w:color w:val="5A7D3A"/>
          <w:sz w:val="18"/>
        </w:rPr>
        <w:t>https://pubmed.ncbi.nlm.nih.gov/42924627/</w:t>
      </w:r>
    </w:p>
    <w:p>
      <w:pPr>
        <w:pStyle w:val="Heading2"/>
      </w:pPr>
      <w:r>
        <w:t>DXA-gestützte Mehrfacherkrankungsrisiken bei Lehrkräften – Ressourcenungleichheit und Versorgungsbedarf</w:t>
      </w:r>
    </w:p>
    <w:p>
      <w:r>
        <w:rPr>
          <w:i/>
          <w:color w:val="666666"/>
          <w:sz w:val="18"/>
        </w:rPr>
        <w:t>Joubert N et al.  ·  Front Public Health  ·  09.10.2026  ·  PMID 42920728</w:t>
      </w:r>
    </w:p>
    <w:p>
      <w:r>
        <w:t>Querschnittstudie an 136 Lehrkräften in unter-versorgten südafrikanischen Schulen mit DXA-Messung zu Körperzusammensetzung, Metabolischem Syndrom und Mehrfacherkrankungsrisiken.</w:t>
      </w:r>
    </w:p>
    <w:p>
      <w:r>
        <w:rPr>
          <w:b/>
        </w:rPr>
        <w:t xml:space="preserve">Ergebnis: </w:t>
      </w:r>
      <w:r>
        <w:t>Fettmasse-Risiko 91,8 %, Knochenmasse-Risiko 29,9 %, Muskelmasse-Risiko 15,7 %. Metabolisches Syndrom in 53 %. Häufigster kombinierter Phänotyp Knochen-Fett-Risiko (27,6 %), 6 % mit allen drei Risiken. Mehrfacherkrankung stark mit ungünstigen Metaboliten assoziiert. Bevölkerungsstrategie erforderlich: Screening, bewegungsorientierte Prävention, strukturelle Equity.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aber Mehrfacherkrankung und Ressourcenungleichheit sind globale Versorgungsprobleme</w:t>
      </w:r>
    </w:p>
    <w:p>
      <w:r>
        <w:rPr>
          <w:color w:val="5A7D3A"/>
          <w:sz w:val="18"/>
        </w:rPr>
        <w:t>https://pubmed.ncbi.nlm.nih.gov/42920728/</w:t>
      </w:r>
    </w:p>
    <w:p>
      <w:pPr>
        <w:pStyle w:val="Heading2"/>
      </w:pPr>
      <w:r>
        <w:t>Digitale Studien mit älteren Mehrfacherkrankten: Barrieren und Lösungsstrategien</w:t>
      </w:r>
    </w:p>
    <w:p>
      <w:r>
        <w:rPr>
          <w:i/>
          <w:color w:val="666666"/>
          <w:sz w:val="18"/>
        </w:rPr>
        <w:t>Shepherd V et al.  ·  Trials  ·  27.07.2026  ·  PMID 42908027</w:t>
      </w:r>
    </w:p>
    <w:p>
      <w:r>
        <w:t>Eingebettete qualitative Studie zur Identifikation von Hürden beim Einschluss älterer Patienten mit Mehrfacherkrankung in digitale Versorgungsstudien und zur Entwicklung von Lösungen.</w:t>
      </w:r>
    </w:p>
    <w:p>
      <w:r>
        <w:rPr>
          <w:b/>
        </w:rPr>
        <w:t xml:space="preserve">Ergebnis: </w:t>
      </w:r>
      <w:r>
        <w:t>Kernbarrieren waren niedrige digitale Kompetenz, Misstrauen gegenüber digitalen Kommunikationen und Bedarf für menschliche Unterstützung (n=12 Mitarbeiter, n=25 Teilnehmer befragt). Wirksame Strategien: Telefonsupport, niedrigere Altersgrenze, patientenzentrierte Materialien. Schlussfolgerung: Hybrid-Ansätze (digital + persönlich) essentiell für ältere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UK-Gesundheitssystem, aber Mehrfacherkrankung und digitale Barrieren sind deutschland-relevant</w:t>
      </w:r>
    </w:p>
    <w:p>
      <w:r>
        <w:rPr>
          <w:color w:val="5A7D3A"/>
          <w:sz w:val="18"/>
        </w:rPr>
        <w:t>https://pubmed.ncbi.nlm.nih.gov/42908027/</w:t>
      </w:r>
    </w:p>
    <w:p>
      <w:pPr>
        <w:pStyle w:val="Heading2"/>
      </w:pPr>
      <w:r>
        <w:t>Patientenerfahrungsmessung in der Nephrologie validiert – Europäisches Instrument</w:t>
      </w:r>
    </w:p>
    <w:p>
      <w:r>
        <w:rPr>
          <w:i/>
          <w:color w:val="666666"/>
          <w:sz w:val="18"/>
        </w:rPr>
        <w:t>Moharra M et al.  ·  J Nephrol  ·  22.10.2026  ·  PMID 42762223</w:t>
      </w:r>
    </w:p>
    <w:p>
      <w:r>
        <w:t>Validierung eines Patient-Reported Experience Measure (Kidney PREM) in Spanisch und Katalanisch an 575 Patienten mit chronischer Nierenerkrankung zur Qualitätsmessung in der Nephrologie.</w:t>
      </w:r>
    </w:p>
    <w:p>
      <w:r>
        <w:rPr>
          <w:b/>
        </w:rPr>
        <w:t xml:space="preserve">Ergebnis: </w:t>
      </w:r>
      <w:r>
        <w:t>Interne Konsistenz hoch (Cronbachs α 0,93–0,94 für beide Sprachversionen). Bekanntheitsvalidität bestätigt. Comparative Fit Index 0,90, Tucker-Lewis Index 0,90 – akzeptable Modellpassung. Spanische Version ermöglicht standardisierte Messung von patientenbezogener Versorgungsqualität über Sprachgrenzen.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Spanien/Katalonien, Sozialversicherungssystem vergleichbar mit Deutschland, validiertes Messinstrument</w:t>
      </w:r>
    </w:p>
    <w:p>
      <w:r>
        <w:rPr>
          <w:color w:val="5A7D3A"/>
          <w:sz w:val="18"/>
        </w:rPr>
        <w:t>https://pubmed.ncbi.nlm.nih.gov/42762223/</w:t>
      </w:r>
    </w:p>
    <w:p>
      <w:pPr>
        <w:pStyle w:val="Heading2"/>
      </w:pPr>
      <w:r>
        <w:t>Sechs Phänotypen chronischer Lungenerkrankung identifiziert – externe Validierung</w:t>
      </w:r>
    </w:p>
    <w:p>
      <w:r>
        <w:rPr>
          <w:i/>
          <w:color w:val="666666"/>
          <w:sz w:val="18"/>
        </w:rPr>
        <w:t>Zhang J et al.  ·  Respir Med  ·  15.09.2026  ·  PMID 42744204</w:t>
      </w:r>
    </w:p>
    <w:p>
      <w:r>
        <w:t>Hypothesis-freie Clusteranalyse obstruktiver Lungenerkrankungen an 1473 US-Teilnehmern (Framingham) mit externer Validierung an 1080 Niederländern (Rotterdam).</w:t>
      </w:r>
    </w:p>
    <w:p>
      <w:r>
        <w:rPr>
          <w:b/>
        </w:rPr>
        <w:t xml:space="preserve">Ergebnis: </w:t>
      </w:r>
      <w:r>
        <w:t>Sechs klinisch interpretierbare Cluster: Cluster 1–3 mit erhaltener Lungenfunktion (unterschiedliche Symptomatik), Cluster 4 mild beeinträchtigt, Cluster 5 moderat beeinträchtigt (v.a. ältere Raucher), Cluster 6 schwer beeinträchtigt mit Dyspnoe und Adipositas. Mortalitätsrisiko in Cluster 4 und 6 erhöht. Phänotypen extern validiert.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USA/Niederlande, Spirometrie und Symptome sind universell vergleichbar, Phänotypisierung informiert Prognose</w:t>
      </w:r>
    </w:p>
    <w:p>
      <w:r>
        <w:rPr>
          <w:color w:val="5A7D3A"/>
          <w:sz w:val="18"/>
        </w:rPr>
        <w:t>https://pubmed.ncbi.nlm.nih.gov/42744204/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