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26.10.2026  |  389 Studien  |  ncd.m-vf.de</w:t>
      </w:r>
    </w:p>
    <w:p>
      <w:pPr>
        <w:pStyle w:val="Heading1"/>
      </w:pPr>
      <w:r>
        <w:t>Aufgenommen am 26.10.2026</w:t>
      </w:r>
    </w:p>
    <w:p>
      <w:pPr>
        <w:pStyle w:val="Heading2"/>
      </w:pPr>
      <w:r>
        <w:t>Lipidkontrolle senkt Mortalität bei älteren Diabetikern mit Nierenerkrankung stärker als Glykämie</w:t>
      </w:r>
    </w:p>
    <w:p>
      <w:r>
        <w:rPr>
          <w:i/>
          <w:color w:val="666666"/>
          <w:sz w:val="18"/>
        </w:rPr>
        <w:t>Wang X et al.  ·  Clin Interv Aging  ·  20.10.2026  ·  PMID 42927069</w:t>
      </w:r>
    </w:p>
    <w:p>
      <w:r>
        <w:t>Retrospektive Kohortenstudie an 2005 älteren (≥65 J.) und 5973 jüngeren (&lt;65 J.) mit Typ-2-Diabetes und CKD: Assoziation zwischen Zeit im therapeutischen Bereich (TTR) für LDL-C und HbA1c und Gesamtmortalität.</w:t>
      </w:r>
    </w:p>
    <w:p>
      <w:r>
        <w:rPr>
          <w:b/>
        </w:rPr>
        <w:t xml:space="preserve">Ergebnis: </w:t>
      </w:r>
      <w:r>
        <w:t>Bei älteren Erwachsenen: LDL-TTR pro 10-%-Anstieg mit niedrigerer Mortalität assoziiert (HR 0,934; p=0,003), HbA1c-TTR nicht (HR 0,983; p=0,459). Signifikante Interaktion zwischen HbA1c-TTR × LDL-TTR (HR 1,016; p=0,006). Bei jüngeren signifikant beide Effekte, Interaktion nicht. Lipidkontrolle offenbar bei älteren Mehrfacherkrankten prioritär.</w:t>
      </w:r>
    </w:p>
    <w:p>
      <w:r>
        <w:rPr>
          <w:b/>
          <w:sz w:val="19"/>
        </w:rPr>
        <w:t xml:space="preserve">Übertragbarkeit: </w:t>
      </w:r>
      <w:r>
        <w:rPr>
          <w:sz w:val="19"/>
        </w:rPr>
        <w:t>China, Mehrfacherkrankung und Altersaspekt universal, aber Sensitivitätsanalysen zeigen Instabilität</w:t>
      </w:r>
    </w:p>
    <w:p>
      <w:r>
        <w:rPr>
          <w:color w:val="5A7D3A"/>
          <w:sz w:val="18"/>
        </w:rPr>
        <w:t>https://pubmed.ncbi.nlm.nih.gov/42927069/</w:t>
      </w:r>
    </w:p>
    <w:p>
      <w:pPr>
        <w:pStyle w:val="Heading2"/>
      </w:pPr>
      <w:r>
        <w:t>Soziale Isolation bei COPD erhöht Exazerbations- und Mortalitätsrisiko um 32–75 %</w:t>
      </w:r>
    </w:p>
    <w:p>
      <w:r>
        <w:rPr>
          <w:i/>
          <w:color w:val="666666"/>
          <w:sz w:val="18"/>
        </w:rPr>
        <w:t>Liu C et al.  ·  J Glob Health  ·  23.10.2026  ·  PMID 42924627</w:t>
      </w:r>
    </w:p>
    <w:p>
      <w:r>
        <w:t>Longitudinale Kohortenstudie an 3679 COPD-Patienten in China zur Identifikation von Faktoren für Aktivitätseinschränkung und deren Folgen.</w:t>
      </w:r>
    </w:p>
    <w:p>
      <w:r>
        <w:rPr>
          <w:b/>
        </w:rPr>
        <w:t xml:space="preserve">Ergebnis: </w:t>
      </w:r>
      <w:r>
        <w:t>11,3 % der Patienten hatten eingeschränkte soziale Aktivitäten. Diese waren unabhängig mit erhöhtem Risiko für akute Exazerbation assoziiert (aOR 1,32; 95%-KI 1,10–1,58; p=0,003), schwere Exazerbation (aOR 1,30; 95%-KI 1,01–1,66; p=0,038) und Mortalität (HR 1,75; 95%-KI 1,30–2,36; p&lt;0,001). Soziale Isolation sollte routinemäßig als Marker für erhöhtes Exazerbationsrisiko erfasst werden.</w:t>
      </w:r>
    </w:p>
    <w:p>
      <w:r>
        <w:rPr>
          <w:b/>
          <w:sz w:val="19"/>
        </w:rPr>
        <w:t xml:space="preserve">Übertragbarkeit: </w:t>
      </w:r>
      <w:r>
        <w:rPr>
          <w:sz w:val="19"/>
        </w:rPr>
        <w:t>China, vergleichbare epidemiologische Struktur, Outcome-Messung unabhängig von Gesundheitssystem</w:t>
      </w:r>
    </w:p>
    <w:p>
      <w:r>
        <w:rPr>
          <w:color w:val="5A7D3A"/>
          <w:sz w:val="18"/>
        </w:rPr>
        <w:t>https://pubmed.ncbi.nlm.nih.gov/42924627/</w:t>
      </w:r>
    </w:p>
    <w:p>
      <w:pPr>
        <w:pStyle w:val="Heading2"/>
      </w:pPr>
      <w:r>
        <w:t>DXA-gestützte Mehrfacherkrankungsrisiken bei Lehrkräften – Ressourcenungleichheit und Versorgungsbedarf</w:t>
      </w:r>
    </w:p>
    <w:p>
      <w:r>
        <w:rPr>
          <w:i/>
          <w:color w:val="666666"/>
          <w:sz w:val="18"/>
        </w:rPr>
        <w:t>Joubert N et al.  ·  Front Public Health  ·  09.10.2026  ·  PMID 42920728</w:t>
      </w:r>
    </w:p>
    <w:p>
      <w:r>
        <w:t>Querschnittstudie an 136 Lehrkräften in unter-versorgten südafrikanischen Schulen mit DXA-Messung zu Körperzusammensetzung, Metabolischem Syndrom und Mehrfacherkrankungsrisiken.</w:t>
      </w:r>
    </w:p>
    <w:p>
      <w:r>
        <w:rPr>
          <w:b/>
        </w:rPr>
        <w:t xml:space="preserve">Ergebnis: </w:t>
      </w:r>
      <w:r>
        <w:t>Fettmasse-Risiko 91,8 %, Knochenmasse-Risiko 29,9 %, Muskelmasse-Risiko 15,7 %. Metabolisches Syndrom in 53 %. Häufigster kombinierter Phänotyp Knochen-Fett-Risiko (27,6 %), 6 % mit allen drei Risiken. Mehrfacherkrankung stark mit ungünstigen Metaboliten assoziiert. Bevölkerungsstrategie erforderlich: Screening, bewegungsorientierte Prävention, strukturelle Equity.</w:t>
      </w:r>
    </w:p>
    <w:p>
      <w:r>
        <w:rPr>
          <w:b/>
          <w:sz w:val="19"/>
        </w:rPr>
        <w:t xml:space="preserve">Übertragbarkeit: </w:t>
      </w:r>
      <w:r>
        <w:rPr>
          <w:sz w:val="19"/>
        </w:rPr>
        <w:t>Südafrika, aber Mehrfacherkrankung und Ressourcenungleichheit sind globale Versorgungsprobleme</w:t>
      </w:r>
    </w:p>
    <w:p>
      <w:r>
        <w:rPr>
          <w:color w:val="5A7D3A"/>
          <w:sz w:val="18"/>
        </w:rPr>
        <w:t>https://pubmed.ncbi.nlm.nih.gov/42920728/</w:t>
      </w:r>
    </w:p>
    <w:p>
      <w:pPr>
        <w:pStyle w:val="Heading2"/>
      </w:pPr>
      <w:r>
        <w:t>Digitale Studien mit älteren Mehrfacherkrankten: Barrieren und Lösungsstrategien</w:t>
      </w:r>
    </w:p>
    <w:p>
      <w:r>
        <w:rPr>
          <w:i/>
          <w:color w:val="666666"/>
          <w:sz w:val="18"/>
        </w:rPr>
        <w:t>Shepherd V et al.  ·  Trials  ·  27.07.2026  ·  PMID 42908027</w:t>
      </w:r>
    </w:p>
    <w:p>
      <w:r>
        <w:t>Eingebettete qualitative Studie zur Identifikation von Hürden beim Einschluss älterer Patienten mit Mehrfacherkrankung in digitale Versorgungsstudien und zur Entwicklung von Lösungen.</w:t>
      </w:r>
    </w:p>
    <w:p>
      <w:r>
        <w:rPr>
          <w:b/>
        </w:rPr>
        <w:t xml:space="preserve">Ergebnis: </w:t>
      </w:r>
      <w:r>
        <w:t>Kernbarrieren waren niedrige digitale Kompetenz, Misstrauen gegenüber digitalen Kommunikationen und Bedarf für menschliche Unterstützung (n=12 Mitarbeiter, n=25 Teilnehmer befragt). Wirksame Strategien: Telefonsupport, niedrigere Altersgrenze, patientenzentrierte Materialien. Schlussfolgerung: Hybrid-Ansätze (digital + persönlich) essentiell für ältere Patienten.</w:t>
      </w:r>
    </w:p>
    <w:p>
      <w:r>
        <w:rPr>
          <w:b/>
          <w:sz w:val="19"/>
        </w:rPr>
        <w:t xml:space="preserve">Übertragbarkeit: </w:t>
      </w:r>
      <w:r>
        <w:rPr>
          <w:sz w:val="19"/>
        </w:rPr>
        <w:t>UK-Gesundheitssystem, aber Mehrfacherkrankung und digitale Barrieren sind deutschland-relevant</w:t>
      </w:r>
    </w:p>
    <w:p>
      <w:r>
        <w:rPr>
          <w:color w:val="5A7D3A"/>
          <w:sz w:val="18"/>
        </w:rPr>
        <w:t>https://pubmed.ncbi.nlm.nih.gov/42908027/</w:t>
      </w:r>
    </w:p>
    <w:p>
      <w:pPr>
        <w:pStyle w:val="Heading2"/>
      </w:pPr>
      <w:r>
        <w:t>Patientenerfahrungsmessung in der Nephrologie validiert – Europäisches Instrument</w:t>
      </w:r>
    </w:p>
    <w:p>
      <w:r>
        <w:rPr>
          <w:i/>
          <w:color w:val="666666"/>
          <w:sz w:val="18"/>
        </w:rPr>
        <w:t>Moharra M et al.  ·  J Nephrol  ·  22.10.2026  ·  PMID 42762223</w:t>
      </w:r>
    </w:p>
    <w:p>
      <w:r>
        <w:t>Validierung eines Patient-Reported Experience Measure (Kidney PREM) in Spanisch und Katalanisch an 575 Patienten mit chronischer Nierenerkrankung zur Qualitätsmessung in der Nephrologie.</w:t>
      </w:r>
    </w:p>
    <w:p>
      <w:r>
        <w:rPr>
          <w:b/>
        </w:rPr>
        <w:t xml:space="preserve">Ergebnis: </w:t>
      </w:r>
      <w:r>
        <w:t>Interne Konsistenz hoch (Cronbachs α 0,93–0,94 für beide Sprachversionen). Bekanntheitsvalidität bestätigt. Comparative Fit Index 0,90, Tucker-Lewis Index 0,90 – akzeptable Modellpassung. Spanische Version ermöglicht standardisierte Messung von patientenbezogener Versorgungsqualität über Sprachgrenzen.</w:t>
      </w:r>
    </w:p>
    <w:p>
      <w:r>
        <w:rPr>
          <w:b/>
          <w:sz w:val="19"/>
        </w:rPr>
        <w:t xml:space="preserve">Übertragbarkeit: </w:t>
      </w:r>
      <w:r>
        <w:rPr>
          <w:sz w:val="19"/>
        </w:rPr>
        <w:t>Spanien/Katalonien, Sozialversicherungssystem vergleichbar mit Deutschland, validiertes Messinstrument</w:t>
      </w:r>
    </w:p>
    <w:p>
      <w:r>
        <w:rPr>
          <w:color w:val="5A7D3A"/>
          <w:sz w:val="18"/>
        </w:rPr>
        <w:t>https://pubmed.ncbi.nlm.nih.gov/42762223/</w:t>
      </w:r>
    </w:p>
    <w:p>
      <w:pPr>
        <w:pStyle w:val="Heading2"/>
      </w:pPr>
      <w:r>
        <w:t>Sechs Phänotypen chronischer Lungenerkrankung identifiziert – externe Validierung</w:t>
      </w:r>
    </w:p>
    <w:p>
      <w:r>
        <w:rPr>
          <w:i/>
          <w:color w:val="666666"/>
          <w:sz w:val="18"/>
        </w:rPr>
        <w:t>Zhang J et al.  ·  Respir Med  ·  15.09.2026  ·  PMID 42744204</w:t>
      </w:r>
    </w:p>
    <w:p>
      <w:r>
        <w:t>Hypothesis-freie Clusteranalyse obstruktiver Lungenerkrankungen an 1473 US-Teilnehmern (Framingham) mit externer Validierung an 1080 Niederländern (Rotterdam).</w:t>
      </w:r>
    </w:p>
    <w:p>
      <w:r>
        <w:rPr>
          <w:b/>
        </w:rPr>
        <w:t xml:space="preserve">Ergebnis: </w:t>
      </w:r>
      <w:r>
        <w:t>Sechs klinisch interpretierbare Cluster: Cluster 1–3 mit erhaltener Lungenfunktion (unterschiedliche Symptomatik), Cluster 4 mild beeinträchtigt, Cluster 5 moderat beeinträchtigt (v.a. ältere Raucher), Cluster 6 schwer beeinträchtigt mit Dyspnoe und Adipositas. Mortalitätsrisiko in Cluster 4 und 6 erhöht. Phänotypen extern validiert.</w:t>
      </w:r>
    </w:p>
    <w:p>
      <w:r>
        <w:rPr>
          <w:b/>
          <w:sz w:val="19"/>
        </w:rPr>
        <w:t xml:space="preserve">Übertragbarkeit: </w:t>
      </w:r>
      <w:r>
        <w:rPr>
          <w:sz w:val="19"/>
        </w:rPr>
        <w:t>USA/Niederlande, Spirometrie und Symptome sind universell vergleichbar, Phänotypisierung informiert Prognose</w:t>
      </w:r>
    </w:p>
    <w:p>
      <w:r>
        <w:rPr>
          <w:color w:val="5A7D3A"/>
          <w:sz w:val="18"/>
        </w:rPr>
        <w:t>https://pubmed.ncbi.nlm.nih.gov/42744204/</w:t>
      </w:r>
    </w:p>
    <w:p>
      <w:pPr>
        <w:pStyle w:val="Heading1"/>
      </w:pPr>
      <w:r>
        <w:t>Aufgenommen am 25.10.2026</w:t>
      </w:r>
    </w:p>
    <w:p>
      <w:pPr>
        <w:pStyle w:val="Heading2"/>
      </w:pPr>
      <w:r>
        <w:t>Respiratorisches Versagen bei COPD-Exazerbation: Neun Risikofaktoren identifiziert</w:t>
      </w:r>
    </w:p>
    <w:p>
      <w:r>
        <w:rPr>
          <w:i/>
          <w:color w:val="666666"/>
          <w:sz w:val="18"/>
        </w:rPr>
        <w:t>Liu D et al.  ·  Clin Respir J  ·  Okt. 2026  ·  PMID 42919454</w:t>
      </w:r>
    </w:p>
    <w:p>
      <w:r>
        <w:t>Systematische Übersicht und Metaanalyse von 23 Studien (4.212 Patienten) zur Häufigkeit und Risikofaktoren für respiratorisches Versagen bei hospitalisierten Patienten mit akuter COPD-Exazerbation in China.</w:t>
      </w:r>
    </w:p>
    <w:p>
      <w:r>
        <w:rPr>
          <w:b/>
        </w:rPr>
        <w:t xml:space="preserve">Ergebnis: </w:t>
      </w:r>
      <w:r>
        <w:t>Ereignisquote respiratorisches Versagen 41% (95%-KI 0,37–0,46). Neun unabhängige Risikofaktoren: kardiale Komorbiditäten (OR 2,12), höheres Alter (OR 1,22), erhöhtes Neutrophil-Lymphozyten-Verhältnis (OR 1,87), Procalcitonin (OR 2,27), D-Dimer (OR 1,72), ≥2 Exazerbationen/Jahr (OR 2,48), APACHE-II-Score (OR 1,29), CRP (OR 1,13), FEV₁% erniedrigt (OR 0,81).</w:t>
      </w:r>
    </w:p>
    <w:p>
      <w:r>
        <w:rPr>
          <w:b/>
          <w:sz w:val="19"/>
        </w:rPr>
        <w:t xml:space="preserve">Übertragbarkeit: </w:t>
      </w:r>
      <w:r>
        <w:rPr>
          <w:sz w:val="19"/>
        </w:rPr>
        <w:t>China, Unterschiede in Versorgungsstruktur und Patientenpopulation; Befunde zur Risikostratifizierung jedoch übertragbar</w:t>
      </w:r>
    </w:p>
    <w:p>
      <w:r>
        <w:rPr>
          <w:color w:val="5A7D3A"/>
          <w:sz w:val="18"/>
        </w:rPr>
        <w:t>https://pubmed.ncbi.nlm.nih.gov/42919454/</w:t>
      </w:r>
    </w:p>
    <w:p>
      <w:pPr>
        <w:pStyle w:val="Heading2"/>
      </w:pPr>
      <w:r>
        <w:t>Knochendichte und Dialysedauer vorhersagend für körperlichen Verfall bei Hämodialysepatienten</w:t>
      </w:r>
    </w:p>
    <w:p>
      <w:r>
        <w:rPr>
          <w:i/>
          <w:color w:val="666666"/>
          <w:sz w:val="18"/>
        </w:rPr>
        <w:t>Madeira EAA et al.  ·  BMC Nephrol  ·  22.10.2026  ·  PMID 42919210</w:t>
      </w:r>
    </w:p>
    <w:p>
      <w:r>
        <w:t>Prospektive Beobachtungsstudie an 103 Hämodialysepatienten über 18,6 Monate zur Identifikation von Prädiktoren für körperliche Leistungsabnahme gemessen mit SPPB.</w:t>
      </w:r>
    </w:p>
    <w:p>
      <w:r>
        <w:rPr>
          <w:b/>
        </w:rPr>
        <w:t xml:space="preserve">Ergebnis: </w:t>
      </w:r>
      <w:r>
        <w:t>17,5% (18/103) erlebten körperlichen Verfall. Unabhängige Prädiktoren: niedrigere Oberschenkel-Knochenmineraldichte (OR 0,997, 95%-KI 0,991–0,999) und längere Dialysedauer (OR 1,009, 95%-KI 1,001–1,039). Baseline-Physiologie (z.B. Timed-up-and-go) diskriminierte nicht signifikant.</w:t>
      </w:r>
    </w:p>
    <w:p>
      <w:r>
        <w:rPr>
          <w:b/>
          <w:sz w:val="19"/>
        </w:rPr>
        <w:t xml:space="preserve">Übertragbarkeit: </w:t>
      </w:r>
      <w:r>
        <w:rPr>
          <w:sz w:val="19"/>
        </w:rPr>
        <w:t>Brasilien; Methodik und Ergebnis für deutsche Dialysezentren übertragbar</w:t>
      </w:r>
    </w:p>
    <w:p>
      <w:r>
        <w:rPr>
          <w:color w:val="5A7D3A"/>
          <w:sz w:val="18"/>
        </w:rPr>
        <w:t>https://pubmed.ncbi.nlm.nih.gov/42919210/</w:t>
      </w:r>
    </w:p>
    <w:p>
      <w:pPr>
        <w:pStyle w:val="Heading2"/>
      </w:pPr>
      <w:r>
        <w:t>CGM bremst Nierenfunktionsverschlechterung bei Diabetes und CKD</w:t>
      </w:r>
    </w:p>
    <w:p>
      <w:r>
        <w:rPr>
          <w:i/>
          <w:color w:val="666666"/>
          <w:sz w:val="18"/>
        </w:rPr>
        <w:t>Hannah KL et al.  ·  Endocrinol Diabetes Metab  ·  Nov. 2026  ·  PMID 42912845</w:t>
      </w:r>
    </w:p>
    <w:p>
      <w:r>
        <w:t>Retrospektive Kohortenstudie in USA (Truveta EMR) mit Propensity Matching zu Effekten von Echtzeit-CGM auf Nierenfunktion bei insulinbehandelten Patienten mit Diabetes und CKD (eGFR 15–89).</w:t>
      </w:r>
    </w:p>
    <w:p>
      <w:r>
        <w:rPr>
          <w:b/>
        </w:rPr>
        <w:t xml:space="preserve">Ergebnis: </w:t>
      </w:r>
      <w:r>
        <w:t>CGM-Nutzer (n=518) zeigten signifikant langsamere eGFR-Abnahme als Nicht-Nutzer über 3 Jahre. Kein signifikanter Unterschied in Albumin-Kreatinin-Ratio. CGM assoziiert mit stärkerer HbA₁c-Senkung. Befund unterstützt CGM-Einsatz bei Diabetes und CKD.</w:t>
      </w:r>
    </w:p>
    <w:p>
      <w:r>
        <w:rPr>
          <w:b/>
          <w:sz w:val="19"/>
        </w:rPr>
        <w:t xml:space="preserve">Übertragbarkeit: </w:t>
      </w:r>
      <w:r>
        <w:rPr>
          <w:sz w:val="19"/>
        </w:rPr>
        <w:t>USA, Daten aus großem EMR-Netzwerk; Ergebnis zur Technologiebewertung in Deutschland relevant</w:t>
      </w:r>
    </w:p>
    <w:p>
      <w:r>
        <w:rPr>
          <w:color w:val="5A7D3A"/>
          <w:sz w:val="18"/>
        </w:rPr>
        <w:t>https://pubmed.ncbi.nlm.nih.gov/42912845/</w:t>
      </w:r>
    </w:p>
    <w:p>
      <w:pPr>
        <w:pStyle w:val="Heading2"/>
      </w:pPr>
      <w:r>
        <w:t>Übergänge von Klinik zu Hause bei chronischen Erkrankungen sind unzureichend koordiniert</w:t>
      </w:r>
    </w:p>
    <w:p>
      <w:r>
        <w:rPr>
          <w:i/>
          <w:color w:val="666666"/>
          <w:sz w:val="18"/>
        </w:rPr>
        <w:t>Castro LY et al.  ·  Rev Gaucha Enferm  ·  16.10.2026  ·  PMID 42912024</w:t>
      </w:r>
    </w:p>
    <w:p>
      <w:r>
        <w:t>Gemischte Methoden-Studie in Brasilien (quantitativ: 166 Patienten nach Entlassung mit Care Transitions Measure; qualitativ: zwei Fokusgruppen mit 9 und 7 Fachpersonen) zu Übergängen bei chronischen Erkrankungen.</w:t>
      </w:r>
    </w:p>
    <w:p>
      <w:r>
        <w:rPr>
          <w:b/>
        </w:rPr>
        <w:t xml:space="preserve">Ergebnis: </w:t>
      </w:r>
      <w:r>
        <w:t>Gesamtbewertung Übergänge unbefriedigend (62,62±9,03 von 100). Höchste Scores bei Gesundheitsmanagement (73,24±10,24), niedrigste bei Versorgungsplan (56,12±17,56). Männer bessere Scores als Frauen bei Gesundheitsmanagement und Gesamtbewertung. Qualitativ: Mängel in Entlassungsplanung, interprofessioneller Kommunikation und Patientenbeteiligung identifiziert.</w:t>
      </w:r>
    </w:p>
    <w:p>
      <w:r>
        <w:rPr>
          <w:b/>
          <w:sz w:val="19"/>
        </w:rPr>
        <w:t xml:space="preserve">Übertragbarkeit: </w:t>
      </w:r>
      <w:r>
        <w:rPr>
          <w:sz w:val="19"/>
        </w:rPr>
        <w:t>Brasilien, privates System; Befunde zu Koordinationslücken in Deutschland relevant</w:t>
      </w:r>
    </w:p>
    <w:p>
      <w:r>
        <w:rPr>
          <w:color w:val="5A7D3A"/>
          <w:sz w:val="18"/>
        </w:rPr>
        <w:t>https://pubmed.ncbi.nlm.nih.gov/42912024/</w:t>
      </w:r>
    </w:p>
    <w:p>
      <w:pPr>
        <w:pStyle w:val="Heading2"/>
      </w:pPr>
      <w:r>
        <w:t>Krankheitsstabilität nach 6 Monaten sagt 12-Monats-Verlauf bei COPD voraus</w:t>
      </w:r>
    </w:p>
    <w:p>
      <w:r>
        <w:rPr>
          <w:i/>
          <w:color w:val="666666"/>
          <w:sz w:val="18"/>
        </w:rPr>
        <w:t>Ou WF et al.  ·  Ther Adv Respir Dis  ·  22.10.2026  ·  PMID 42911762</w:t>
      </w:r>
    </w:p>
    <w:p>
      <w:r>
        <w:t>Retrospektive multizentrische Kohortenstudie an 250 COPD-Patienten aus Taiwan zur longitudinalen Stabilität der Erkrankung (definiert als keine schweren Exazerbationen, CAAT-Score &lt;2-Punkt-Verschlechterung, FEV₁-Erhalt) zwischen 6 und 12 Monaten.</w:t>
      </w:r>
    </w:p>
    <w:p>
      <w:r>
        <w:rPr>
          <w:b/>
        </w:rPr>
        <w:t xml:space="preserve">Ergebnis: </w:t>
      </w:r>
      <w:r>
        <w:t>45,6% (114/250) erreichten 6-Monats-Stabilität, 37,6% (94/250) 12-Monats-Stabilität. Von Patienten mit 6-Monats-Stabilität erreichten 68,4% auch 12-Monats-Stabilität vs. 11,8% ohne Stabilität. 6-Monats-Stabilität stark mit 12-Monats-Outcome assoziiert (aOR 11,72, 95%-KI 5,67–24,22). Stabilität im erweiterten Kohort ähnlich (aOR 14,33).</w:t>
      </w:r>
    </w:p>
    <w:p>
      <w:r>
        <w:rPr>
          <w:b/>
          <w:sz w:val="19"/>
        </w:rPr>
        <w:t xml:space="preserve">Übertragbarkeit: </w:t>
      </w:r>
      <w:r>
        <w:rPr>
          <w:sz w:val="19"/>
        </w:rPr>
        <w:t>Taiwan, Versorgungsstruktur und Methodik unterschiedlich; Konzept der Krankheitsstabilität international relevant</w:t>
      </w:r>
    </w:p>
    <w:p>
      <w:r>
        <w:rPr>
          <w:color w:val="5A7D3A"/>
          <w:sz w:val="18"/>
        </w:rPr>
        <w:t>https://pubmed.ncbi.nlm.nih.gov/42911762/</w:t>
      </w:r>
    </w:p>
    <w:p>
      <w:pPr>
        <w:pStyle w:val="Heading2"/>
      </w:pPr>
      <w:r>
        <w:t>Statine vor Operation senken Sterblichkeit bei chronischen Subduralhämatomen</w:t>
      </w:r>
    </w:p>
    <w:p>
      <w:r>
        <w:rPr>
          <w:i/>
          <w:color w:val="666666"/>
          <w:sz w:val="18"/>
        </w:rPr>
        <w:t>Posti JP et al.  ·  Age Ageing  ·  03.08.2026  ·  PMID 42910913</w:t>
      </w:r>
    </w:p>
    <w:p>
      <w:r>
        <w:t>Finnische Registerstudie an 9.001 operierten Patienten mit chronischem Subduralhämatom zur Assoziation zwischen präoperativer Statin-Nutzung und kurzfristigen sowie langfristigen Ergebnissen.</w:t>
      </w:r>
    </w:p>
    <w:p>
      <w:r>
        <w:rPr>
          <w:b/>
        </w:rPr>
        <w:t xml:space="preserve">Ergebnis: </w:t>
      </w:r>
      <w:r>
        <w:t>30-Tage-Mortalität 3,3% unter Statin vs. 4,5% ohne (adjustierte HR 0,57, 95%-KI 0,44–0,73). Krankenhausaufenthalt kürzer unter Statinen (22,1 vs. 26,3 Tage, p=0,002). Ein-Jahres-Mortalität 13,3% vs. 15,4% (HR 0,66, 95%-KI 0,58–0,75). Wiederoperationsraten ähnlich. Befund deutet auf Schutzeffekt hin, Mechanismus unklar.</w:t>
      </w:r>
    </w:p>
    <w:p>
      <w:r>
        <w:rPr>
          <w:b/>
          <w:sz w:val="19"/>
        </w:rPr>
        <w:t xml:space="preserve">Übertragbarkeit: </w:t>
      </w:r>
      <w:r>
        <w:rPr>
          <w:sz w:val="19"/>
        </w:rPr>
        <w:t>Finnland, vergleichbares nordeuropäisches System; Registerqualität hoch</w:t>
      </w:r>
    </w:p>
    <w:p>
      <w:r>
        <w:rPr>
          <w:color w:val="5A7D3A"/>
          <w:sz w:val="18"/>
        </w:rPr>
        <w:t>https://pubmed.ncbi.nlm.nih.gov/42910913/</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