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30.08.2026  |  6 Studien  |  ncd.m-vf.de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Eosinophil-gesteuerte COPD-Therapie: Guideline-Adherence fehlt bei 86% der Patienten</w:t>
      </w:r>
    </w:p>
    <w:p>
      <w:r>
        <w:rPr>
          <w:i/>
          <w:color w:val="666666"/>
          <w:sz w:val="18"/>
        </w:rPr>
        <w:t>Hester J et al.  ·  Lung  ·  29.08.2026  ·  PMID 42667442</w:t>
      </w:r>
    </w:p>
    <w:p>
      <w:r>
        <w:t>Retrospektive Kohortenstudie mit 688 COPD-Patienten in Cleveland-Kliniken evaluierte die Einhaltung GOLD-basierter Eosinophil-Kriterien für Inhalative Steroide (ICS) und klinische Ergebnisse.</w:t>
      </w:r>
    </w:p>
    <w:p>
      <w:r>
        <w:rPr>
          <w:b/>
        </w:rPr>
        <w:t xml:space="preserve">Ergebnis: </w:t>
      </w:r>
      <w:r>
        <w:t>589 von 688 Patienten (86%) erhielten ICS außerhalb von GOLD-Empfehlungen. Baseline-Eosinophil-Testing wurde nur in 15% durchgeführt. Pneumonie-Inzidenz war identisch (15% vs. 16%, p=0,686); ICS-Deeskalation erfolgte selten (7%) und gleichmäßig in beiden Gruppen. Exazerbation-Anamnese assoziiert mit guideline-konformer Verordnung.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USA-basiert; Befund zur Guideline-Adherence ist übertragbar unabhängig vom Finanzierungssystem</w:t>
      </w:r>
    </w:p>
    <w:p>
      <w:r>
        <w:rPr>
          <w:color w:val="5A7D3A"/>
          <w:sz w:val="18"/>
        </w:rPr>
        <w:t>https://pubmed.ncbi.nlm.nih.gov/42667442/</w:t>
      </w:r>
    </w:p>
    <w:p>
      <w:pPr>
        <w:pStyle w:val="Heading2"/>
      </w:pPr>
      <w:r>
        <w:t>Triple-Therapie bei COPD: minimale Lebensqualitäts-Verbesserung, erhöhtes Pneumonie-Risiko</w:t>
      </w:r>
    </w:p>
    <w:p>
      <w:r>
        <w:rPr>
          <w:i/>
          <w:color w:val="666666"/>
          <w:sz w:val="18"/>
        </w:rPr>
        <w:t>Jiang J et al.  ·  Int J Chron Obstruct Pulmon Dis  ·  24.08.2026  ·  PMID 42666989</w:t>
      </w:r>
    </w:p>
    <w:p>
      <w:r>
        <w:t>Bayesian Network Meta-Analyse von 14 randomisierten Studien zu inhalativen Erhaltungstherapien und Auswirkungen auf St. George's Respiratory Questionnaire (SGRQ)-Scores bei stabiler COPD.</w:t>
      </w:r>
    </w:p>
    <w:p>
      <w:r>
        <w:rPr>
          <w:b/>
        </w:rPr>
        <w:t xml:space="preserve">Ergebnis: </w:t>
      </w:r>
      <w:r>
        <w:t>Triple-Therapie zeigte größte SGRQ-Verbesserung vs. Placebo (MD -3,99; 95% CrI -5,86 bis -2,16). Verglichen mit LABA+LAMA war triple Therapie marginal besser (MD -1,42; CrI -2,62 bis -0,16), unter minimaler klinisch bedeutsamer Differenz. Pneumonie-Risiko erhöht (OR 1,50; 95% CI 1,16-1,93). Andere aktive Regime unterschieden sich gering voneinander.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RCT-Daten, Ergebnisse gelten für COPD-Management in Deutschland unabhängig vom System</w:t>
      </w:r>
    </w:p>
    <w:p>
      <w:r>
        <w:rPr>
          <w:color w:val="5A7D3A"/>
          <w:sz w:val="18"/>
        </w:rPr>
        <w:t>https://pubmed.ncbi.nlm.nih.gov/42666989/</w:t>
      </w:r>
    </w:p>
    <w:p>
      <w:pPr>
        <w:pStyle w:val="Heading2"/>
      </w:pPr>
      <w:r>
        <w:t>Geschlechts-Disparitäten in der Nierenkranken-Versorgung: Frauen unterdiagnostiziert und unterbehandelt</w:t>
      </w:r>
    </w:p>
    <w:p>
      <w:r>
        <w:rPr>
          <w:i/>
          <w:color w:val="666666"/>
          <w:sz w:val="18"/>
        </w:rPr>
        <w:t>Vidanapathirana M et al.  ·  BMC Nephrol  ·  19.08.2026  ·  PMID 42665802</w:t>
      </w:r>
    </w:p>
    <w:p>
      <w:r>
        <w:t>Systematische Übersichtsarbeit von 35 Studien (2000-Juli 2026) zu geschlechtsspezifischen Ungleichheiten im Versorgungszugang entlang der gesamten CKD-Betreuungskontinuum.</w:t>
      </w:r>
    </w:p>
    <w:p>
      <w:r>
        <w:rPr>
          <w:b/>
        </w:rPr>
        <w:t xml:space="preserve">Ergebnis: </w:t>
      </w:r>
      <w:r>
        <w:t>Frauen hatten niedrigere Chancen für CKD-Diagnose und Nephologie-Überweisung, weniger häufige Nierenfunktions-Kontrollen und niedrigere Verschreibungsraten guideline-empfohlener Medikamente. Unter Dialysepatienten: Frauen 38-41% Anteil mit späterem eGFR-Start (8,1-10,1 vs. 10,6 mL/min/1,73m²). Weniger Hämodialyse mit arteriovenöser Fistel; weniger Transplantationsreferral/-Evaluation/-Wartelisting. Systemische und sozioökonomische Mechanismen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Evidenz; Muster geschlechtsbasierter Ungleichheit ist kontextübergreifend relevant</w:t>
      </w:r>
    </w:p>
    <w:p>
      <w:r>
        <w:rPr>
          <w:color w:val="5A7D3A"/>
          <w:sz w:val="18"/>
        </w:rPr>
        <w:t>https://pubmed.ncbi.nlm.nih.gov/42665802/</w:t>
      </w:r>
    </w:p>
    <w:p>
      <w:pPr>
        <w:pStyle w:val="Heading2"/>
      </w:pPr>
      <w:r>
        <w:t>Hemodiafiltration versus Hemodialysis: Mortalität und Hospitalisierungsrisiko</w:t>
      </w:r>
    </w:p>
    <w:p>
      <w:r>
        <w:rPr>
          <w:i/>
          <w:color w:val="666666"/>
          <w:sz w:val="18"/>
        </w:rPr>
        <w:t>Roos S et al.  ·  BMC Nephrol  ·  28.08.2026  ·  PMID 42665796</w:t>
      </w:r>
    </w:p>
    <w:p>
      <w:r>
        <w:t>Zielgerichtete Studienprotokolle analysieren Routinedaten von über 1000 Dialysepatienten in Europa, um Unterschiede in Mortalität und Krankenhausaufenthalten zwischen Hemodiafiltration und konventionellem Hemodialysis zu untersuchen.</w:t>
      </w:r>
    </w:p>
    <w:p>
      <w:r>
        <w:rPr>
          <w:b/>
        </w:rPr>
        <w:t xml:space="preserve">Ergebnis: </w:t>
      </w:r>
      <w:r>
        <w:t>Geplante Erhebung mit Fokus auf Gesamtsterblichkeit und ursachenspezifische Hospitalisierungen; Hochvolumen-Hemodiafiltration (≥23 L Konvektionsvolumen) wird analysiert als primärer Vergleich. Randomisierte Studien zeigten bereits Mortalitätsvorteil; diese Realweltdaten sollen Generalisierbarkeit 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Kohorte, deutsche Zentren beteiligt, vergleichbar mit deutschem Versorgungssystem</w:t>
      </w:r>
    </w:p>
    <w:p>
      <w:r>
        <w:rPr>
          <w:color w:val="5A7D3A"/>
          <w:sz w:val="18"/>
        </w:rPr>
        <w:t>https://pubmed.ncbi.nlm.nih.gov/42665796/</w:t>
      </w:r>
    </w:p>
    <w:p>
      <w:pPr>
        <w:pStyle w:val="Heading2"/>
      </w:pPr>
      <w:r>
        <w:t>Cardiometabolic Profile bei Diabetes und BMI: Adipositas erhöht Herzinsuffizienz und CKD-Risiko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Querschnittsanalyse von über 500.000 Patienten mit Typ-2-Diabetes aus 296 italienischen Diabeteszentren untersuchte Cardiometabolische Profile und Komplikationen über BMI-Kategorien.</w:t>
      </w:r>
    </w:p>
    <w:p>
      <w:r>
        <w:rPr>
          <w:b/>
        </w:rPr>
        <w:t xml:space="preserve">Ergebnis: </w:t>
      </w:r>
      <w:r>
        <w:t>Herzinsuffizienz-Prävalenzrate: PR 1,41 (p&lt;0,001) bei Adipositas vs. Normalgewicht; CKD: PR 1,13 (p&lt;0,001). Trotz ähnlicher HbA1c-Werte verschlechterten sich Risikofaktoren progressiv mit BMI. Adipöse Patienten waren jünger, mit kürzerer Diabetesdauer und niedrigeren Atherosklerose-Raten.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vergleichbar mit deutschem ambulanten Diabetesmanagement in der Primärversorgung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Inhalative Steroide bei COPD senken Lungenkrebsrisiko um 23-39% trotz Immortal-Time-Bias</w:t>
      </w:r>
    </w:p>
    <w:p>
      <w:r>
        <w:rPr>
          <w:i/>
          <w:color w:val="666666"/>
          <w:sz w:val="18"/>
        </w:rPr>
        <w:t>Santa B et al.  ·  Int J Chron Obstruct Pulmon Dis  ·  14.07.2026  ·  PMID 42518632</w:t>
      </w:r>
    </w:p>
    <w:p>
      <w:r>
        <w:t>Retrospektive Analyse von 96.686 bis 196.560 COPD-Patienten aus der ungarischen Nationalen Krankenversicherungsdatenbank (2009-2019) reproduzierte widersprechende frühere Studien zu ICS und Lungenkrebsinzidenz.</w:t>
      </w:r>
    </w:p>
    <w:p>
      <w:r>
        <w:rPr>
          <w:b/>
        </w:rPr>
        <w:t xml:space="preserve">Ergebnis: </w:t>
      </w:r>
      <w:r>
        <w:t>ICS-Nutzer &gt;1 Jahr: 26,2-60,8% der Population. Lungenkrebsfälle: 4.941-8.969 Fälle. Adjustierte Cox-Modelle zeigten konsistent protective effect: HR 0,77 (0,63-0,94) bzw. 0,61 (0,53-0,70). Trend trotz beider methodologischer Ansätze konsistent. Limitation: Rauchen nicht im Datensatz enthalten; höherer Asthma-Code-Anteil in ICS-Gruppe Cohort 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Ungarische Routinedaten mit vergleichbarem Sozialversicherungssystem wie Deutschland</w:t>
      </w:r>
    </w:p>
    <w:p>
      <w:r>
        <w:rPr>
          <w:color w:val="5A7D3A"/>
          <w:sz w:val="18"/>
        </w:rPr>
        <w:t>https://pubmed.ncbi.nlm.nih.gov/42518632/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2026-08-30T06:00:00Z</dcterms:created>
  <dcterms:modified xsi:type="dcterms:W3CDTF">2026-08-30T06:00:00Z</dcterms:modified>
  <cp:category/>
</cp:coreProperties>
</file>