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04.10.2026  |  6 Studien  |  ncd.m-vf.de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Integriertes NCD-Screening in HIV- und COVID-Kliniken verbessert Früherkennung um 74 %</w:t>
      </w:r>
    </w:p>
    <w:p>
      <w:r>
        <w:rPr>
          <w:i/>
          <w:color w:val="666666"/>
          <w:sz w:val="18"/>
        </w:rPr>
        <w:t>Jithoo N et al.  ·  Front Public Health  ·  17.09.2026  ·  PMID 42824930</w:t>
      </w:r>
    </w:p>
    <w:p>
      <w:r>
        <w:t>Südafrika: Pilotprojekt zur Integration von Screening auf chronische Erkrankungen (Nierenerkrankung, Übergewicht, Dyslipidämie) in bestehende HIV- und COVID-19-Impfkliniken bei 461 Teilnehmern; Prävalenz neuer Diagnosen und Versorgungsgaps untersucht.</w:t>
      </w:r>
    </w:p>
    <w:p>
      <w:r>
        <w:rPr>
          <w:b/>
        </w:rPr>
        <w:t xml:space="preserve">Ergebnis: </w:t>
      </w:r>
      <w:r>
        <w:t>73,9 % der Teilnehmer erhielten neue NCD-Diagnosen: Nierenerkrankung (31,7 %), Adipositas (28,9 %), Dyslipidämie (25,8 %). Modifizierbare kardiovaskuläre Risikofaktoren waren weit verbreitet: Adipositas (63,9 %), Alkoholkonsum (50 %). Integriertes Screening erwies sich als machbar und bot Gelegenheit für frühe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Ressourcenbegrenzte Länder, ähnliche Gesundheitssystem-Herausforderungen wie LMIC</w:t>
      </w:r>
    </w:p>
    <w:p>
      <w:r>
        <w:rPr>
          <w:color w:val="5A7D3A"/>
          <w:sz w:val="18"/>
        </w:rPr>
        <w:t>https://pubmed.ncbi.nlm.nih.gov/42824930/</w:t>
      </w:r>
    </w:p>
    <w:p>
      <w:pPr>
        <w:pStyle w:val="Heading2"/>
      </w:pPr>
      <w:r>
        <w:t>Untergewicht vorhersagt Nierenerkrankung bei Typ-2-Diabetes besser als Adipositas</w:t>
      </w:r>
    </w:p>
    <w:p>
      <w:r>
        <w:rPr>
          <w:i/>
          <w:color w:val="666666"/>
          <w:sz w:val="18"/>
        </w:rPr>
        <w:t>Chung SM et al.  ·  Front Endocrinol (Lausanne)  ·  17.09.2026  ·  PMID 42823990</w:t>
      </w:r>
    </w:p>
    <w:p>
      <w:r>
        <w:t>Südkorea: Nationale Kohortenstudie (1.824.317 Erwachsene ≥40 Jahre mit Typ-2-Diabetes): Assoziation zwischen BMI, Taillenumfang und Inzidenz von Nierenerkrankung (definiert nach altersgerechten eGFR-Schwellwerten) über 4 Jahre Follow-up, stratifiziert nach Alter und Geschlecht.</w:t>
      </w:r>
    </w:p>
    <w:p>
      <w:r>
        <w:rPr>
          <w:b/>
        </w:rPr>
        <w:t xml:space="preserve">Ergebnis: </w:t>
      </w:r>
      <w:r>
        <w:t>CKD-Inzidenz: 2,8 % (Untergewicht), 2,3 % (keine Adipositas), 2,9 % (Übergewicht). Untergewicht mit höherem CKD-Risiko als Übergewicht assoziiert (OR 1,41 [95%-KI 1,29–1,54] vs. OR 1,03 [1,01–1,05]). Alters-/Geschlechts-stratifiziert: Untergewicht durchgängig erhöhtes Risiko, bes. mittelalte Männer; Übergewicht nur bei Frauen mit erhöhtem Risiko. Befund erklärt bisherige Inkonsistenzen in Adipositas-CKD-Assoziationen.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großes Register; Adipositas-Paradoxon relevant für stratifizierte Prävention, aber regionales Modell unklar</w:t>
      </w:r>
    </w:p>
    <w:p>
      <w:r>
        <w:rPr>
          <w:color w:val="5A7D3A"/>
          <w:sz w:val="18"/>
        </w:rPr>
        <w:t>https://pubmed.ncbi.nlm.nih.gov/42823990/</w:t>
      </w:r>
    </w:p>
    <w:p>
      <w:pPr>
        <w:pStyle w:val="Heading2"/>
      </w:pPr>
      <w:r>
        <w:t>Klinische Phänotypisierung identifiziert Hochrisiko-COPD-Patienten mit raschem FEV1-Verlust</w:t>
      </w:r>
    </w:p>
    <w:p>
      <w:r>
        <w:rPr>
          <w:i/>
          <w:color w:val="666666"/>
          <w:sz w:val="18"/>
        </w:rPr>
        <w:t>Yang Z et al.  ·  Ann Med  ·  01.10.2026  ·  PMID 42817919</w:t>
      </w:r>
    </w:p>
    <w:p>
      <w:r>
        <w:t>Chinesische Kohortenstudie (38.863 COPD-Patienten, 1.215 mit Verlaufsparametern): Latent-Class-Analyse zur Identifikation klinischer Phänotypen; Machine Learning-Modell zur Vorhersage raschen Lungenfunktionsabbaus (FEV1-Abfall ≥40 mL/Jahr oder &gt;1,5% predicted).</w:t>
      </w:r>
    </w:p>
    <w:p>
      <w:r>
        <w:rPr>
          <w:b/>
        </w:rPr>
        <w:t xml:space="preserve">Ergebnis: </w:t>
      </w:r>
      <w:r>
        <w:t>Drei Phänotypen identifiziert: Phänotyp 1 (25,8 %, GOLD Stadium 2, nicht-rauchende Frauen), Phänotyp 2 (44,8 %, GOLD Stadium 1, rauchende Männer), Phänotyp 3 (29,4 %, GOLD Stadium 3, intensive Raucher). Phänotyp 2 zeigte höchste Verfall-Rate (55,8 %). Das CatBoost-Modell erreichte AUC 0,712; bei Schwellenwert 0,365: Sensitivität 95,5 %, negativer Vorhersagewert 86,4 %. Sechs einfache Prädiktoren: Region, Brennstofftyp, Einkommensstufe, Pfeifen, Hüftumfang, Basis-FEV1.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großes Register; Phänotypisierung für Zielgruppendefinition relevant, Übertragbarkeit auf deutsche Phänotypen unklar</w:t>
      </w:r>
    </w:p>
    <w:p>
      <w:r>
        <w:rPr>
          <w:color w:val="5A7D3A"/>
          <w:sz w:val="18"/>
        </w:rPr>
        <w:t>https://pubmed.ncbi.nlm.nih.gov/42817919/</w:t>
      </w:r>
    </w:p>
    <w:p>
      <w:pPr>
        <w:pStyle w:val="Heading2"/>
      </w:pPr>
      <w:r>
        <w:t>Leitliniengerechte Antibiotika senken 30-Tage-Komplikationen bei COPD-Exazerbationen</w:t>
      </w:r>
    </w:p>
    <w:p>
      <w:r>
        <w:rPr>
          <w:i/>
          <w:color w:val="666666"/>
          <w:sz w:val="18"/>
        </w:rPr>
        <w:t>Perales-Muñoz R et al.  ·  Rev Esp Quimioter  ·  21.09.2026  ·  PMID 42768888</w:t>
      </w:r>
    </w:p>
    <w:p>
      <w:r>
        <w:t>Spanische Notaufnahme-Registerstudie an 4.136 COPD-Exazerbations-Episoden: Antibiotika-Auswahl nach nationalen Empfehlungen vs. Fehlauswahl und deren Assoziation mit Mortalität, Rehospitalisierung, Rezidiiv und Notfall-Revisiten.</w:t>
      </w:r>
    </w:p>
    <w:p>
      <w:r>
        <w:rPr>
          <w:b/>
        </w:rPr>
        <w:t xml:space="preserve">Ergebnis: </w:t>
      </w:r>
      <w:r>
        <w:t>Von 1.736 Patienten mit Entlassung aus der Notaufnahme erhielten 987 (56,9 %) Antibiotika; 158 (16,0 %) bekamen inadäquate Therapie. Inadäquate Behandlung korrelierte mit höherer 30-Tage-Morbidität (20,9 % vs. 13,3 %, p=0,019). In der multivariablen Analyse war leitliniengerechte Therapie der einzige modifizierbare Faktor mit signifikant reduziertem Ereignisrisiko (adjustierte RR 0,59; 95%-KI 0,41–0,85; p=0,004). Zugleich waren vorherige Exazerbationen (RR 1,80) und mittelschwere Exazerbationen (RR 1,52) mit höherem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Notaufnahmedaten, vergleichbare Behandlungsprotokolle europäischer Systeme</w:t>
      </w:r>
    </w:p>
    <w:p>
      <w:r>
        <w:rPr>
          <w:color w:val="5A7D3A"/>
          <w:sz w:val="18"/>
        </w:rPr>
        <w:t>https://pubmed.ncbi.nlm.nih.gov/42768888/</w:t>
      </w:r>
    </w:p>
    <w:p>
      <w:pPr>
        <w:pStyle w:val="Heading2"/>
      </w:pPr>
      <w:r>
        <w:t>Dynamisches Risiko-Scoring vorhersagt CLL-Progression nach Limited-Duration-Therapie besser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Deutsche multizentrische Kohortenstudie zu chronisch-lymphatischer Leukämie: Entwicklung und Validierung eines verfeinerten kontinuierlichen Risikoindex (CIRI2-CLL) mit messbaren Resterkrankungen (MRD) zur Vorhersage von progressionsfreiem Überleben nach zeitlich begrenzter Targetted Therapy.</w:t>
      </w:r>
    </w:p>
    <w:p>
      <w:r>
        <w:rPr>
          <w:b/>
        </w:rPr>
        <w:t xml:space="preserve">Ergebnis: </w:t>
      </w:r>
      <w:r>
        <w:t>CIRI2-CLL zeigte gute Kalibrierung (ca. 5 % Unterschied zwischen beobachteter und vorhergesagter Progressionswahrscheinlichkeit). Überlegene Performance vs. einzelne Indizes (C-Statistiken 0,82–0,98 an allen Zeitpunkten), FEV-Vorhersage um 14–37 % verbessert. Risk-Stratifikation in drei Gruppen: 3-Jahres-PFS von 100,0 % (niedrig), 70,2 % (mittel), 10,8 % (hoch). Performance für Gesamtüberleben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Deutschland/DACH, multizentrisch; CLL-spezifisch, aber Methode der MRD-Integration für andere Chroniker relevant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2"/>
      </w:pPr>
      <w:r>
        <w:t>HBsAg-Schnelltest-Positivierungszeit schätzt Viruslast und erleichtert POC-Diagnostik</w:t>
      </w:r>
    </w:p>
    <w:p>
      <w:r>
        <w:rPr>
          <w:i/>
          <w:color w:val="666666"/>
          <w:sz w:val="18"/>
        </w:rPr>
        <w:t>Asmamaw A et al.  ·  Aliment Pharmacol Ther  ·  06.08.2026  ·  PMID 42558028</w:t>
      </w:r>
    </w:p>
    <w:p>
      <w:r>
        <w:t>Multizentrische Proof-of-Concept-Studie (Spanien, Äthiopien): Prüfung, ob die Positivierungszeit eines Schnelltests für Hepatitis-B-Oberflächenantigen (HBsAg) ein Surrogat für quantitatives HBsAg und HBV-DNA-Aktivität ist; Paarvergleiche Kapillar- vs. Venöses Blut mit qHBsAg und PCR.</w:t>
      </w:r>
    </w:p>
    <w:p>
      <w:r>
        <w:rPr>
          <w:b/>
        </w:rPr>
        <w:t xml:space="preserve">Ergebnis: </w:t>
      </w:r>
      <w:r>
        <w:t>513 HBsAg-positive Personen analysiert. Positivierungszeit korrelierte invers mit qHBsAg (Spanien r=−0,749, Äthiopien r=−0,374; p&lt;0,001 beide). Keine Assoziation mit HBV-DNA. Diskriminationsfähigkeit für HBsAg &lt;1000 IU/mL: Spanien AUROC 0,86, Äthiopien AUROC 0,65; für &lt;100 IU/mL: AUROC 0,96 und 0,77. Gesunde und mit ausgeheilter Infektion: durchweg negativ.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Spanien/Äthiopien; POC-Test für ressourcenlimitierte Länder, Relevanz für deutsche POC-Diagnostik begrenzt</w:t>
      </w:r>
    </w:p>
    <w:p>
      <w:r>
        <w:rPr>
          <w:color w:val="5A7D3A"/>
          <w:sz w:val="18"/>
        </w:rPr>
        <w:t>https://pubmed.ncbi.nlm.nih.gov/42558028/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