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23.09.2026  |  6 Studien  |  ncd.m-vf.de</w:t>
      </w:r>
    </w:p>
    <w:p>
      <w:pPr>
        <w:pStyle w:val="Heading1"/>
      </w:pPr>
      <w:r>
        <w:t>Aufgenommen am 23.09.2026</w:t>
      </w:r>
    </w:p>
    <w:p>
      <w:pPr>
        <w:pStyle w:val="Heading2"/>
      </w:pPr>
      <w:r>
        <w:t>Ultra-verarbeitete Lebensmittel erhöhen Risiko für Mehrfacherkrankungen: Dose-Wirkungs-Analyse mit 8,8 Millionen Teilnehmern</w:t>
      </w:r>
    </w:p>
    <w:p>
      <w:r>
        <w:rPr>
          <w:i/>
          <w:color w:val="666666"/>
          <w:sz w:val="18"/>
        </w:rPr>
        <w:t>Liu X et al.  ·  Fam Med Community Health  ·  22.09.2026  ·  PMID 42773062</w:t>
      </w:r>
    </w:p>
    <w:p>
      <w:r>
        <w:t>Dosisabhängige Metaanalyse von 51 prospektiven Kohortenstudien (n=8.819.894 Erwachsene) untersuchte Assoziation zwischen Ultra-Verarbeitete-Lebensmittel-Konsum und Krankheitslast chronischer nicht-übertragbarer Erkrankungen.</w:t>
      </w:r>
    </w:p>
    <w:p>
      <w:r>
        <w:rPr>
          <w:b/>
        </w:rPr>
        <w:t xml:space="preserve">Ergebnis: </w:t>
      </w:r>
      <w:r>
        <w:t>Erhöhter Ultra-Verarbeitete-Lebensmittel-Konsum assoziiert mit kardiovaskulären Ereignissen (HR 1,24, 95% KI 1,14–1,36), Krebs (HR 1,12, 95% KI 1,04–1,21), Adipositas (HR 1,23), metabolisches Syndrom/Diabetes (HR 1,24), Depression/Angst (HR 1,27), Verdauungserkrankungen (HR 1,31) und Mortalität (HR 1,18). Pro 100 g/Tag: Kardiovaskulär HR 1,14, Krebs HR 1,04, Mortalität HR 1,03.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Bevölkerungsstudien aus LMIC und Hocheinkommensländern; Ernährungsprävention universell anwendbar.</w:t>
      </w:r>
    </w:p>
    <w:p>
      <w:r>
        <w:rPr>
          <w:color w:val="5A7D3A"/>
          <w:sz w:val="18"/>
        </w:rPr>
        <w:t>https://pubmed.ncbi.nlm.nih.gov/42773062/</w:t>
      </w:r>
    </w:p>
    <w:p>
      <w:pPr>
        <w:pStyle w:val="Heading2"/>
      </w:pPr>
      <w:r>
        <w:t>Hepatitis-C-Versorgungslücken bei australischen First Nations: Weg zur Elimination bis 2030</w:t>
      </w:r>
    </w:p>
    <w:p>
      <w:r>
        <w:rPr>
          <w:i/>
          <w:color w:val="666666"/>
          <w:sz w:val="18"/>
        </w:rPr>
        <w:t>Ward J et al.  ·  Med J Aust  ·  Sept. 2026  ·  PMID 42772855</w:t>
      </w:r>
    </w:p>
    <w:p>
      <w:r>
        <w:t>Analyse der Hepatitis-C-Versorgung unter australischen First Nations zeigte, dass diese Bevölkerung überproportional betroffen ist (18% der chronischen Fälle bei 4% der Bevölkerung), aber langsamere Therapieaufnahme hat als nicht-indigene Australier.</w:t>
      </w:r>
    </w:p>
    <w:p>
      <w:r>
        <w:rPr>
          <w:b/>
        </w:rPr>
        <w:t xml:space="preserve">Ergebnis: </w:t>
      </w:r>
      <w:r>
        <w:t>First Nations Australians haben trotz Überrepräsentation mit 18% der chronischen Hepatitis-C-Fälle langsamere Aufnahme von Direct-Acting-Antiviral-Therapie als nicht-indigene Australier. Erreichung der nationalen Eliminationsziele bis 2030 erfordert Strategien mit Equity-Framework zur Schließung von Versorgungslücken.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vergleichbare Inequity-Strukturen; zeigt Versorgungsbarrieren für marginalisierte Gruppen.</w:t>
      </w:r>
    </w:p>
    <w:p>
      <w:r>
        <w:rPr>
          <w:color w:val="5A7D3A"/>
          <w:sz w:val="18"/>
        </w:rPr>
        <w:t>https://pubmed.ncbi.nlm.nih.gov/42772855/</w:t>
      </w:r>
    </w:p>
    <w:p>
      <w:pPr>
        <w:pStyle w:val="Heading2"/>
      </w:pPr>
      <w:r>
        <w:t>Physiotherapie-Assistenten erhöhten Mobilisierungsfrequenz bei älteren Patienten mit Mehrfacherkrankungen im Krankenhaus</w:t>
      </w:r>
    </w:p>
    <w:p>
      <w:r>
        <w:rPr>
          <w:i/>
          <w:color w:val="666666"/>
          <w:sz w:val="18"/>
        </w:rPr>
        <w:t>Snowdon DA et al.  ·  Age Ageing  ·  04.09.2026  ·  PMID 42771780</w:t>
      </w:r>
    </w:p>
    <w:p>
      <w:r>
        <w:t>Machbarkeitsstudie (n=61, mittleres Alter 77 Jahre) untersuchte, ob Physio-Assistenten unter Supervision von Physiotherapeuten die Mobilisierungsintensität bei hospitalisierten älteren Patienten mit Mehrfacherkrankungen erhöhen können.</w:t>
      </w:r>
    </w:p>
    <w:p>
      <w:r>
        <w:rPr>
          <w:b/>
        </w:rPr>
        <w:t xml:space="preserve">Ergebnis: </w:t>
      </w:r>
      <w:r>
        <w:t>Patienten mit Physio-Assistent erhielten durchschnittlich 12 Minuten mehr Therapie pro Tag als Physiotherapie-Gruppe (95% KI 6–17). Patienten mit Assistent liefen häufiger (66% vs. 59% der Tage), mittlere Hospitalisierungsdauer war 3 Tage kürzer, akute Kosten $1.425 niedriger. Unerwünschte Ereignisse waren vergleichbar.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stationäre Struktur; übertragbar auf Akutkrankenhäuser mit multiprofessionellen Teams.</w:t>
      </w:r>
    </w:p>
    <w:p>
      <w:r>
        <w:rPr>
          <w:color w:val="5A7D3A"/>
          <w:sz w:val="18"/>
        </w:rPr>
        <w:t>https://pubmed.ncbi.nlm.nih.gov/42771780/</w:t>
      </w:r>
    </w:p>
    <w:p>
      <w:pPr>
        <w:pStyle w:val="Heading2"/>
      </w:pPr>
      <w:r>
        <w:t>Melatonin zeigte Trend zur Reduktion COPD-bedingter Krankenhausaufnahmen, aber nicht zur Rauchentwöhnung</w:t>
      </w:r>
    </w:p>
    <w:p>
      <w:r>
        <w:rPr>
          <w:i/>
          <w:color w:val="666666"/>
          <w:sz w:val="18"/>
        </w:rPr>
        <w:t>Gholinataj Jelodar M et al.  ·  Can Respir J  ·  2026  ·  PMID 42770942</w:t>
      </w:r>
    </w:p>
    <w:p>
      <w:r>
        <w:t>Randomisierte, dreifach verblindete Studie (n=60 männliche COPD-Patienten mit Rauchen) untersuchte über 180 Tage, ob Melatonin (5 mg) Nikotinabhängigkeit und COPD-Exazerbationen reduziert.</w:t>
      </w:r>
    </w:p>
    <w:p>
      <w:r>
        <w:rPr>
          <w:b/>
        </w:rPr>
        <w:t xml:space="preserve">Ergebnis: </w:t>
      </w:r>
      <w:r>
        <w:t>Beide Gruppen zeigten Reduktion der Zigarettenkonsum und Verbesserung psychologischer Scores ohne signifikante Gruppenunterschiede. COPD-Exazerbations-Hospitalisierungen waren im Melatonin-Arm numerisch niedriger (4% vs. 24%, Placebo), aber nicht statistisch signifikant. Melatonin hatte keinen Effekt auf Rauchentwöhnung oder psychische Outcomes.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Iran; begrenzte Anwendbarkeit; exploratorischer Befund bedarf größerer, adequat gepowerter Studien.</w:t>
      </w:r>
    </w:p>
    <w:p>
      <w:r>
        <w:rPr>
          <w:color w:val="5A7D3A"/>
          <w:sz w:val="18"/>
        </w:rPr>
        <w:t>https://pubmed.ncbi.nlm.nih.gov/42770942/</w:t>
      </w:r>
    </w:p>
    <w:p>
      <w:pPr>
        <w:pStyle w:val="Heading2"/>
      </w:pPr>
      <w:r>
        <w:t>Qualitätsverbesserung bei COPD-Patienten mit hohem Risiko: Lektionen aus dem CONQUEST-Programm</w:t>
      </w:r>
    </w:p>
    <w:p>
      <w:r>
        <w:rPr>
          <w:i/>
          <w:color w:val="666666"/>
          <w:sz w:val="18"/>
        </w:rPr>
        <w:t>Halpin DMG et al.  ·  Prim Health Care Res Dev  ·  22.09.2026  ·  PMID 42770200</w:t>
      </w:r>
    </w:p>
    <w:p>
      <w:r>
        <w:t>Das CONQUEST-Programm identifizierte COPD-Patienten mit hohem Komplikationsrisiko in der britischen Primärversorgung und optimierte deren Management durch strukturierte Versorgungspfade mit Datenüberwachung und ressourcenplanung.</w:t>
      </w:r>
    </w:p>
    <w:p>
      <w:r>
        <w:rPr>
          <w:b/>
        </w:rPr>
        <w:t xml:space="preserve">Ergebnis: </w:t>
      </w:r>
      <w:r>
        <w:t>Das Programm identifizierte COPD-Patienten mit erhöhtem Risiko für unerwünschte Ereignisse bei geringer Patientenzahl pro Praxis erfolgreich. Schlüssellektionen: Qualitätverbesserungsprogramme müssen flexibel für lokale Kontexte adaptierbar sein, frühzeitige Datenüberwachung ermöglicht effiziente Problemlösung, und ressourcenplanung ist für die praktische Umsetzung unerlässlich.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UK-Primärversorgung mit Case-Management-Struktur; transferierbar auf deutsche Hausarztpraxen mit DMP-Koordination.</w:t>
      </w:r>
    </w:p>
    <w:p>
      <w:r>
        <w:rPr>
          <w:color w:val="5A7D3A"/>
          <w:sz w:val="18"/>
        </w:rPr>
        <w:t>https://pubmed.ncbi.nlm.nih.gov/42770200/</w:t>
      </w:r>
    </w:p>
    <w:p>
      <w:pPr>
        <w:pStyle w:val="Heading2"/>
      </w:pPr>
      <w:r>
        <w:t>Exergaming verbesserte Balance und Gehfunktion bei älteren Patienten mit chronischen Erkrankungen</w:t>
      </w:r>
    </w:p>
    <w:p>
      <w:r>
        <w:rPr>
          <w:i/>
          <w:color w:val="666666"/>
          <w:sz w:val="18"/>
        </w:rPr>
        <w:t>Ge B et al.  ·  Front Public Health  ·  07.09.2026  ·  PMID 42769539</w:t>
      </w:r>
    </w:p>
    <w:p>
      <w:r>
        <w:t>Systematische Übersichtsarbeit mit Metaanalyse von 11 RCTs (n=älter Erwachsene ≥60 Jahre mit chronischen Erkrankungen in der Gemeinde) untersuchte Effekte von Exergaming auf Balance und funktionale Mobilität.</w:t>
      </w:r>
    </w:p>
    <w:p>
      <w:r>
        <w:rPr>
          <w:b/>
        </w:rPr>
        <w:t xml:space="preserve">Ergebnis: </w:t>
      </w:r>
      <w:r>
        <w:t>Exergaming verbesserte signifikant Balance (gemessen Berg Balance Scale, MD=2,93, 95% KI 0,44–5,41, p=0,021) und dynamische Gehfähigkeit (Dynamic Gait Index, MD=0,72, 95% KI 0,09–1,35, p=0,025). Größere Vorteile bei ≥8 Wochen Dauer und überwachtem Training. Heterogenität niedrig bis moderat.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RCTs, Community-Setting; methodisch hochwertig aber Transferbarkeit auf Primärversorgung unklar.</w:t>
      </w:r>
    </w:p>
    <w:p>
      <w:r>
        <w:rPr>
          <w:color w:val="5A7D3A"/>
          <w:sz w:val="18"/>
        </w:rPr>
        <w:t>https://pubmed.ncbi.nlm.nih.gov/42769539/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2026-09-23T06:00:00Z</dcterms:created>
  <dcterms:modified xsi:type="dcterms:W3CDTF">2026-09-23T06:00:00Z</dcterms:modified>
  <cp:category/>
</cp:coreProperties>
</file>