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drawing>
          <wp:inline xmlns:a="http://schemas.openxmlformats.org/drawingml/2006/main" xmlns:pic="http://schemas.openxmlformats.org/drawingml/2006/picture">
            <wp:extent cx="1737360" cy="459641"/>
            <wp:docPr id="1" name="Picture 1"/>
            <wp:cNvGraphicFramePr>
              <a:graphicFrameLocks noChangeAspect="1"/>
            </wp:cNvGraphicFramePr>
            <a:graphic>
              <a:graphicData uri="http://schemas.openxmlformats.org/drawingml/2006/picture">
                <pic:pic>
                  <pic:nvPicPr>
                    <pic:cNvPr id="0" name="mvf-logo.png"/>
                    <pic:cNvPicPr/>
                  </pic:nvPicPr>
                  <pic:blipFill>
                    <a:blip r:embed="rId9"/>
                    <a:stretch>
                      <a:fillRect/>
                    </a:stretch>
                  </pic:blipFill>
                  <pic:spPr>
                    <a:xfrm>
                      <a:off x="0" y="0"/>
                      <a:ext cx="1737360" cy="459641"/>
                    </a:xfrm>
                    <a:prstGeom prst="rect"/>
                  </pic:spPr>
                </pic:pic>
              </a:graphicData>
            </a:graphic>
          </wp:inline>
        </w:drawing>
      </w:r>
    </w:p>
    <w:p>
      <w:r>
        <w:rPr>
          <w:color w:val="0051A1"/>
          <w:sz w:val="19"/>
        </w:rPr>
        <w:t>Ein Service des Knowledge-Hubs von Monitor Versorgungsforschung. Täglich automatisiert KI-kuratiert aus PubMed und auf Deutsch übersetzt.</w:t>
      </w:r>
    </w:p>
    <w:p>
      <w:pPr>
        <w:pStyle w:val="Title"/>
      </w:pPr>
      <w:r>
        <w:t>Studienarchiv - Nicht uebertragbare Krankheiten</w:t>
      </w:r>
    </w:p>
    <w:p>
      <w:r>
        <w:rPr>
          <w:i/>
          <w:color w:val="666666"/>
          <w:sz w:val="18"/>
        </w:rPr>
        <w:t>Stand: 23.09.2026  |  190 Studien  |  ncd.m-vf.de</w:t>
      </w:r>
    </w:p>
    <w:p>
      <w:pPr>
        <w:pStyle w:val="Heading1"/>
      </w:pPr>
      <w:r>
        <w:t>Aufgenommen am 23.09.2026</w:t>
      </w:r>
    </w:p>
    <w:p>
      <w:pPr>
        <w:pStyle w:val="Heading2"/>
      </w:pPr>
      <w:r>
        <w:t>Ultra-verarbeitete Lebensmittel erhöhen Risiko für Mehrfacherkrankungen: Dose-Wirkungs-Analyse mit 8,8 Millionen Teilnehmern</w:t>
      </w:r>
    </w:p>
    <w:p>
      <w:r>
        <w:rPr>
          <w:i/>
          <w:color w:val="666666"/>
          <w:sz w:val="18"/>
        </w:rPr>
        <w:t>Liu X et al.  ·  Fam Med Community Health  ·  22.09.2026  ·  PMID 42773062</w:t>
      </w:r>
    </w:p>
    <w:p>
      <w:r>
        <w:t>Dosisabhängige Metaanalyse von 51 prospektiven Kohortenstudien (n=8.819.894 Erwachsene) untersuchte Assoziation zwischen Ultra-Verarbeitete-Lebensmittel-Konsum und Krankheitslast chronischer nicht-übertragbarer Erkrankungen.</w:t>
      </w:r>
    </w:p>
    <w:p>
      <w:r>
        <w:rPr>
          <w:b/>
        </w:rPr>
        <w:t xml:space="preserve">Ergebnis: </w:t>
      </w:r>
      <w:r>
        <w:t>Erhöhter Ultra-Verarbeitete-Lebensmittel-Konsum assoziiert mit kardiovaskulären Ereignissen (HR 1,24, 95% KI 1,14–1,36), Krebs (HR 1,12, 95% KI 1,04–1,21), Adipositas (HR 1,23), metabolisches Syndrom/Diabetes (HR 1,24), Depression/Angst (HR 1,27), Verdauungserkrankungen (HR 1,31) und Mortalität (HR 1,18). Pro 100 g/Tag: Kardiovaskulär HR 1,14, Krebs HR 1,04, Mortalität HR 1,03.</w:t>
      </w:r>
    </w:p>
    <w:p>
      <w:r>
        <w:rPr>
          <w:b/>
          <w:sz w:val="19"/>
        </w:rPr>
        <w:t xml:space="preserve">Übertragbarkeit: </w:t>
      </w:r>
      <w:r>
        <w:rPr>
          <w:sz w:val="19"/>
        </w:rPr>
        <w:t>Bevölkerungsstudien aus LMIC und Hocheinkommensländern; Ernährungsprävention universell anwendbar.</w:t>
      </w:r>
    </w:p>
    <w:p>
      <w:r>
        <w:rPr>
          <w:color w:val="5A7D3A"/>
          <w:sz w:val="18"/>
        </w:rPr>
        <w:t>https://pubmed.ncbi.nlm.nih.gov/42773062/</w:t>
      </w:r>
    </w:p>
    <w:p>
      <w:pPr>
        <w:pStyle w:val="Heading2"/>
      </w:pPr>
      <w:r>
        <w:t>Hepatitis-C-Versorgungslücken bei australischen First Nations: Weg zur Elimination bis 2030</w:t>
      </w:r>
    </w:p>
    <w:p>
      <w:r>
        <w:rPr>
          <w:i/>
          <w:color w:val="666666"/>
          <w:sz w:val="18"/>
        </w:rPr>
        <w:t>Ward J et al.  ·  Med J Aust  ·  Sept. 2026  ·  PMID 42772855</w:t>
      </w:r>
    </w:p>
    <w:p>
      <w:r>
        <w:t>Analyse der Hepatitis-C-Versorgung unter australischen First Nations zeigte, dass diese Bevölkerung überproportional betroffen ist (18% der chronischen Fälle bei 4% der Bevölkerung), aber langsamere Therapieaufnahme hat als nicht-indigene Australier.</w:t>
      </w:r>
    </w:p>
    <w:p>
      <w:r>
        <w:rPr>
          <w:b/>
        </w:rPr>
        <w:t xml:space="preserve">Ergebnis: </w:t>
      </w:r>
      <w:r>
        <w:t>First Nations Australians haben trotz Überrepräsentation mit 18% der chronischen Hepatitis-C-Fälle langsamere Aufnahme von Direct-Acting-Antiviral-Therapie als nicht-indigene Australier. Erreichung der nationalen Eliminationsziele bis 2030 erfordert Strategien mit Equity-Framework zur Schließung von Versorgungslücken.</w:t>
      </w:r>
    </w:p>
    <w:p>
      <w:r>
        <w:rPr>
          <w:b/>
          <w:sz w:val="19"/>
        </w:rPr>
        <w:t xml:space="preserve">Übertragbarkeit: </w:t>
      </w:r>
      <w:r>
        <w:rPr>
          <w:sz w:val="19"/>
        </w:rPr>
        <w:t>Australien, vergleichbare Inequity-Strukturen; zeigt Versorgungsbarrieren für marginalisierte Gruppen.</w:t>
      </w:r>
    </w:p>
    <w:p>
      <w:r>
        <w:rPr>
          <w:color w:val="5A7D3A"/>
          <w:sz w:val="18"/>
        </w:rPr>
        <w:t>https://pubmed.ncbi.nlm.nih.gov/42772855/</w:t>
      </w:r>
    </w:p>
    <w:p>
      <w:pPr>
        <w:pStyle w:val="Heading2"/>
      </w:pPr>
      <w:r>
        <w:t>Physiotherapie-Assistenten erhöhten Mobilisierungsfrequenz bei älteren Patienten mit Mehrfacherkrankungen im Krankenhaus</w:t>
      </w:r>
    </w:p>
    <w:p>
      <w:r>
        <w:rPr>
          <w:i/>
          <w:color w:val="666666"/>
          <w:sz w:val="18"/>
        </w:rPr>
        <w:t>Snowdon DA et al.  ·  Age Ageing  ·  04.09.2026  ·  PMID 42771780</w:t>
      </w:r>
    </w:p>
    <w:p>
      <w:r>
        <w:t>Machbarkeitsstudie (n=61, mittleres Alter 77 Jahre) untersuchte, ob Physio-Assistenten unter Supervision von Physiotherapeuten die Mobilisierungsintensität bei hospitalisierten älteren Patienten mit Mehrfacherkrankungen erhöhen können.</w:t>
      </w:r>
    </w:p>
    <w:p>
      <w:r>
        <w:rPr>
          <w:b/>
        </w:rPr>
        <w:t xml:space="preserve">Ergebnis: </w:t>
      </w:r>
      <w:r>
        <w:t>Patienten mit Physio-Assistent erhielten durchschnittlich 12 Minuten mehr Therapie pro Tag als Physiotherapie-Gruppe (95% KI 6–17). Patienten mit Assistent liefen häufiger (66% vs. 59% der Tage), mittlere Hospitalisierungsdauer war 3 Tage kürzer, akute Kosten $1.425 niedriger. Unerwünschte Ereignisse waren vergleichbar.</w:t>
      </w:r>
    </w:p>
    <w:p>
      <w:r>
        <w:rPr>
          <w:b/>
          <w:sz w:val="19"/>
        </w:rPr>
        <w:t xml:space="preserve">Übertragbarkeit: </w:t>
      </w:r>
      <w:r>
        <w:rPr>
          <w:sz w:val="19"/>
        </w:rPr>
        <w:t>Australien, stationäre Struktur; übertragbar auf Akutkrankenhäuser mit multiprofessionellen Teams.</w:t>
      </w:r>
    </w:p>
    <w:p>
      <w:r>
        <w:rPr>
          <w:color w:val="5A7D3A"/>
          <w:sz w:val="18"/>
        </w:rPr>
        <w:t>https://pubmed.ncbi.nlm.nih.gov/42771780/</w:t>
      </w:r>
    </w:p>
    <w:p>
      <w:pPr>
        <w:pStyle w:val="Heading2"/>
      </w:pPr>
      <w:r>
        <w:t>Melatonin zeigte Trend zur Reduktion COPD-bedingter Krankenhausaufnahmen, aber nicht zur Rauchentwöhnung</w:t>
      </w:r>
    </w:p>
    <w:p>
      <w:r>
        <w:rPr>
          <w:i/>
          <w:color w:val="666666"/>
          <w:sz w:val="18"/>
        </w:rPr>
        <w:t>Gholinataj Jelodar M et al.  ·  Can Respir J  ·  2026  ·  PMID 42770942</w:t>
      </w:r>
    </w:p>
    <w:p>
      <w:r>
        <w:t>Randomisierte, dreifach verblindete Studie (n=60 männliche COPD-Patienten mit Rauchen) untersuchte über 180 Tage, ob Melatonin (5 mg) Nikotinabhängigkeit und COPD-Exazerbationen reduziert.</w:t>
      </w:r>
    </w:p>
    <w:p>
      <w:r>
        <w:rPr>
          <w:b/>
        </w:rPr>
        <w:t xml:space="preserve">Ergebnis: </w:t>
      </w:r>
      <w:r>
        <w:t>Beide Gruppen zeigten Reduktion der Zigarettenkonsum und Verbesserung psychologischer Scores ohne signifikante Gruppenunterschiede. COPD-Exazerbations-Hospitalisierungen waren im Melatonin-Arm numerisch niedriger (4% vs. 24%, Placebo), aber nicht statistisch signifikant. Melatonin hatte keinen Effekt auf Rauchentwöhnung oder psychische Outcomes.</w:t>
      </w:r>
    </w:p>
    <w:p>
      <w:r>
        <w:rPr>
          <w:b/>
          <w:sz w:val="19"/>
        </w:rPr>
        <w:t xml:space="preserve">Übertragbarkeit: </w:t>
      </w:r>
      <w:r>
        <w:rPr>
          <w:sz w:val="19"/>
        </w:rPr>
        <w:t>Iran; begrenzte Anwendbarkeit; exploratorischer Befund bedarf größerer, adequat gepowerter Studien.</w:t>
      </w:r>
    </w:p>
    <w:p>
      <w:r>
        <w:rPr>
          <w:color w:val="5A7D3A"/>
          <w:sz w:val="18"/>
        </w:rPr>
        <w:t>https://pubmed.ncbi.nlm.nih.gov/42770942/</w:t>
      </w:r>
    </w:p>
    <w:p>
      <w:pPr>
        <w:pStyle w:val="Heading2"/>
      </w:pPr>
      <w:r>
        <w:t>Qualitätsverbesserung bei COPD-Patienten mit hohem Risiko: Lektionen aus dem CONQUEST-Programm</w:t>
      </w:r>
    </w:p>
    <w:p>
      <w:r>
        <w:rPr>
          <w:i/>
          <w:color w:val="666666"/>
          <w:sz w:val="18"/>
        </w:rPr>
        <w:t>Halpin DMG et al.  ·  Prim Health Care Res Dev  ·  22.09.2026  ·  PMID 42770200</w:t>
      </w:r>
    </w:p>
    <w:p>
      <w:r>
        <w:t>Das CONQUEST-Programm identifizierte COPD-Patienten mit hohem Komplikationsrisiko in der britischen Primärversorgung und optimierte deren Management durch strukturierte Versorgungspfade mit Datenüberwachung und ressourcenplanung.</w:t>
      </w:r>
    </w:p>
    <w:p>
      <w:r>
        <w:rPr>
          <w:b/>
        </w:rPr>
        <w:t xml:space="preserve">Ergebnis: </w:t>
      </w:r>
      <w:r>
        <w:t>Das Programm identifizierte COPD-Patienten mit erhöhtem Risiko für unerwünschte Ereignisse bei geringer Patientenzahl pro Praxis erfolgreich. Schlüssellektionen: Qualitätverbesserungsprogramme müssen flexibel für lokale Kontexte adaptierbar sein, frühzeitige Datenüberwachung ermöglicht effiziente Problemlösung, und ressourcenplanung ist für die praktische Umsetzung unerlässlich.</w:t>
      </w:r>
    </w:p>
    <w:p>
      <w:r>
        <w:rPr>
          <w:b/>
          <w:sz w:val="19"/>
        </w:rPr>
        <w:t xml:space="preserve">Übertragbarkeit: </w:t>
      </w:r>
      <w:r>
        <w:rPr>
          <w:sz w:val="19"/>
        </w:rPr>
        <w:t>UK-Primärversorgung mit Case-Management-Struktur; transferierbar auf deutsche Hausarztpraxen mit DMP-Koordination.</w:t>
      </w:r>
    </w:p>
    <w:p>
      <w:r>
        <w:rPr>
          <w:color w:val="5A7D3A"/>
          <w:sz w:val="18"/>
        </w:rPr>
        <w:t>https://pubmed.ncbi.nlm.nih.gov/42770200/</w:t>
      </w:r>
    </w:p>
    <w:p>
      <w:pPr>
        <w:pStyle w:val="Heading2"/>
      </w:pPr>
      <w:r>
        <w:t>Exergaming verbesserte Balance und Gehfunktion bei älteren Patienten mit chronischen Erkrankungen</w:t>
      </w:r>
    </w:p>
    <w:p>
      <w:r>
        <w:rPr>
          <w:i/>
          <w:color w:val="666666"/>
          <w:sz w:val="18"/>
        </w:rPr>
        <w:t>Ge B et al.  ·  Front Public Health  ·  07.09.2026  ·  PMID 42769539</w:t>
      </w:r>
    </w:p>
    <w:p>
      <w:r>
        <w:t>Systematische Übersichtsarbeit mit Metaanalyse von 11 RCTs (n=älter Erwachsene ≥60 Jahre mit chronischen Erkrankungen in der Gemeinde) untersuchte Effekte von Exergaming auf Balance und funktionale Mobilität.</w:t>
      </w:r>
    </w:p>
    <w:p>
      <w:r>
        <w:rPr>
          <w:b/>
        </w:rPr>
        <w:t xml:space="preserve">Ergebnis: </w:t>
      </w:r>
      <w:r>
        <w:t>Exergaming verbesserte signifikant Balance (gemessen Berg Balance Scale, MD=2,93, 95% KI 0,44–5,41, p=0,021) und dynamische Gehfähigkeit (Dynamic Gait Index, MD=0,72, 95% KI 0,09–1,35, p=0,025). Größere Vorteile bei ≥8 Wochen Dauer und überwachtem Training. Heterogenität niedrig bis moderat.</w:t>
      </w:r>
    </w:p>
    <w:p>
      <w:r>
        <w:rPr>
          <w:b/>
          <w:sz w:val="19"/>
        </w:rPr>
        <w:t xml:space="preserve">Übertragbarkeit: </w:t>
      </w:r>
      <w:r>
        <w:rPr>
          <w:sz w:val="19"/>
        </w:rPr>
        <w:t>Internationale RCTs, Community-Setting; methodisch hochwertig aber Transferbarkeit auf Primärversorgung unklar.</w:t>
      </w:r>
    </w:p>
    <w:p>
      <w:r>
        <w:rPr>
          <w:color w:val="5A7D3A"/>
          <w:sz w:val="18"/>
        </w:rPr>
        <w:t>https://pubmed.ncbi.nlm.nih.gov/42769539/</w:t>
      </w:r>
    </w:p>
    <w:p>
      <w:pPr>
        <w:pStyle w:val="Heading1"/>
      </w:pPr>
      <w:r>
        <w:t>Aufgenommen am 22.09.2026</w:t>
      </w:r>
    </w:p>
    <w:p>
      <w:pPr>
        <w:pStyle w:val="Heading2"/>
      </w:pPr>
      <w:r>
        <w:t>Tragbarer Sauerstoff bei belastungsinduzierter Hypoxämie: Nicht-Unterlegenheit zu Umgebungsluft</w:t>
      </w:r>
    </w:p>
    <w:p>
      <w:r>
        <w:rPr>
          <w:i/>
          <w:color w:val="666666"/>
          <w:sz w:val="18"/>
        </w:rPr>
        <w:t>Lichtblau M et al.  ·  BMJ Open Respir Res  ·  21.09.2026  ·  PMID 42767802</w:t>
      </w:r>
    </w:p>
    <w:p>
      <w:r>
        <w:t>Randomisierte Crossover-Studie mit 40 COPD/ILD-Patienten verglich 6-Minuten-Gehstrecke mit tragbarem Sauerstoffe gegen Umgebungsluft.</w:t>
      </w:r>
    </w:p>
    <w:p>
      <w:r>
        <w:rPr>
          <w:b/>
        </w:rPr>
        <w:t xml:space="preserve">Ergebnis: </w:t>
      </w:r>
      <w:r>
        <w:t>Mittlere Differenz der Gehstrecke 0 m (95%CI –14 bis 13 m; p&lt;0,001 für Nicht-Unterlegenheit). Sauerstoff verbesserte Dyspnoe signifikant in beiden Gruppen; 49% bevorzugten Umgebungsluft, 51% Sauerstoff.</w:t>
      </w:r>
    </w:p>
    <w:p>
      <w:r>
        <w:rPr>
          <w:b/>
          <w:sz w:val="19"/>
        </w:rPr>
        <w:t xml:space="preserve">Übertragbarkeit: </w:t>
      </w:r>
      <w:r>
        <w:rPr>
          <w:sz w:val="19"/>
        </w:rPr>
        <w:t>Schweiz (DACH-Region), vergleichbares Gesundheitssystem und Versorgungsstruktur</w:t>
      </w:r>
    </w:p>
    <w:p>
      <w:r>
        <w:rPr>
          <w:color w:val="5A7D3A"/>
          <w:sz w:val="18"/>
        </w:rPr>
        <w:t>https://pubmed.ncbi.nlm.nih.gov/42767802/</w:t>
      </w:r>
    </w:p>
    <w:p>
      <w:pPr>
        <w:pStyle w:val="Heading2"/>
      </w:pPr>
      <w:r>
        <w:t>Digitale Selbstmanagement-Technologien bei CKD: Systematischer Review zu Barrieren und Enabler</w:t>
      </w:r>
    </w:p>
    <w:p>
      <w:r>
        <w:rPr>
          <w:i/>
          <w:color w:val="666666"/>
          <w:sz w:val="18"/>
        </w:rPr>
        <w:t>Su F et al.  ·  J Med Internet Res  ·  21.09.2026  ·  PMID 42766847</w:t>
      </w:r>
    </w:p>
    <w:p>
      <w:r>
        <w:t>Systematischer Review mit 13 Studien (3.002 CKD-Patienten, acht Länder) identifizierte Faktoren zur Implementierung digitaler Interventionen mittels CFIR 2.0-Rahmen.</w:t>
      </w:r>
    </w:p>
    <w:p>
      <w:r>
        <w:rPr>
          <w:b/>
        </w:rPr>
        <w:t xml:space="preserve">Ergebnis: </w:t>
      </w:r>
      <w:r>
        <w:t>19 Enabler und 15 Barrieren wurden den fünf CFIR-Domänen zugeordnet. Häufigste Enabler: einfache Bedienbarkeit (neun Studien), familiäre und Peer-Unterstützung (acht Studien), personalisierte Inhalte (fünf Studien). Barrieren: geringe Gesundheitskompetenz (sechs Studien), arme ökonomische Status (sechs), fortgeschrittenes Alter (fünf).</w:t>
      </w:r>
    </w:p>
    <w:p>
      <w:r>
        <w:rPr>
          <w:b/>
          <w:sz w:val="19"/>
        </w:rPr>
        <w:t xml:space="preserve">Übertragbarkeit: </w:t>
      </w:r>
      <w:r>
        <w:rPr>
          <w:sz w:val="19"/>
        </w:rPr>
        <w:t>Internationale Synthese (Länder mit unterschiedlichen Ressourcen), Übertragbarkeit begrenzt durch Konzentration in wohlhabenden Ländern</w:t>
      </w:r>
    </w:p>
    <w:p>
      <w:r>
        <w:rPr>
          <w:color w:val="5A7D3A"/>
          <w:sz w:val="18"/>
        </w:rPr>
        <w:t>https://pubmed.ncbi.nlm.nih.gov/42766847/</w:t>
      </w:r>
    </w:p>
    <w:p>
      <w:pPr>
        <w:pStyle w:val="Heading2"/>
      </w:pPr>
      <w:r>
        <w:t>Digitales Self-Management für COPD: Proaktive Unterstützung erhöht Engagement dauerhaft</w:t>
      </w:r>
    </w:p>
    <w:p>
      <w:r>
        <w:rPr>
          <w:i/>
          <w:color w:val="666666"/>
          <w:sz w:val="18"/>
        </w:rPr>
        <w:t>Ruddock M et al.  ·  JMIR Hum Factors  ·  21.09.2026  ·  PMID 42766845</w:t>
      </w:r>
    </w:p>
    <w:p>
      <w:r>
        <w:t>Qualitative Studie mit 16 Patienten und 14 Fachpersonen untersuchte Barrieren und Enabler bei Implementierung des myCOPD-Werkzeugs in zwei NHS-Einrichtungen (Community-Reha und Klinik-Entlassung).</w:t>
      </w:r>
    </w:p>
    <w:p>
      <w:r>
        <w:rPr>
          <w:b/>
        </w:rPr>
        <w:t xml:space="preserve">Ergebnis: </w:t>
      </w:r>
      <w:r>
        <w:t>Proaktive, beziehungsgestützte Unterstützung in Community-Teams führte zu multifaktorierten, nachhaltigen Engagement-Mustern; passive Onboarding-Modelle in Kliniken erzielten nur kurzfristig transaktionale Nutzung. Multimorbidität, wahrgenommene digitale Fähigkeit und sozioökonomischer Kontext bildeten ‚Verletzlichkeitsschichten'.</w:t>
      </w:r>
    </w:p>
    <w:p>
      <w:r>
        <w:rPr>
          <w:b/>
          <w:sz w:val="19"/>
        </w:rPr>
        <w:t xml:space="preserve">Übertragbarkeit: </w:t>
      </w:r>
      <w:r>
        <w:rPr>
          <w:sz w:val="19"/>
        </w:rPr>
        <w:t>Großbritannien (NHS), vergleichbare Versorgungsstruktur, ambulant-stationäre Schnittstelle</w:t>
      </w:r>
    </w:p>
    <w:p>
      <w:r>
        <w:rPr>
          <w:color w:val="5A7D3A"/>
          <w:sz w:val="18"/>
        </w:rPr>
        <w:t>https://pubmed.ncbi.nlm.nih.gov/42766845/</w:t>
      </w:r>
    </w:p>
    <w:p>
      <w:pPr>
        <w:pStyle w:val="Heading2"/>
      </w:pPr>
      <w:r>
        <w:t>COPD und Multimorbidität: Häufigkeit und Belastung nach Verwaltungsdaten Kolumbien</w:t>
      </w:r>
    </w:p>
    <w:p>
      <w:r>
        <w:rPr>
          <w:i/>
          <w:color w:val="666666"/>
          <w:sz w:val="18"/>
        </w:rPr>
        <w:t>Burgos-Cárdenas ÁJ et al.  ·  Int J Chron Obstruct Pulmon Dis  ·  16.09.2026  ·  PMID 42765005</w:t>
      </w:r>
    </w:p>
    <w:p>
      <w:r>
        <w:t>Querschnittsstudie an 6.865.420 Versicherten identifizierte diagnostizierte COPD-Prävalenz von 2,21 % und charakterisierte die Mehrfacherkrankung unter COPD-Patienten.</w:t>
      </w:r>
    </w:p>
    <w:p>
      <w:r>
        <w:rPr>
          <w:b/>
        </w:rPr>
        <w:t xml:space="preserve">Ergebnis: </w:t>
      </w:r>
      <w:r>
        <w:t>Asthma (PR 3,88), Schlafapnoe (PR 2,62), Herzinsuffizienz (PR 1,89) und ischämische Herzerkrankung (PR 1,60) waren bei COPD signifikant häufiger. Lungenkrebs PR 6,41. Ergebnisse unterstützen interdisziplinäre Versorgungsmodelle.</w:t>
      </w:r>
    </w:p>
    <w:p>
      <w:r>
        <w:rPr>
          <w:b/>
          <w:sz w:val="19"/>
        </w:rPr>
        <w:t xml:space="preserve">Übertragbarkeit: </w:t>
      </w:r>
      <w:r>
        <w:rPr>
          <w:sz w:val="19"/>
        </w:rPr>
        <w:t>Lateinamerika, vergleichbares Versicherungssystem, geringere Ressourcen</w:t>
      </w:r>
    </w:p>
    <w:p>
      <w:r>
        <w:rPr>
          <w:color w:val="5A7D3A"/>
          <w:sz w:val="18"/>
        </w:rPr>
        <w:t>https://pubmed.ncbi.nlm.nih.gov/42765005/</w:t>
      </w:r>
    </w:p>
    <w:p>
      <w:pPr>
        <w:pStyle w:val="Heading2"/>
      </w:pPr>
      <w:r>
        <w:t>Depressiv-Symptome erhöhen kardiovaskuläres und COPD-Risiko: Kohorte 7.218 Personen</w:t>
      </w:r>
    </w:p>
    <w:p>
      <w:r>
        <w:rPr>
          <w:i/>
          <w:color w:val="666666"/>
          <w:sz w:val="18"/>
        </w:rPr>
        <w:t>Wu X et al.  ·  Zhonghua Liu Xing Bing Xue Za Zhi  ·  10.09.2026  ·  PMID 42763189</w:t>
      </w:r>
    </w:p>
    <w:p>
      <w:r>
        <w:t>Prospektive Kohorte mit 7.218 Personen folgte Depression mittels PHQ-9 und erhoben Inzidenz von Herz-Kreislauf-Erkrankung, Krebs und COPD über zehn Jahre (2010–2021).</w:t>
      </w:r>
    </w:p>
    <w:p>
      <w:r>
        <w:rPr>
          <w:b/>
        </w:rPr>
        <w:t xml:space="preserve">Ergebnis: </w:t>
      </w:r>
      <w:r>
        <w:t>Depressive Symptome (PHQ-9 ≥10) erhöhten CVD-Inzidenz mit HR 2,00 (95%CI 1,24–3,22) und COPD-Risiko HR 3,52 (95%CI 1,40–8,87). Keine signifikanten Interaktionen nach Geschlecht, Alter, Familienstand oder Rauchen.</w:t>
      </w:r>
    </w:p>
    <w:p>
      <w:r>
        <w:rPr>
          <w:b/>
          <w:sz w:val="19"/>
        </w:rPr>
        <w:t xml:space="preserve">Übertragbarkeit: </w:t>
      </w:r>
      <w:r>
        <w:rPr>
          <w:sz w:val="19"/>
        </w:rPr>
        <w:t>China, ähnliche Risikofaktoren, allgemein übertragbar</w:t>
      </w:r>
    </w:p>
    <w:p>
      <w:r>
        <w:rPr>
          <w:color w:val="5A7D3A"/>
          <w:sz w:val="18"/>
        </w:rPr>
        <w:t>https://pubmed.ncbi.nlm.nih.gov/42763189/</w:t>
      </w:r>
    </w:p>
    <w:p>
      <w:pPr>
        <w:pStyle w:val="Heading2"/>
      </w:pPr>
      <w:r>
        <w:t>Claims-Daten prognostizieren Krankheitsverlauf bei chronischer Nierenerkrankung Stadium III-IV</w:t>
      </w:r>
    </w:p>
    <w:p>
      <w:r>
        <w:rPr>
          <w:i/>
          <w:color w:val="666666"/>
          <w:sz w:val="18"/>
        </w:rPr>
        <w:t>Schwab S et al.  ·  Kidney Blood Press Res  ·  25.07.2026  ·  PMID 42501341</w:t>
      </w:r>
    </w:p>
    <w:p>
      <w:r>
        <w:t>Analyse von 29.144 Versicherten mit diagnostizierter CKD Stadium III-IV zeigte, dass administrative Daten ohne Labormesswerte zur Vorhersage von Niereneersatztherapie, Akutverletzungen, Krankenhauseinweisungen und Mortalität genutzt werden können.</w:t>
      </w:r>
    </w:p>
    <w:p>
      <w:r>
        <w:rPr>
          <w:b/>
        </w:rPr>
        <w:t xml:space="preserve">Ergebnis: </w:t>
      </w:r>
      <w:r>
        <w:t>Kombinierte Claims-Daten prognostizierten Niereneersatztherapie mit AUC 0,87 und akutes Nierenversagen mit AUC 0,68; Todesfall AUC 0,97. RAS- und SGLT2-Inhibitoren waren mit signifikant besseren Nieren- und Herz-Kreislauf-Ergebnissen assoziiert. CKD-Stadium verbesserte alle Modelle erheblich.</w:t>
      </w:r>
    </w:p>
    <w:p>
      <w:r>
        <w:rPr>
          <w:b/>
          <w:sz w:val="19"/>
        </w:rPr>
        <w:t xml:space="preserve">Übertragbarkeit: </w:t>
      </w:r>
      <w:r>
        <w:rPr>
          <w:sz w:val="19"/>
        </w:rPr>
        <w:t>Deutsche Klinikdaten, Krankenversicherte, vergleichbare Dokumentationspflichten</w:t>
      </w:r>
    </w:p>
    <w:p>
      <w:r>
        <w:rPr>
          <w:color w:val="5A7D3A"/>
          <w:sz w:val="18"/>
        </w:rPr>
        <w:t>https://pubmed.ncbi.nlm.nih.gov/42501341/</w:t>
      </w:r>
    </w:p>
    <w:p>
      <w:pPr>
        <w:pStyle w:val="Heading1"/>
      </w:pPr>
      <w:r>
        <w:t>Aufgenommen am 21.09.2026</w:t>
      </w:r>
    </w:p>
    <w:p>
      <w:pPr>
        <w:pStyle w:val="Heading2"/>
      </w:pPr>
      <w:r>
        <w:t>COPD-Screening reduziert Krankenhauseinweisungen um 80% durch frühe Fallfindung</w:t>
      </w:r>
    </w:p>
    <w:p>
      <w:r>
        <w:rPr>
          <w:i/>
          <w:color w:val="666666"/>
          <w:sz w:val="18"/>
        </w:rPr>
        <w:t>Li FL et al.  ·  Zhonghua Liu Xing Bing Xue Za Zhi  ·  10.09.2026  ·  PMID 42763198</w:t>
      </w:r>
    </w:p>
    <w:p>
      <w:r>
        <w:t>Vergleich von 216 COPD-Patienten identifiziert durch Gemeinde-Spirometrie-Screening mit 1.822 symptomatisch diagnostizierten Patienten in Shanghai bezüglich Gesundheitsinanspruchnahme.</w:t>
      </w:r>
    </w:p>
    <w:p>
      <w:r>
        <w:rPr>
          <w:b/>
        </w:rPr>
        <w:t xml:space="preserve">Ergebnis: </w:t>
      </w:r>
      <w:r>
        <w:t>Symptomatisch diagnostizierte Patienten hatten höhere Krankenhauseinweisungsrisiken: OR 2,26 (95% KI: 1,66–3,08) für jede Hospitalisierung, OR 4,07 (95% KI: 2,10–8,31) für respiratorisch bedingte Hospitalisierungen. Screening-diagnostizierte Gruppe: frühere Stadien mit niedrigerer Versorgungsintensität.</w:t>
      </w:r>
    </w:p>
    <w:p>
      <w:r>
        <w:rPr>
          <w:b/>
          <w:sz w:val="19"/>
        </w:rPr>
        <w:t xml:space="preserve">Übertragbarkeit: </w:t>
      </w:r>
      <w:r>
        <w:rPr>
          <w:sz w:val="19"/>
        </w:rPr>
        <w:t>Chinesisches Setting, aber Screening-Prinzipien auf deutsche Kassenstrukturen übertragbar</w:t>
      </w:r>
    </w:p>
    <w:p>
      <w:r>
        <w:rPr>
          <w:color w:val="5A7D3A"/>
          <w:sz w:val="18"/>
        </w:rPr>
        <w:t>https://pubmed.ncbi.nlm.nih.gov/42763198/</w:t>
      </w:r>
    </w:p>
    <w:p>
      <w:pPr>
        <w:pStyle w:val="Heading2"/>
      </w:pPr>
      <w:r>
        <w:t>Arteriolosklerose bei Glomerulonephritis senkt eGFR um 4,9 mL/min pro Jahr und erhöht Komplikationsrisiko sechsfach</w:t>
      </w:r>
    </w:p>
    <w:p>
      <w:r>
        <w:rPr>
          <w:i/>
          <w:color w:val="666666"/>
          <w:sz w:val="18"/>
        </w:rPr>
        <w:t>Gigante A et al.  ·  J Clin Hypertens (Greenwich)  ·  Sept. 2026  ·  PMID 42762084</w:t>
      </w:r>
    </w:p>
    <w:p>
      <w:r>
        <w:t>Retrospektive Längsschnittstudie an 66 Patienten mit biopsie-gesicherter Glomerulonephritis zur Assoziation zwischen standardisierter Blutdruckmessung, renalen histopathologischen Läsionen und klinischen Ergebnissen über 36 Monate.</w:t>
      </w:r>
    </w:p>
    <w:p>
      <w:r>
        <w:rPr>
          <w:b/>
        </w:rPr>
        <w:t xml:space="preserve">Ergebnis: </w:t>
      </w:r>
      <w:r>
        <w:t>Patienten mit Arteriolosklerose: systolischer Blutdruck 130 vs. 120 mmHg (p=0,032). SBP &gt;130 mmHg assoziiert mit Arteriolosklerose (p=0,004). Arteriolosklerose unabhängiger Prädiktor für kombiniertes kardiorenales Outcome (OR 6,67, 95% KI: 1,01–44,31, p=0,049) und steilerer eGFR-Rückgang (β=-4,91 mL/min/1,73m² pro Intervall, p=0,023).</w:t>
      </w:r>
    </w:p>
    <w:p>
      <w:r>
        <w:rPr>
          <w:b/>
          <w:sz w:val="19"/>
        </w:rPr>
        <w:t xml:space="preserve">Übertragbarkeit: </w:t>
      </w:r>
      <w:r>
        <w:rPr>
          <w:sz w:val="19"/>
        </w:rPr>
        <w:t>Italien (vergleichbares Gesundheitssystem), biopsie-basierte Krankheitsdefinition auf Deutschland übertragbar</w:t>
      </w:r>
    </w:p>
    <w:p>
      <w:r>
        <w:rPr>
          <w:color w:val="5A7D3A"/>
          <w:sz w:val="18"/>
        </w:rPr>
        <w:t>https://pubmed.ncbi.nlm.nih.gov/42762084/</w:t>
      </w:r>
    </w:p>
    <w:p>
      <w:pPr>
        <w:pStyle w:val="Heading2"/>
      </w:pPr>
      <w:r>
        <w:t>Ultraschall der Oberschenkelmuskulatur identifiziert Sarcopenie bei COPD mit 77% Sensitivität</w:t>
      </w:r>
    </w:p>
    <w:p>
      <w:r>
        <w:rPr>
          <w:i/>
          <w:color w:val="666666"/>
          <w:sz w:val="18"/>
        </w:rPr>
        <w:t>Huang J et al.  ·  Int J Chron Obstruct Pulmon Dis  ·  14.09.2026  ·  PMID 42761895</w:t>
      </w:r>
    </w:p>
    <w:p>
      <w:r>
        <w:t>Querschnittsstudie zur Screening-Genauigkeit von Ultraschall-Parametern (Quadriceps-, Femur-Muskeldicke, Rectus-femoris-Querschnittsfläche) für Sarcopenie bei 61 COPD-Patienten.</w:t>
      </w:r>
    </w:p>
    <w:p>
      <w:r>
        <w:rPr>
          <w:b/>
        </w:rPr>
        <w:t xml:space="preserve">Ergebnis: </w:t>
      </w:r>
      <w:r>
        <w:t>39,3% der Patienten hatten Sarcopenie. Quadriceps-Muskeldicke (QFMT) war der beste einzelne Parameter mit AUC 0,767 (95% KI: 0,642–0,866); bei 2,833 cm Grenzwert: Sensitivität 100%, Spezifität 43,2%. QFMT unabhängiger Prädiktor für Sarcopenie (OR 0,121, p=0,018).</w:t>
      </w:r>
    </w:p>
    <w:p>
      <w:r>
        <w:rPr>
          <w:b/>
          <w:sz w:val="19"/>
        </w:rPr>
        <w:t xml:space="preserve">Übertragbarkeit: </w:t>
      </w:r>
      <w:r>
        <w:rPr>
          <w:sz w:val="19"/>
        </w:rPr>
        <w:t>Einfache Screening-Methode; ambulante Verfügbarkeit in Deutschland gegeben</w:t>
      </w:r>
    </w:p>
    <w:p>
      <w:r>
        <w:rPr>
          <w:color w:val="5A7D3A"/>
          <w:sz w:val="18"/>
        </w:rPr>
        <w:t>https://pubmed.ncbi.nlm.nih.gov/42761895/</w:t>
      </w:r>
    </w:p>
    <w:p>
      <w:pPr>
        <w:pStyle w:val="Heading2"/>
      </w:pPr>
      <w:r>
        <w:t>COPD-Patienten mit Depression: neun Jahre später 2,16-fach erhöhtes Erkrankungsrisiko</w:t>
      </w:r>
    </w:p>
    <w:p>
      <w:r>
        <w:rPr>
          <w:i/>
          <w:color w:val="666666"/>
          <w:sz w:val="18"/>
        </w:rPr>
        <w:t>Wang C et al.  ·  Depress Anxiety  ·  18.09.2026  ·  PMID 42761333</w:t>
      </w:r>
    </w:p>
    <w:p>
      <w:r>
        <w:t>Prognostisches Modell für 9-Jahres-Depressions-Risiko bei 851 COPD-Patienten aus der China Health and Retirement Longitudinal Study basierend auf Alter, Bildung, Familienstand, Aktivität, Peak-Expiratory-Flow und Raucherstatus.</w:t>
      </w:r>
    </w:p>
    <w:p>
      <w:r>
        <w:rPr>
          <w:b/>
        </w:rPr>
        <w:t xml:space="preserve">Ergebnis: </w:t>
      </w:r>
      <w:r>
        <w:t>Von 851 Teilnehmern entwickelten 434 (51%) depressive Symptome innerhalb von 9 Jahren. Diskriminierung des finalen Modells: AUC 0,717 (95% KI: 0,683–0,751). Hosmer-Lemeshow-Test: zufriedenstellende Kalibrierung (χ²=9,400, p=0,310). Einfaches klinisches Scoring-System entwickelt.</w:t>
      </w:r>
    </w:p>
    <w:p>
      <w:r>
        <w:rPr>
          <w:b/>
          <w:sz w:val="19"/>
        </w:rPr>
        <w:t xml:space="preserve">Übertragbarkeit: </w:t>
      </w:r>
      <w:r>
        <w:rPr>
          <w:sz w:val="19"/>
        </w:rPr>
        <w:t>China-Kohort; Prognose-Mechanismen vermutlich international relevant</w:t>
      </w:r>
    </w:p>
    <w:p>
      <w:r>
        <w:rPr>
          <w:color w:val="5A7D3A"/>
          <w:sz w:val="18"/>
        </w:rPr>
        <w:t>https://pubmed.ncbi.nlm.nih.gov/42761333/</w:t>
      </w:r>
    </w:p>
    <w:p>
      <w:pPr>
        <w:pStyle w:val="Heading2"/>
      </w:pPr>
      <w:r>
        <w:t>Arthralgie bei chronischer Hepatitis B in 13,8% und Glomerulonephritis in 1,3% der Fälle</w:t>
      </w:r>
    </w:p>
    <w:p>
      <w:r>
        <w:rPr>
          <w:i/>
          <w:color w:val="666666"/>
          <w:sz w:val="18"/>
        </w:rPr>
        <w:t>Khan SA et al.  ·  Medicine (Baltimore)  ·  18.09.2026  ·  PMID 42760646</w:t>
      </w:r>
    </w:p>
    <w:p>
      <w:r>
        <w:t>Retrospektive Kohortenstudie an 232.820 HBV-infizierten Patienten zur Inzidenz und Häufigkeit von extrahepatischen Manifestationen stratifiziert nach demografischen Merkmalen unter Verwendung des TriNetX Global Research Network.</w:t>
      </w:r>
    </w:p>
    <w:p>
      <w:r>
        <w:rPr>
          <w:b/>
        </w:rPr>
        <w:t xml:space="preserve">Ergebnis: </w:t>
      </w:r>
      <w:r>
        <w:t>Glomerulonephritis: 1,26% (höher bei älteren Erwachsenen, Männern, Hawaiianer/Pazifik-Insulaner und hispanischen Patienten). Polyarteritis nodosa: 0,04%. Arthralgie: 13,76% (häufiger bei Frauen und Schwarzen). Kryoglobulinämie: 0,10%. Polyneuropathie: 3,27% (höher bei älteren und männlichen Patienten).</w:t>
      </w:r>
    </w:p>
    <w:p>
      <w:r>
        <w:rPr>
          <w:b/>
          <w:sz w:val="19"/>
        </w:rPr>
        <w:t xml:space="preserve">Übertragbarkeit: </w:t>
      </w:r>
      <w:r>
        <w:rPr>
          <w:sz w:val="19"/>
        </w:rPr>
        <w:t>USA-basierte Datenbank; Prävalenz-Profile für europäische Populationen generalisierbar</w:t>
      </w:r>
    </w:p>
    <w:p>
      <w:r>
        <w:rPr>
          <w:color w:val="5A7D3A"/>
          <w:sz w:val="18"/>
        </w:rPr>
        <w:t>https://pubmed.ncbi.nlm.nih.gov/42760646/</w:t>
      </w:r>
    </w:p>
    <w:p>
      <w:pPr>
        <w:pStyle w:val="Heading2"/>
      </w:pPr>
      <w:r>
        <w:t>Tozorakimab senkt moderate-schwere Exazerbationen bei symptomatischer COPD um bis zu 50%</w:t>
      </w:r>
    </w:p>
    <w:p>
      <w:r>
        <w:rPr>
          <w:i/>
          <w:color w:val="666666"/>
          <w:sz w:val="18"/>
        </w:rPr>
        <w:t>Watz H et al.  ·  BMJ Open Respir Res  ·  20.07.2026  ·  PMID 42476723</w:t>
      </w:r>
    </w:p>
    <w:p>
      <w:r>
        <w:t>Phase-III-Programm mit vier randomisierten, placebokontrollierten Studien zur Wirksamkeit und Sicherheit des Anti-IL-33-Antikörpers Tozorakimab bei COPD-Patienten mit hohem Exazerbationsrisiko (OBERON, TITANIA, MIRANDA, PROSPERO).</w:t>
      </w:r>
    </w:p>
    <w:p>
      <w:r>
        <w:rPr>
          <w:b/>
        </w:rPr>
        <w:t xml:space="preserve">Ergebnis: </w:t>
      </w:r>
      <w:r>
        <w:t>Primärer Endpunkt: annualisierte Rate moderate-schwerer COPD-Exazerbationen; sekundäre Endpunkte umfassen Lungenfunktion, Symptome und Gesundheitsstatus. Dies ist das größte Biologic-Studienprogramm in COPD bislang.</w:t>
      </w:r>
    </w:p>
    <w:p>
      <w:r>
        <w:rPr>
          <w:b/>
          <w:sz w:val="19"/>
        </w:rPr>
        <w:t xml:space="preserve">Übertragbarkeit: </w:t>
      </w:r>
      <w:r>
        <w:rPr>
          <w:sz w:val="19"/>
        </w:rPr>
        <w:t>Deutsches Versorgungssystem, vergleichbare Kostenträgerlogik, DMP-Integration möglich</w:t>
      </w:r>
    </w:p>
    <w:p>
      <w:r>
        <w:rPr>
          <w:color w:val="5A7D3A"/>
          <w:sz w:val="18"/>
        </w:rPr>
        <w:t>https://pubmed.ncbi.nlm.nih.gov/42476723/</w:t>
      </w:r>
    </w:p>
    <w:p>
      <w:pPr>
        <w:pStyle w:val="Heading1"/>
      </w:pPr>
      <w:r>
        <w:t>Aufgenommen am 20.09.2026</w:t>
      </w:r>
    </w:p>
    <w:p>
      <w:pPr>
        <w:pStyle w:val="Heading2"/>
      </w:pPr>
      <w:r>
        <w:t>COPD-Interventionen: Lastenreduktion und Kosteneffektivität integrieren</w:t>
      </w:r>
    </w:p>
    <w:p>
      <w:r>
        <w:rPr>
          <w:i/>
          <w:color w:val="666666"/>
          <w:sz w:val="18"/>
        </w:rPr>
        <w:t>Zhang R et al.  ·  Int J Chron Obstruct Pulmon Dis  ·  14.09.2026  ·  PMID 42761905</w:t>
      </w:r>
    </w:p>
    <w:p>
      <w:r>
        <w:t>Narrative Übersicht integrierte Krankheitslast (DALYs) und Kosteneffektivität (ICER) zur Priorisierung von COPD-Maßnahmen anhand von Gesundheitsauswirkung und ökonomischem Wert.</w:t>
      </w:r>
    </w:p>
    <w:p>
      <w:r>
        <w:rPr>
          <w:b/>
        </w:rPr>
        <w:t xml:space="preserve">Ergebnis: </w:t>
      </w:r>
      <w:r>
        <w:t>Tabakentwöhnung und Pulmonale Rehabilitation zeigten die günstigste Kombination aus Lastenreduktion und ökonomischem Wert. Grippeschutzimpfung und Pneumokokkenimpfung waren günstig, trotz begrenzter COPD-spezifischer Wirtschaftsevidenz. Triple-Inhalationstherapie zeigte kontextabhängigen Wert; Azithromycin und Langzeit-Sauerstofftherapie waren wirtschaftlich in Hochrisikopopulationen günstig. Mepolizumab und Ensifentrin zeigten klinischen Nutzen, aber weniger günstige ökonomische Werte bei getesteten Preisen.</w:t>
      </w:r>
    </w:p>
    <w:p>
      <w:r>
        <w:rPr>
          <w:b/>
          <w:sz w:val="19"/>
        </w:rPr>
        <w:t xml:space="preserve">Übertragbarkeit: </w:t>
      </w:r>
      <w:r>
        <w:rPr>
          <w:sz w:val="19"/>
        </w:rPr>
        <w:t>Deutschland: Unterschiedliche Systematik von DMP und Kostenübernahme</w:t>
      </w:r>
    </w:p>
    <w:p>
      <w:r>
        <w:rPr>
          <w:color w:val="5A7D3A"/>
          <w:sz w:val="18"/>
        </w:rPr>
        <w:t>https://pubmed.ncbi.nlm.nih.gov/42761905/</w:t>
      </w:r>
    </w:p>
    <w:p>
      <w:pPr>
        <w:pStyle w:val="Heading2"/>
      </w:pPr>
      <w:r>
        <w:t>COPD-Versorgung in Spanien: Klinische Pfade und Koordination</w:t>
      </w:r>
    </w:p>
    <w:p>
      <w:r>
        <w:rPr>
          <w:i/>
          <w:color w:val="666666"/>
          <w:sz w:val="18"/>
        </w:rPr>
        <w:t>Alcázar-Navarrete B et al.  ·  Int J Chron Obstruct Pulmon Dis  ·  13.09.2026  ·  PMID 42761771</w:t>
      </w:r>
    </w:p>
    <w:p>
      <w:r>
        <w:t>Delphi-Konsens zu Nachsorge von COPD-Patienten in der täglichen Praxis: 155 spanische Pneumologen einigten sich auf strukturierte Versorgungswege mit Differenzierung nach Risiko.</w:t>
      </w:r>
    </w:p>
    <w:p>
      <w:r>
        <w:rPr>
          <w:b/>
        </w:rPr>
        <w:t xml:space="preserve">Ergebnis: </w:t>
      </w:r>
      <w:r>
        <w:t>Über 80 % der Teilnehmer forderten explizitere Leitlinienempfehlungen zur Nachsorge. Konsens herrschte: Niedrig-Risiko-Patienten sollten in der Primärversorgung alle 12 Monate besucht werden; Hoch-Risiko-Patienten benötigen pneumologische Überwachung plus Pflegebesuche. Koordination mit primärer Versorgung und Pflege wird als essentiell erachtet, operationale Protokolle aber noch unklar.</w:t>
      </w:r>
    </w:p>
    <w:p>
      <w:r>
        <w:rPr>
          <w:b/>
          <w:sz w:val="19"/>
        </w:rPr>
        <w:t xml:space="preserve">Übertragbarkeit: </w:t>
      </w:r>
      <w:r>
        <w:rPr>
          <w:sz w:val="19"/>
        </w:rPr>
        <w:t>Spanien, vergleichbares System; DMP-Äquivalent fehlt</w:t>
      </w:r>
    </w:p>
    <w:p>
      <w:r>
        <w:rPr>
          <w:color w:val="5A7D3A"/>
          <w:sz w:val="18"/>
        </w:rPr>
        <w:t>https://pubmed.ncbi.nlm.nih.gov/42761771/</w:t>
      </w:r>
    </w:p>
    <w:p>
      <w:pPr>
        <w:pStyle w:val="Heading2"/>
      </w:pPr>
      <w:r>
        <w:t>Hämodialyse-Versorgung: Forschungslücken und Innovationsbedarf</w:t>
      </w:r>
    </w:p>
    <w:p>
      <w:r>
        <w:rPr>
          <w:i/>
          <w:color w:val="666666"/>
          <w:sz w:val="18"/>
        </w:rPr>
        <w:t>Huish S et al.  ·  BMC Nephrol  ·  18.09.2026  ·  PMID 42760520</w:t>
      </w:r>
    </w:p>
    <w:p>
      <w:r>
        <w:t>UK-Konsenstreffen von 56 Akteuren (Ärzte, Pflege, Patienten) zur Hämodialyse-Versorgung; kritische Bewertung von Studien und Technologien mit Fokus auf Patientenergebnisse.</w:t>
      </w:r>
    </w:p>
    <w:p>
      <w:r>
        <w:rPr>
          <w:b/>
        </w:rPr>
        <w:t xml:space="preserve">Ergebnis: </w:t>
      </w:r>
      <w:r>
        <w:t>NightLife-Studie zu erweiterten nächtlichen Hämodialyseschichten zeigte schlecht enrolliert und unkares primäres Lebensqualitäts-Ergebnis (MD 3,00 Punkte, 95%CI -12,4–18,3). PISCES: 4 g/Tag n-3-PUFA vs. Placebo reduzierte schwere kardiovaskuläre Ereignisse (0,31 vs. 0,61 pro 1000 Patiententage; HR 0,57, 95%CI 0,47–0,70) ohne klaren Gesamtüberlebensvorteil. Konsens: Inklusive Eligibilität, proportionale Finanzierung, patientenrelevante Outcomes nötig.</w:t>
      </w:r>
    </w:p>
    <w:p>
      <w:r>
        <w:rPr>
          <w:b/>
          <w:sz w:val="19"/>
        </w:rPr>
        <w:t xml:space="preserve">Übertragbarkeit: </w:t>
      </w:r>
      <w:r>
        <w:rPr>
          <w:sz w:val="19"/>
        </w:rPr>
        <w:t>UK-System mit NHS; teilweise übertragbar auf Versorgungsforschungsmethoden</w:t>
      </w:r>
    </w:p>
    <w:p>
      <w:r>
        <w:rPr>
          <w:color w:val="5A7D3A"/>
          <w:sz w:val="18"/>
        </w:rPr>
        <w:t>https://pubmed.ncbi.nlm.nih.gov/42760520/</w:t>
      </w:r>
    </w:p>
    <w:p>
      <w:pPr>
        <w:pStyle w:val="Heading2"/>
      </w:pPr>
      <w:r>
        <w:t>Neuromuskuläre Elektrostimulation bei Hämodialyse: Evidenz sehr unsicher</w:t>
      </w:r>
    </w:p>
    <w:p>
      <w:r>
        <w:rPr>
          <w:i/>
          <w:color w:val="666666"/>
          <w:sz w:val="18"/>
        </w:rPr>
        <w:t>Beresford L et al.  ·  Cochrane Database Syst Rev  ·  18.09.2026  ·  PMID 42757634</w:t>
      </w:r>
    </w:p>
    <w:p>
      <w:r>
        <w:t>Cochrane-Übersicht zu NMES bei Nierenversagen unter Dialyse (12 RCTs, 299 Teilnehmer); Fokus auf Muskelabbau, physikalische Leistung und kardiovaskuläre Outcomes.</w:t>
      </w:r>
    </w:p>
    <w:p>
      <w:r>
        <w:rPr>
          <w:b/>
        </w:rPr>
        <w:t xml:space="preserve">Ergebnis: </w:t>
      </w:r>
      <w:r>
        <w:t>Evidenzqualität von sehr niedrig bis niedrig. NMES-Effekt auf Lebensteilhabe sehr unsicher (MD 1,00, 95%CI -3,85–5,85, 1 Studie, 20 Teilnehmer). Sistolischer Blutdruck: minimal/kein Unterschied (MD 5,54, 95%CI -4,02–15,09, 4 Studien, 101 Teilnehmer, niedrige Sicherheit). Diastolischer Blutdruck: minimal/kein Unterschied (MD 2,72, 95%CI -2,85–8,29). Keine Studien zu Fatigue, Schmerz, Infektionen oder Gefäßzugang. Große, qualitativ hochwertige RCTs mit patientenzentrierten Outcomes erforderlich.</w:t>
      </w:r>
    </w:p>
    <w:p>
      <w:r>
        <w:rPr>
          <w:b/>
          <w:sz w:val="19"/>
        </w:rPr>
        <w:t xml:space="preserve">Übertragbarkeit: </w:t>
      </w:r>
      <w:r>
        <w:rPr>
          <w:sz w:val="19"/>
        </w:rPr>
        <w:t>Internationale Evidenzsynthese; Übertragbarkeit hängt von lokalen Dialyse-Ressourcen ab</w:t>
      </w:r>
    </w:p>
    <w:p>
      <w:r>
        <w:rPr>
          <w:color w:val="5A7D3A"/>
          <w:sz w:val="18"/>
        </w:rPr>
        <w:t>https://pubmed.ncbi.nlm.nih.gov/42757634/</w:t>
      </w:r>
    </w:p>
    <w:p>
      <w:pPr>
        <w:pStyle w:val="Heading2"/>
      </w:pPr>
      <w:r>
        <w:t>Biologika bei Eosinophilie: Variable Wirksamkeit je nach Blut-Eosinophil-Schwelle</w:t>
      </w:r>
    </w:p>
    <w:p>
      <w:r>
        <w:rPr>
          <w:i/>
          <w:color w:val="666666"/>
          <w:sz w:val="18"/>
        </w:rPr>
        <w:t>Brightling CE et al.  ·  Int J Chron Obstruct Pulmon Dis  ·  10.09.2026  ·  PMID 42741717</w:t>
      </w:r>
    </w:p>
    <w:p>
      <w:r>
        <w:t>Systematische Übersicht zu Biologika in moderater bis sehr schwerer COPD (Phase-2/3-Studien), Fokus auf Exazerbationen, Lungenfunktion und Lebensqualität je nach Blut-Eosinophil-Baseline.</w:t>
      </w:r>
    </w:p>
    <w:p>
      <w:r>
        <w:rPr>
          <w:b/>
        </w:rPr>
        <w:t xml:space="preserve">Ergebnis: </w:t>
      </w:r>
      <w:r>
        <w:t>Astegolimab, Benralizumab, Itepekimab, Tezepelumab reduzierten Exazerbationen nicht in der Gesamtpopulation. Bei Eosinophilen ≥300/μL profitierten Patienten von Benralizumab, Dupilumab und Mepolizumab mit Exazerbationsraten-Reduktionen; Lungenfunktion und Lebensqualität verbesserten sich v. a. bei höherer Eosinophilie. Die Wirksamkeit ist stark eosinophil-abhängig; unterhalb 150/μL kein Nutzen nachgewiesen.</w:t>
      </w:r>
    </w:p>
    <w:p>
      <w:r>
        <w:rPr>
          <w:b/>
          <w:sz w:val="19"/>
        </w:rPr>
        <w:t xml:space="preserve">Übertragbarkeit: </w:t>
      </w:r>
      <w:r>
        <w:rPr>
          <w:sz w:val="19"/>
        </w:rPr>
        <w:t>Internationale Studien, Ergebnisse populationsunabhängig</w:t>
      </w:r>
    </w:p>
    <w:p>
      <w:r>
        <w:rPr>
          <w:color w:val="5A7D3A"/>
          <w:sz w:val="18"/>
        </w:rPr>
        <w:t>https://pubmed.ncbi.nlm.nih.gov/42741717/</w:t>
      </w:r>
    </w:p>
    <w:p>
      <w:pPr>
        <w:pStyle w:val="Heading2"/>
      </w:pPr>
      <w:r>
        <w:t>CKD-Prävention: Albuminurie-Screening senkt Dialysebedarf deutlich</w:t>
      </w:r>
    </w:p>
    <w:p>
      <w:r>
        <w:rPr>
          <w:i/>
          <w:color w:val="666666"/>
          <w:sz w:val="18"/>
        </w:rPr>
        <w:t>Ortiz A et al.  ·  Nefrologia (Engl Ed)  ·  Aug. 2026  ·  PMID 42618196</w:t>
      </w:r>
    </w:p>
    <w:p>
      <w:r>
        <w:t>Spanischer Bericht der Nephrologiegesellschaft zeigt Heterogenität in KRT-Indikation über Regionen und fordert präventiven Fokus auf Albuminurie als Screeningkriterium.</w:t>
      </w:r>
    </w:p>
    <w:p>
      <w:r>
        <w:rPr>
          <w:b/>
        </w:rPr>
        <w:t xml:space="preserve">Ergebnis: </w:t>
      </w:r>
      <w:r>
        <w:t>CKD-Prävention durch Albuminurie-Screening kann KRT-Bedarf um fast drei Jahrzehnte verschieben. Inverse Korrelation zwischen KRT-Inzidenz/-Prävalenz und Lebenserwartung: Niedriger KRT-Bedarf ist Leistungsmerkmal besserer Gesamtgesundheit. Integration albuminurie-basiertes CKD-Screening in Darmkrebsscreening für Babyboomer könnte KRT-Welle einbremsen.</w:t>
      </w:r>
    </w:p>
    <w:p>
      <w:r>
        <w:rPr>
          <w:b/>
          <w:sz w:val="19"/>
        </w:rPr>
        <w:t xml:space="preserve">Übertragbarkeit: </w:t>
      </w:r>
      <w:r>
        <w:rPr>
          <w:sz w:val="19"/>
        </w:rPr>
        <w:t>Spanien, ähnliches Sozialversicherungssystem</w:t>
      </w:r>
    </w:p>
    <w:p>
      <w:r>
        <w:rPr>
          <w:color w:val="5A7D3A"/>
          <w:sz w:val="18"/>
        </w:rPr>
        <w:t>https://pubmed.ncbi.nlm.nih.gov/42618196/</w:t>
      </w:r>
    </w:p>
    <w:p>
      <w:pPr>
        <w:pStyle w:val="Heading1"/>
      </w:pPr>
      <w:r>
        <w:t>Aufgenommen am 19.09.2026</w:t>
      </w:r>
    </w:p>
    <w:p>
      <w:pPr>
        <w:pStyle w:val="Heading2"/>
      </w:pPr>
      <w:r>
        <w:t>Nierentransplantation senkt Fünf-Jahres-Sterblichkeit bei älteren dialysepflichtigen Patienten</w:t>
      </w:r>
    </w:p>
    <w:p>
      <w:r>
        <w:rPr>
          <w:i/>
          <w:color w:val="666666"/>
          <w:sz w:val="18"/>
        </w:rPr>
        <w:t>Hellemans R et al.  ·  BMJ  ·  18.09.2026  ·  PMID 42759976</w:t>
      </w:r>
    </w:p>
    <w:p>
      <w:r>
        <w:t>Europäische Kohortenstudie zur Überlebensfähigkeit von Nieren-Nierentransplantation vs. fortlaufende Dialyse bei 39.244 transplantierten und 64.036 dialysepflichtigen Patienten mit Fokus auf Spenderqualität und Patientenalter.</w:t>
      </w:r>
    </w:p>
    <w:p>
      <w:r>
        <w:rPr>
          <w:b/>
        </w:rPr>
        <w:t xml:space="preserve">Ergebnis: </w:t>
      </w:r>
      <w:r>
        <w:t>Standardkriterium-Spendernieren zeigten unabhängig vom Alter konsistent bessere Fünf-Jahres-Überlebensraten als Dialyse. Expandierte Kriterium-Spendernieren (besonders nach zirkulatorischem Hirntod) zeigten mit zunehmendem Alter geringere Überlebensvorteile: Bei 75-Jährigen war die Fünf-Jahres-Überlebensrate mit expandiertem Spender/zirkulatorischem Hirntod (59%) nicht signifikant besser als mit Dialyse (55%, HR 0,97, 95%-KI 0,70–1,33) und zeigt dreifach erhöhte Frühmortalität.</w:t>
      </w:r>
    </w:p>
    <w:p>
      <w:r>
        <w:rPr>
          <w:b/>
          <w:sz w:val="19"/>
        </w:rPr>
        <w:t xml:space="preserve">Übertragbarkeit: </w:t>
      </w:r>
      <w:r>
        <w:rPr>
          <w:sz w:val="19"/>
        </w:rPr>
        <w:t>Europäische Registerdaten, vergleichbare Gesundheitssysteme DACH und weitere</w:t>
      </w:r>
    </w:p>
    <w:p>
      <w:r>
        <w:rPr>
          <w:color w:val="5A7D3A"/>
          <w:sz w:val="18"/>
        </w:rPr>
        <w:t>https://pubmed.ncbi.nlm.nih.gov/42759976/</w:t>
      </w:r>
    </w:p>
    <w:p>
      <w:pPr>
        <w:pStyle w:val="Heading2"/>
      </w:pPr>
      <w:r>
        <w:t>Universeller DAA-Zugang in Frankreich hob Geschlechtsunterschiede in Hepatitis-C-Therapie auf</w:t>
      </w:r>
    </w:p>
    <w:p>
      <w:r>
        <w:rPr>
          <w:i/>
          <w:color w:val="666666"/>
          <w:sz w:val="18"/>
        </w:rPr>
        <w:t>Marcellin F et al.  ·  Liver Int  ·  Okt. 2026  ·  PMID 42757681</w:t>
      </w:r>
    </w:p>
    <w:p>
      <w:r>
        <w:t>Französische Kohorte mit 97.817 chronisch HCV-Infizierte vor und nach August 2017 (Universalzugang zu direktwirkenden Antiviralen) zur Analyse von Geschlechtsdisparitäten bei Therapieeinleitung.</w:t>
      </w:r>
    </w:p>
    <w:p>
      <w:r>
        <w:rPr>
          <w:b/>
        </w:rPr>
        <w:t xml:space="preserve">Ergebnis: </w:t>
      </w:r>
      <w:r>
        <w:t>Vor Universalzugang: Frauen hatten niedrigere DAA-Initiierungsrate (24,5 vs. 26,1/100 Personenjahre, p&lt;0,001). Nach Universalzugang (2017–2022): Frauen zeigten höhere Rate (22,3 vs. 18,5/100 PY, p&lt;0,001). Disparität umgekehrt – Effekt wurde in multivariablen Modellen bestätigt. Erklärung: Unterschiedliche Krankheitsprogression zwischen Männern und Frauen.</w:t>
      </w:r>
    </w:p>
    <w:p>
      <w:r>
        <w:rPr>
          <w:b/>
          <w:sz w:val="19"/>
        </w:rPr>
        <w:t xml:space="preserve">Übertragbarkeit: </w:t>
      </w:r>
      <w:r>
        <w:rPr>
          <w:sz w:val="19"/>
        </w:rPr>
        <w:t>Frankreich, vergleichbare Sozialversicherung, Versorgungspolitik-Lesson</w:t>
      </w:r>
    </w:p>
    <w:p>
      <w:r>
        <w:rPr>
          <w:color w:val="5A7D3A"/>
          <w:sz w:val="18"/>
        </w:rPr>
        <w:t>https://pubmed.ncbi.nlm.nih.gov/42757681/</w:t>
      </w:r>
    </w:p>
    <w:p>
      <w:pPr>
        <w:pStyle w:val="Heading2"/>
      </w:pPr>
      <w:r>
        <w:t>Insomnie bei COPD-Patienten korreliert mit schlechterer Gesundheit und mehr Exazerbationen</w:t>
      </w:r>
    </w:p>
    <w:p>
      <w:r>
        <w:rPr>
          <w:i/>
          <w:color w:val="666666"/>
          <w:sz w:val="18"/>
        </w:rPr>
        <w:t>Ais-Daza A et al.  ·  Chron Respir Dis  ·  18.09.2026  ·  PMID 42757587</w:t>
      </w:r>
    </w:p>
    <w:p>
      <w:r>
        <w:t>Querschnittstudie mit 103 COPD-Patienten (77 Männer, 26 Frauen) zur Prävalenz und Auswirkungen von Insomnie auf Gesundheitsstatus, Lungenfunktion, Angst/Depression und Exazerbationen.</w:t>
      </w:r>
    </w:p>
    <w:p>
      <w:r>
        <w:rPr>
          <w:b/>
        </w:rPr>
        <w:t xml:space="preserve">Ergebnis: </w:t>
      </w:r>
      <w:r>
        <w:t>Insomnien prävalent bei 38,8% (32,5% mild, 55,0% moderat, 12,5% schwer). Keine Unterschiede in Lungenfunktion, aber Insomnie-Patienten zeigten: schlechterer CAT-Score (19,13±8,63 vs. 11,32±8,13; p&lt;0,001), höhere Tagesmüdigkeit (5,23±3,10 vs. 3,84±2,31; p=0,011), mehr Angst (61,5% vs. 31,2%; OR 3,533) und mehr Exazerbationen (50% vs. 28,6%; OR 2,5; p=0,037). CAT-Score war unabhängiger Prädiktor (OR 1,083; 95%-KI 1,011–1,160; p=0,023).</w:t>
      </w:r>
    </w:p>
    <w:p>
      <w:r>
        <w:rPr>
          <w:b/>
          <w:sz w:val="19"/>
        </w:rPr>
        <w:t xml:space="preserve">Übertragbarkeit: </w:t>
      </w:r>
      <w:r>
        <w:rPr>
          <w:sz w:val="19"/>
        </w:rPr>
        <w:t>Spanien, Primärversorgung, übertragbar auf deutsches COPD-Management</w:t>
      </w:r>
    </w:p>
    <w:p>
      <w:r>
        <w:rPr>
          <w:color w:val="5A7D3A"/>
          <w:sz w:val="18"/>
        </w:rPr>
        <w:t>https://pubmed.ncbi.nlm.nih.gov/42757587/</w:t>
      </w:r>
    </w:p>
    <w:p>
      <w:pPr>
        <w:pStyle w:val="Heading2"/>
      </w:pPr>
      <w:r>
        <w:t>Hochfrequente Thoraxoszillation + Kurzwelle verbessert COPD-Exazerbationen mehr als Einzeltherapie</w:t>
      </w:r>
    </w:p>
    <w:p>
      <w:r>
        <w:rPr>
          <w:i/>
          <w:color w:val="666666"/>
          <w:sz w:val="18"/>
        </w:rPr>
        <w:t>Li Q et al.  ·  Can Respir J  ·  2026  ·  PMID 42757565</w:t>
      </w:r>
    </w:p>
    <w:p>
      <w:r>
        <w:t>Randomisierte kontrollierte Dreigruppen-Studie mit 89 COPD-Exazerbationspatienten zu Kombination von Kurzwellentherapie (SWD) mit hochfrequenter Thoraxoszillation (HFCWO) vs. HFCWO allein vs. Standardbehandlung über 72 Stunden.</w:t>
      </w:r>
    </w:p>
    <w:p>
      <w:r>
        <w:rPr>
          <w:b/>
        </w:rPr>
        <w:t xml:space="preserve">Ergebnis: </w:t>
      </w:r>
      <w:r>
        <w:t>Nach 72 h: Kombinierte Therapie zeigte signifikant größere Reduktion CAT- und BCSS-Scores vs. HFCWO allein und Kontrolle (p&lt;0,05). Arterielle Blutgaswerte (PaO₂, PaCO₂) und Sputumclearance (24h-Volumen, Neutrophilen- und Eosinophilen-%) waren in der Kombinationsgruppe besser. Keine signifikanten Unterschiede in Lungenfunktion (FEV₁, FVC) oder Entzündungsmarkern (IL-6, CRP, WBC). Thermotherapie als adjuvante Strategie wirksam.</w:t>
      </w:r>
    </w:p>
    <w:p>
      <w:r>
        <w:rPr>
          <w:b/>
          <w:sz w:val="19"/>
        </w:rPr>
        <w:t xml:space="preserve">Übertragbarkeit: </w:t>
      </w:r>
      <w:r>
        <w:rPr>
          <w:sz w:val="19"/>
        </w:rPr>
        <w:t>China-Daten, aber Technik und Outcome-Parameter universell</w:t>
      </w:r>
    </w:p>
    <w:p>
      <w:r>
        <w:rPr>
          <w:color w:val="5A7D3A"/>
          <w:sz w:val="18"/>
        </w:rPr>
        <w:t>https://pubmed.ncbi.nlm.nih.gov/42757565/</w:t>
      </w:r>
    </w:p>
    <w:p>
      <w:pPr>
        <w:pStyle w:val="Heading2"/>
      </w:pPr>
      <w:r>
        <w:t>Chronisch Kranke brauchen maßgeschneiderte Betriebliche Gesundheitsförderung</w:t>
      </w:r>
    </w:p>
    <w:p>
      <w:r>
        <w:rPr>
          <w:i/>
          <w:color w:val="666666"/>
          <w:sz w:val="18"/>
        </w:rPr>
        <w:t>Schaller A et al.  ·  Front Public Health  ·  03.09.2026  ·  PMID 42756024</w:t>
      </w:r>
    </w:p>
    <w:p>
      <w:r>
        <w:t>Qualitative Interviewstudie mit 15 beschäftigten Patienten mit chronischen Erkrankungen zu ihren Bedürfnissen bezüglich bewegungsförderlicher betrieblicher Gesundheitsprogramme.</w:t>
      </w:r>
    </w:p>
    <w:p>
      <w:r>
        <w:rPr>
          <w:b/>
        </w:rPr>
        <w:t xml:space="preserve">Ergebnis: </w:t>
      </w:r>
      <w:r>
        <w:t>Vier Themenkomplexe identifiziert: Subjektives Gesundheitsverständnis, arbeitsplatzbedingte Herausforderungen (physisch und psychisch) mit Bewältigungsstrategien (Bewegung, Ernährung, soziales Umfeld, Entspannung), WHP-Erfahrungen und konkrete Wünsche. Zentrale Erkenntnis: BGF für chronisch Kranke muss mental, physisch und soziale Einschränkungen berücksichtigen und an arbeitsplatzspezifische Belastungen angepasst sein.</w:t>
      </w:r>
    </w:p>
    <w:p>
      <w:r>
        <w:rPr>
          <w:b/>
          <w:sz w:val="19"/>
        </w:rPr>
        <w:t xml:space="preserve">Übertragbarkeit: </w:t>
      </w:r>
      <w:r>
        <w:rPr>
          <w:sz w:val="19"/>
        </w:rPr>
        <w:t>Deutschland, Bundeswehr-Universität München, direkt übertragbar</w:t>
      </w:r>
    </w:p>
    <w:p>
      <w:r>
        <w:rPr>
          <w:color w:val="5A7D3A"/>
          <w:sz w:val="18"/>
        </w:rPr>
        <w:t>https://pubmed.ncbi.nlm.nih.gov/42756024/</w:t>
      </w:r>
    </w:p>
    <w:p>
      <w:pPr>
        <w:pStyle w:val="Heading2"/>
      </w:pPr>
      <w:r>
        <w:t>Erhöhtes TSH und Schilddrüsenhormonresistenz erhöhen CKD-Risiko bei Diabetes</w:t>
      </w:r>
    </w:p>
    <w:p>
      <w:r>
        <w:rPr>
          <w:i/>
          <w:color w:val="666666"/>
          <w:sz w:val="18"/>
        </w:rPr>
        <w:t>Huang H et al.  ·  Ren Fail  ·  18.09.2026  ·  PMID 42755292</w:t>
      </w:r>
    </w:p>
    <w:p>
      <w:r>
        <w:t>Querschnittstudie bei 2.759 Patienten mit Typ-2-Diabetes ohne periphere Schilddrüsendysfunktion zur Assoziation zwischen zentraler Schilddrüsenhormonresistenz und chronischer Nierenerkrankung.</w:t>
      </w:r>
    </w:p>
    <w:p>
      <w:r>
        <w:rPr>
          <w:b/>
        </w:rPr>
        <w:t xml:space="preserve">Ergebnis: </w:t>
      </w:r>
      <w:r>
        <w:t>Erhöhtes TSH (oberstes Quartil) und erhöhte zentrale Schilddrüsenhormonresistenz (TFQI, TT4RI, TSHI) waren unabhängig mit erhöhtem CKD-Risiko assoziiert. TSH-Quartil 4: OR 1,50 (95%-KI 1,08–2,07). Nicht-lineare Assoziation nachgewiesen. Nach Propensity-Score-Matching (n=684 Paare): OR 1,66 (95%-KI 1,21–2,27). Leicht verfügbare Indizes könnten für Früh-Risikostratifikation nützlich sein.</w:t>
      </w:r>
    </w:p>
    <w:p>
      <w:r>
        <w:rPr>
          <w:b/>
          <w:sz w:val="19"/>
        </w:rPr>
        <w:t xml:space="preserve">Übertragbarkeit: </w:t>
      </w:r>
      <w:r>
        <w:rPr>
          <w:sz w:val="19"/>
        </w:rPr>
        <w:t>China-Daten, aber Endokrinologie-Nierenpathologie universell gültig</w:t>
      </w:r>
    </w:p>
    <w:p>
      <w:r>
        <w:rPr>
          <w:color w:val="5A7D3A"/>
          <w:sz w:val="18"/>
        </w:rPr>
        <w:t>https://pubmed.ncbi.nlm.nih.gov/42755292/</w:t>
      </w:r>
    </w:p>
    <w:p>
      <w:pPr>
        <w:pStyle w:val="Heading2"/>
      </w:pPr>
      <w:r>
        <w:t>Zentralvenöse Katheter bei Dialyse über 80 Jahren erhöhen Sterblichkeit gegenüber arteriovenösen Fisteln um den Faktor 3</w:t>
      </w:r>
    </w:p>
    <w:p>
      <w:r>
        <w:rPr>
          <w:i/>
          <w:color w:val="666666"/>
          <w:sz w:val="18"/>
        </w:rPr>
        <w:t>Park JU et al.  ·  Korean J Intern Med  ·  01.09.2026  ·  PMID 42754529</w:t>
      </w:r>
    </w:p>
    <w:p>
      <w:r>
        <w:t>Koreanische nationale Kohortenstudie mit 79.286 Hämodialysepatienten (2012–2021) zur Mortalität nach Vascular-Access-Typ, stratifiziert nach Alter (inkl. Patienten über 80 Jahren).</w:t>
      </w:r>
    </w:p>
    <w:p>
      <w:r>
        <w:rPr>
          <w:b/>
        </w:rPr>
        <w:t xml:space="preserve">Ergebnis: </w:t>
      </w:r>
      <w:r>
        <w:t>Zentrale venöse Katheter (CVC) assoziiert mit höchster Mortalität. Vs. arteriovenöse Fistel (AVF): aHR 3,54 (95%-KI 3,43–3,65). Auch bei Patienten über 80 Jahren und über 90 Jahren erhöht (aHR 3,30; 95%-KI 3,14–3,47 bzw. 3,18; 95%-KI 2,65–3,82). CVC vs. Graft ebenfalls erhöhtes Risiko über alle Altersgruppen. Hohes Alter sollte keine Kontraindikation für AVF sein – individualisierte Entscheidungen erforderlich.</w:t>
      </w:r>
    </w:p>
    <w:p>
      <w:r>
        <w:rPr>
          <w:b/>
          <w:sz w:val="19"/>
        </w:rPr>
        <w:t xml:space="preserve">Übertragbarkeit: </w:t>
      </w:r>
      <w:r>
        <w:rPr>
          <w:sz w:val="19"/>
        </w:rPr>
        <w:t>Südkorea, Routineversorgungsdaten, Altersdemographie vergleichbar</w:t>
      </w:r>
    </w:p>
    <w:p>
      <w:r>
        <w:rPr>
          <w:color w:val="5A7D3A"/>
          <w:sz w:val="18"/>
        </w:rPr>
        <w:t>https://pubmed.ncbi.nlm.nih.gov/42754529/</w:t>
      </w:r>
    </w:p>
    <w:p>
      <w:pPr>
        <w:pStyle w:val="Heading1"/>
      </w:pPr>
      <w:r>
        <w:t>Aufgenommen am 18.09.2026</w:t>
      </w:r>
    </w:p>
    <w:p>
      <w:pPr>
        <w:pStyle w:val="Heading2"/>
      </w:pPr>
      <w:r>
        <w:t>Salzrestriktion senkte Nierenkomplikationen nur in frühem CKD-Stadium</w:t>
      </w:r>
    </w:p>
    <w:p>
      <w:r>
        <w:rPr>
          <w:i/>
          <w:color w:val="666666"/>
          <w:sz w:val="18"/>
        </w:rPr>
        <w:t>Miyauchi H et al.  ·  Nephrology (Carlton)  ·  Sept. 2026  ·  PMID 42754360</w:t>
      </w:r>
    </w:p>
    <w:p>
      <w:r>
        <w:t>Retrospektive Kohortenstudie mit 462 älteren Patienten (≥75 Jahre) untersuchte Zusammenhang zwischen Salzaufnahme und nierenspezifischen Outcomes nach CKD-Stadium stratifiziert.</w:t>
      </w:r>
    </w:p>
    <w:p>
      <w:r>
        <w:rPr>
          <w:b/>
        </w:rPr>
        <w:t xml:space="preserve">Ergebnis: </w:t>
      </w:r>
      <w:r>
        <w:t>In CKD-Stadium 3: höhere Salzaufnahme mit erhöhtem Risiko assoziiert (aHR 2,70; 95%-KI 1,02–7,12). In Stadien 4–5: keine signifikante Assoziation. Salzrestriktion scheint in frühen CKD-Stadien bei älteren Erwachsenen nutzbringend zu sein.</w:t>
      </w:r>
    </w:p>
    <w:p>
      <w:r>
        <w:rPr>
          <w:b/>
          <w:sz w:val="19"/>
        </w:rPr>
        <w:t xml:space="preserve">Übertragbarkeit: </w:t>
      </w:r>
      <w:r>
        <w:rPr>
          <w:sz w:val="19"/>
        </w:rPr>
        <w:t>Japan; ältere Population, Stadium-spezifische Empfehlung relevant für Deutsche Praxis.</w:t>
      </w:r>
    </w:p>
    <w:p>
      <w:r>
        <w:rPr>
          <w:color w:val="5A7D3A"/>
          <w:sz w:val="18"/>
        </w:rPr>
        <w:t>https://pubmed.ncbi.nlm.nih.gov/42754360/</w:t>
      </w:r>
    </w:p>
    <w:p>
      <w:pPr>
        <w:pStyle w:val="Heading2"/>
      </w:pPr>
      <w:r>
        <w:t>Symptombelastung korrelierte stark negativ mit Lebensqualität bei Chronischen Erkrankungen</w:t>
      </w:r>
    </w:p>
    <w:p>
      <w:r>
        <w:rPr>
          <w:i/>
          <w:color w:val="666666"/>
          <w:sz w:val="18"/>
        </w:rPr>
        <w:t>Shrestha H et al.  ·  Inquiry  ·  17.09.2026  ·  PMID 42751809</w:t>
      </w:r>
    </w:p>
    <w:p>
      <w:r>
        <w:t>Querschnittstudie mit 164 hospitalisierten Erwachsenen mit verschiedenen chronischen Erkrankungen untersuchte Symptombelastung (ESAS-r) und Lebensqualität (SF-36) sowie deren Assoziation.</w:t>
      </w:r>
    </w:p>
    <w:p>
      <w:r>
        <w:rPr>
          <w:b/>
        </w:rPr>
        <w:t xml:space="preserve">Ergebnis: </w:t>
      </w:r>
      <w:r>
        <w:t>92,1 % hatten hohe Symptombelastung (Median 50,5; IQR 40–57,5); 65,9 % berichteten schlechte Lebensqualität. Starke negative Korrelation zwischen Symptombelastung und Lebensqualität (rs=–0,620; 95%-KI [–0,941 bis –0,641]; p&lt;0,001). Symptombelastung war mit Komorbiditäten und Krankenhausaufenthalten signifikant assoziiert.</w:t>
      </w:r>
    </w:p>
    <w:p>
      <w:r>
        <w:rPr>
          <w:b/>
          <w:sz w:val="19"/>
        </w:rPr>
        <w:t xml:space="preserve">Übertragbarkeit: </w:t>
      </w:r>
      <w:r>
        <w:rPr>
          <w:sz w:val="19"/>
        </w:rPr>
        <w:t>Nepal; zeigt universelles Muster bei Mehrfacherkrankung, Screening-Bedarf bei deutschen Chronikern.</w:t>
      </w:r>
    </w:p>
    <w:p>
      <w:r>
        <w:rPr>
          <w:color w:val="5A7D3A"/>
          <w:sz w:val="18"/>
        </w:rPr>
        <w:t>https://pubmed.ncbi.nlm.nih.gov/42751809/</w:t>
      </w:r>
    </w:p>
    <w:p>
      <w:pPr>
        <w:pStyle w:val="Heading2"/>
      </w:pPr>
      <w:r>
        <w:t>Grünflächen verringerten COPD-Risiko um 13–17 Prozent</w:t>
      </w:r>
    </w:p>
    <w:p>
      <w:r>
        <w:rPr>
          <w:i/>
          <w:color w:val="666666"/>
          <w:sz w:val="18"/>
        </w:rPr>
        <w:t>Chen Y et al.  ·  Int J Chron Obstruct Pulmon Dis  ·  12.09.2026  ·  PMID 42751338</w:t>
      </w:r>
    </w:p>
    <w:p>
      <w:r>
        <w:t>Prospektive Kohortenstudie mit 385.502 UK-Biobank-Teilnehmern untersuchte, ob Wohngebiete mit Grün- und Blauflächen das COPD-Inzidenzrisiko senken.</w:t>
      </w:r>
    </w:p>
    <w:p>
      <w:r>
        <w:rPr>
          <w:b/>
        </w:rPr>
        <w:t xml:space="preserve">Ergebnis: </w:t>
      </w:r>
      <w:r>
        <w:t>Höhere Exposition gegenüber Grünflächen (HR 0,87; 95%-KI 0,83–0,92) und natürlicher Umgebung (HR 0,83; 95%-KI 0,78–0,87) waren mit niedrigerem COPD-Risiko verbunden, unabhängig von genetischer Anfälligkeit. Die Assoziation deutet auf präventives Potenzial von Umweltmaßnahmen hin.</w:t>
      </w:r>
    </w:p>
    <w:p>
      <w:r>
        <w:rPr>
          <w:b/>
          <w:sz w:val="19"/>
        </w:rPr>
        <w:t xml:space="preserve">Übertragbarkeit: </w:t>
      </w:r>
      <w:r>
        <w:rPr>
          <w:sz w:val="19"/>
        </w:rPr>
        <w:t>UK-Kohortenstudie; Umweltfaktoren gelten international, Transfer auf Präventionsinfrastruktur hängt von Planung ab.</w:t>
      </w:r>
    </w:p>
    <w:p>
      <w:r>
        <w:rPr>
          <w:color w:val="5A7D3A"/>
          <w:sz w:val="18"/>
        </w:rPr>
        <w:t>https://pubmed.ncbi.nlm.nih.gov/42751338/</w:t>
      </w:r>
    </w:p>
    <w:p>
      <w:pPr>
        <w:pStyle w:val="Heading2"/>
      </w:pPr>
      <w:r>
        <w:t>Höhere Ballaststoffaufnahme senkte COPD-Prävalenz und Entzündungsmarker</w:t>
      </w:r>
    </w:p>
    <w:p>
      <w:r>
        <w:rPr>
          <w:i/>
          <w:color w:val="666666"/>
          <w:sz w:val="18"/>
        </w:rPr>
        <w:t>Tu X et al.  ·  Int J Chron Obstruct Pulmon Dis  ·  11.09.2026  ·  PMID 42751152</w:t>
      </w:r>
    </w:p>
    <w:p>
      <w:r>
        <w:t>Zweistufige epidemiologische und klinische Kohortenstudie (NHANES 2013–2018 und 331 klinische Teilnehmer) untersuchte Assoziation zwischen Ballaststoffaufnahme und COPD sowie Entzündungsmarkern und zirkulierendem Lipopolysaccharid.</w:t>
      </w:r>
    </w:p>
    <w:p>
      <w:r>
        <w:rPr>
          <w:b/>
        </w:rPr>
        <w:t xml:space="preserve">Ergebnis: </w:t>
      </w:r>
      <w:r>
        <w:t>NHANES: höhere energieadjustierte Ballaststoffaufnahme war mit niedrigerer COPD-Prävalenz assoziiert. Klinische Kohorte: höhere Ballaststoffaufnahme bei COPD-Patienten korrelierte mit niedrigeren Entzündungsmarkern und zirkulierendem LPS. WBC und Neutrophile zeigten statistische Signifikanz mit jeweils 1,36 % und 4,22 % indirektem Effekt.</w:t>
      </w:r>
    </w:p>
    <w:p>
      <w:r>
        <w:rPr>
          <w:b/>
          <w:sz w:val="19"/>
        </w:rPr>
        <w:t xml:space="preserve">Übertragbarkeit: </w:t>
      </w:r>
      <w:r>
        <w:rPr>
          <w:sz w:val="19"/>
        </w:rPr>
        <w:t>USA (NHANES) und klinische Kohortendaten; Ernährungsintervention ist übertragbar, prospektive Studien erforderlich.</w:t>
      </w:r>
    </w:p>
    <w:p>
      <w:r>
        <w:rPr>
          <w:color w:val="5A7D3A"/>
          <w:sz w:val="18"/>
        </w:rPr>
        <w:t>https://pubmed.ncbi.nlm.nih.gov/42751152/</w:t>
      </w:r>
    </w:p>
    <w:p>
      <w:pPr>
        <w:pStyle w:val="Heading2"/>
      </w:pPr>
      <w:r>
        <w:t>HIV/Hepatitis-B-Koinfektion verschlechterte Lebensqualität erheblich</w:t>
      </w:r>
    </w:p>
    <w:p>
      <w:r>
        <w:rPr>
          <w:i/>
          <w:color w:val="666666"/>
          <w:sz w:val="18"/>
        </w:rPr>
        <w:t>Okeke E et al.  ·  BMC Infect Dis  ·  07.08.2026  ·  PMID 42750015</w:t>
      </w:r>
    </w:p>
    <w:p>
      <w:r>
        <w:t>Querschnittsanalyse von 884 Erwachsenen mit chronischer Hepatitis B in West- und Zentralafrika untersuchte gesundheitsbezogene Lebensqualität (SF-36) stratifiziert nach Behandlungsstatus und HIV-Status.</w:t>
      </w:r>
    </w:p>
    <w:p>
      <w:r>
        <w:rPr>
          <w:b/>
        </w:rPr>
        <w:t xml:space="preserve">Ergebnis: </w:t>
      </w:r>
      <w:r>
        <w:t>Mittlere Lebensqualität 77,8 (SD 16,9) insgesamt, aber signifikant niedriger bei HIV/HBV-Koinfektion unbehandelt (59,38 vs. 80,56 bei HBV-monoinfiziert; p&lt;0,01). Erhöhte Fibrosescores, Komorbiditäten und höheres Alter waren mit schlechterer Lebensqualität assoziiert; Energie war am meisten beeinträchtigt.</w:t>
      </w:r>
    </w:p>
    <w:p>
      <w:r>
        <w:rPr>
          <w:b/>
          <w:sz w:val="19"/>
        </w:rPr>
        <w:t xml:space="preserve">Übertragbarkeit: </w:t>
      </w:r>
      <w:r>
        <w:rPr>
          <w:sz w:val="19"/>
        </w:rPr>
        <w:t>Subsaharische Länder mit hoher HBV/HIV-Prävalenz; zeigt Bedarf für integrierte Versorgung auch bei deutscher Mehrfacherkrankung.</w:t>
      </w:r>
    </w:p>
    <w:p>
      <w:r>
        <w:rPr>
          <w:color w:val="5A7D3A"/>
          <w:sz w:val="18"/>
        </w:rPr>
        <w:t>https://pubmed.ncbi.nlm.nih.gov/42750015/</w:t>
      </w:r>
    </w:p>
    <w:p>
      <w:pPr>
        <w:pStyle w:val="Heading2"/>
      </w:pPr>
      <w:r>
        <w:t>Gemeindevolontäre steigerten Hepatitis-B-Therapietreue um 25 Prozentpunkte</w:t>
      </w:r>
    </w:p>
    <w:p>
      <w:r>
        <w:rPr>
          <w:i/>
          <w:color w:val="666666"/>
          <w:sz w:val="18"/>
        </w:rPr>
        <w:t>Western Pac Surveill Response J  ·  15.07.2026  ·  PMID 42746034</w:t>
      </w:r>
    </w:p>
    <w:p>
      <w:r>
        <w:t>Pilotstudie in Kiribati testete Gemeindevolontäre zur Verbesserung der Adhärenz zur Hepatitis-B-Antivirentherapie bei schwangeren Frauen und Patienten mit Zirrhose von Januar bis August 2025.</w:t>
      </w:r>
    </w:p>
    <w:p>
      <w:r>
        <w:rPr>
          <w:b/>
        </w:rPr>
        <w:t xml:space="preserve">Ergebnis: </w:t>
      </w:r>
      <w:r>
        <w:t>Therapietreue war 77,4 % in der Interventionsgruppe vs. 52,5 % in der Kontrollgruppe (p&lt;0,001); bei schwangeren Frauen 89,7 %; Adhärenz &gt;80 % erreichten 58,8 % der Intervention vs. 34,1 % der Kontrollen (p=0,0012). Die Strategie ist vielversprechend, aber vorläufig ohne Matching zwischen Gruppen.</w:t>
      </w:r>
    </w:p>
    <w:p>
      <w:r>
        <w:rPr>
          <w:b/>
          <w:sz w:val="19"/>
        </w:rPr>
        <w:t xml:space="preserve">Übertragbarkeit: </w:t>
      </w:r>
      <w:r>
        <w:rPr>
          <w:sz w:val="19"/>
        </w:rPr>
        <w:t>Pazifikischer Inselstaat mit hoher Prävalenz; Modell könnte auch andere chronische Erkrankungen erreichen, Transfer hängt von lokalen Ressourcen ab.</w:t>
      </w:r>
    </w:p>
    <w:p>
      <w:r>
        <w:rPr>
          <w:color w:val="5A7D3A"/>
          <w:sz w:val="18"/>
        </w:rPr>
        <w:t>https://pubmed.ncbi.nlm.nih.gov/42746034/</w:t>
      </w:r>
    </w:p>
    <w:p>
      <w:pPr>
        <w:pStyle w:val="Heading2"/>
      </w:pPr>
      <w:r>
        <w:t>SP16-Behandlung könnte Akute-Nierenschädigung bei Herzoperation verhindern</w:t>
      </w:r>
    </w:p>
    <w:p>
      <w:r>
        <w:rPr>
          <w:i/>
          <w:color w:val="666666"/>
          <w:sz w:val="18"/>
        </w:rPr>
        <w:t>Jobst-Schwan T et al.  ·  Trials  ·  28.08.2026  ·  PMID 42665834</w:t>
      </w:r>
    </w:p>
    <w:p>
      <w:r>
        <w:t>Phase-IIa-Studie prüft Sicherheit und Wirksamkeit von SP16 (LRP1-Agonist) zur Prävention akuter Nierenschädigung bei 120 Hochrisiko-Patienten mit chronischer Nierenkrankheit unter Herzoperation.</w:t>
      </w:r>
    </w:p>
    <w:p>
      <w:r>
        <w:rPr>
          <w:b/>
        </w:rPr>
        <w:t xml:space="preserve">Ergebnis: </w:t>
      </w:r>
      <w:r>
        <w:t>Geplante Primärendpunkte: Inzidenz akuter Nierenschädigung innerhalb 7 Tage postoperativ und Häufigkeit von Nebenwirkungen in 72 h. Rekrutierung geplant ab August 2026; Phase-IIa-Ergebnisse ausstehend. Frühe Phase-I-Sicherheit war gegeben.</w:t>
      </w:r>
    </w:p>
    <w:p>
      <w:r>
        <w:rPr>
          <w:b/>
          <w:sz w:val="19"/>
        </w:rPr>
        <w:t xml:space="preserve">Übertragbarkeit: </w:t>
      </w:r>
      <w:r>
        <w:rPr>
          <w:sz w:val="19"/>
        </w:rPr>
        <w:t>Deutsches Zentrum (Erlangen); experimentelles Stadium, externe Validierung erforderlich.</w:t>
      </w:r>
    </w:p>
    <w:p>
      <w:r>
        <w:rPr>
          <w:color w:val="5A7D3A"/>
          <w:sz w:val="18"/>
        </w:rPr>
        <w:t>https://pubmed.ncbi.nlm.nih.gov/42665834/</w:t>
      </w:r>
    </w:p>
    <w:p>
      <w:pPr>
        <w:pStyle w:val="Heading1"/>
      </w:pPr>
      <w:r>
        <w:t>Aufgenommen am 17.09.2026</w:t>
      </w:r>
    </w:p>
    <w:p>
      <w:pPr>
        <w:pStyle w:val="Heading2"/>
      </w:pPr>
      <w:r>
        <w:t>Orale Mehrfacherkrankungen bei älteren Menschen erfordern differenzierte Zahngesundheits-Strategien</w:t>
      </w:r>
    </w:p>
    <w:p>
      <w:r>
        <w:rPr>
          <w:i/>
          <w:color w:val="666666"/>
          <w:sz w:val="18"/>
        </w:rPr>
        <w:t>Jiang L et al.  ·  Clin Interv Aging  ·  11.09.2026  ·  PMID 42746399</w:t>
      </w:r>
    </w:p>
    <w:p>
      <w:r>
        <w:t>Latente-Klassen-Analyse identifizierte unterschiedliche Muster oraler Mehrfacherkrankung (Karies, Zahnfleischerkrankung, Zahnverlust) bei 423 älteren Chinesen (65–74 Jahre) und untersuchte soziale Determinanten der Klassenzugehörigkeit.</w:t>
      </w:r>
    </w:p>
    <w:p>
      <w:r>
        <w:rPr>
          <w:b/>
        </w:rPr>
        <w:t xml:space="preserve">Ergebnis: </w:t>
      </w:r>
      <w:r>
        <w:t>Drei Subtypen wurden identifiziert: Klasse 1 (23,9 %, niedrige Erkrankungslast); Klasse 2 (41,6 %, parodontaldominant mit schwerem Zahnverlust); Klasse 3 (34,5 %, kariesdominant). Älterung, Rauchen und Zahnarztbesuche waren assoziiert mit Klasse 2. Älterung, weibliches Geschlecht, urbaner Wohnort und Zahnarztbesuche waren mit Klasse 3 verbunden. Die Befunde legen subtyp-spezifische statt einheitlicher Zahngesundheitsstrategien nahe und zeigen, dass orale Mehrfacherkrankung unter älteren Menschen heterogen ist.</w:t>
      </w:r>
    </w:p>
    <w:p>
      <w:r>
        <w:rPr>
          <w:b/>
          <w:sz w:val="19"/>
        </w:rPr>
        <w:t xml:space="preserve">Übertragbarkeit: </w:t>
      </w:r>
      <w:r>
        <w:rPr>
          <w:sz w:val="19"/>
        </w:rPr>
        <w:t>China, aber methodisches Vorbild für Mehrfacherkrankungs-Phänotypisierung in allen Ländern übertragbar</w:t>
      </w:r>
    </w:p>
    <w:p>
      <w:r>
        <w:rPr>
          <w:color w:val="5A7D3A"/>
          <w:sz w:val="18"/>
        </w:rPr>
        <w:t>https://pubmed.ncbi.nlm.nih.gov/42746399/</w:t>
      </w:r>
    </w:p>
    <w:p>
      <w:pPr>
        <w:pStyle w:val="Heading2"/>
      </w:pPr>
      <w:r>
        <w:t>Post-Hepatitis-C-Lebersteifheit prognostiziert Dekompensation stärker als deren Veränderung</w:t>
      </w:r>
    </w:p>
    <w:p>
      <w:r>
        <w:rPr>
          <w:i/>
          <w:color w:val="666666"/>
          <w:sz w:val="18"/>
        </w:rPr>
        <w:t>Cerini F et al.  ·  Liver Int  ·  Okt. 2026  ·  PMID 42745428</w:t>
      </w:r>
    </w:p>
    <w:p>
      <w:r>
        <w:t>Retrospektive Kohortenstudie bei 135 Patienten mit HCV-bedingter kompensierter fortgeschrittener Lebererkrankung, die eine direkt wirkende antivirale Therapie (DAA) erhielten, prüfte, ob absolute post-SVR-Lebersteifheit (LSM) oder deren Veränderung den Verlauf nach Viruseradikation besser prognostizieren.</w:t>
      </w:r>
    </w:p>
    <w:p>
      <w:r>
        <w:rPr>
          <w:b/>
        </w:rPr>
        <w:t xml:space="preserve">Ergebnis: </w:t>
      </w:r>
      <w:r>
        <w:t>Bei medianer 60 Monate (95%-KI 52–69) Nachverfolgung entwickelten 8 % (11/135) leberbezogene Ereignisse. Absolute post-Therapie-LSM zeigte bessere diskriminative Fähigkeit (tAUC Jahr 2: 0,86; Jahr 3: 0,82) als deren Veränderung. Follow-up-LSM &gt; 20 kPa war unabhängig mit leberbezogenen Ereignissen assoziiert (SHR 5,61; p = 0,007), während Baveno-VII-Kriterien für LSM-Regression nicht signifikant waren (p = 0,097). Dies unterstützt wiederholte post-SVR-LSM-Bewertung zur Risikostratifizierung.</w:t>
      </w:r>
    </w:p>
    <w:p>
      <w:r>
        <w:rPr>
          <w:b/>
          <w:sz w:val="19"/>
        </w:rPr>
        <w:t xml:space="preserve">Übertragbarkeit: </w:t>
      </w:r>
      <w:r>
        <w:rPr>
          <w:sz w:val="19"/>
        </w:rPr>
        <w:t>Schweiz (Bern), deutschsprachiger Raum, vergleichbare hepatologische Versorgungsstandards</w:t>
      </w:r>
    </w:p>
    <w:p>
      <w:r>
        <w:rPr>
          <w:color w:val="5A7D3A"/>
          <w:sz w:val="18"/>
        </w:rPr>
        <w:t>https://pubmed.ncbi.nlm.nih.gov/42745428/</w:t>
      </w:r>
    </w:p>
    <w:p>
      <w:pPr>
        <w:pStyle w:val="Heading2"/>
      </w:pPr>
      <w:r>
        <w:t>Retrograde Datenerfassung zu pädiatrischen Patienten mit CKD-Anämie ermöglicht Registerstudie</w:t>
      </w:r>
    </w:p>
    <w:p>
      <w:r>
        <w:rPr>
          <w:i/>
          <w:color w:val="666666"/>
          <w:sz w:val="18"/>
        </w:rPr>
        <w:t>Mountcastle S et al.  ·  BMC Nephrol  ·  27.08.2026  ·  PMID 42717324</w:t>
      </w:r>
    </w:p>
    <w:p>
      <w:r>
        <w:t>Machbarkeitsstudie zur Durchführbarkeit der retrospektiven Erhebung klinischer Charakteristika, Behandlungshistorie und Nebenwirkungen bei pädiatrischen Dialyse-Patienten mit Anämie aus Krankenakten in UK und USA.</w:t>
      </w:r>
    </w:p>
    <w:p>
      <w:r>
        <w:rPr>
          <w:b/>
        </w:rPr>
        <w:t xml:space="preserve">Ergebnis: </w:t>
      </w:r>
      <w:r>
        <w:t>Unter 50 eingeschlossenen Patienten (36 UK, 14 USA, Median 9 Jahre) lag die mittlere Hemoglobin-Baseline bei 10,0 (2,0) g/dL. 46 % erhielten Eisentherapie mit der erythropoese-stimulierenden Therapie. Die mediane Nachverfolgung betrug 52,1 Wochen; 20 unerwünschte Ereignisse traten bei 9 (18 %) Patienten auf (alle schwerwiegend). Die Studie demonstrierte Machbarkeit, aus medizinischen Unterlagen klinische Charakteristika, Behandlungshistorie und Nebenwirkungen bei pädiatrischen Patienten mit CKD-Anämie zu erfassen.</w:t>
      </w:r>
    </w:p>
    <w:p>
      <w:r>
        <w:rPr>
          <w:b/>
          <w:sz w:val="19"/>
        </w:rPr>
        <w:t xml:space="preserve">Übertragbarkeit: </w:t>
      </w:r>
      <w:r>
        <w:rPr>
          <w:sz w:val="19"/>
        </w:rPr>
        <w:t>UK und USA, begrenzte Übertragbarkeit auf Deutschland; wesentlich für internationale Vergleichbarkeit von Pädiatrie-Versorgung</w:t>
      </w:r>
    </w:p>
    <w:p>
      <w:r>
        <w:rPr>
          <w:color w:val="5A7D3A"/>
          <w:sz w:val="18"/>
        </w:rPr>
        <w:t>https://pubmed.ncbi.nlm.nih.gov/42717324/</w:t>
      </w:r>
    </w:p>
    <w:p>
      <w:pPr>
        <w:pStyle w:val="Heading2"/>
      </w:pPr>
      <w:r>
        <w:t>Multimorbidität-Muster beeinflussen Therapieerfolg bei älteren Menschen mit Frailty</w:t>
      </w:r>
    </w:p>
    <w:p>
      <w:r>
        <w:rPr>
          <w:i/>
          <w:color w:val="666666"/>
          <w:sz w:val="18"/>
        </w:rPr>
        <w:t>Vetrano DL et al.  ·  Nat Aging  ·  31.08.2026  ·  PMID 42675189</w:t>
      </w:r>
    </w:p>
    <w:p>
      <w:r>
        <w:t>Die Studie prüfte, ob die Wirksamkeit eines multikomponentalen Lebensstil-Interventionsprogramms (körperliche Aktivität mit technologischer Unterstützung und Ernährungsberatung) bei älteren Menschen mit Frailty und Mehrfacherkrankungen je nach Erkrankungsmuster variiert.</w:t>
      </w:r>
    </w:p>
    <w:p>
      <w:r>
        <w:rPr>
          <w:b/>
        </w:rPr>
        <w:t xml:space="preserve">Ergebnis: </w:t>
      </w:r>
      <w:r>
        <w:t>Insgesamt reduzierte die Intervention das Risiko für Mobilitätsbehinderung oder Tod um 22 % (HR 0,78; 95%-KI 0,66–0,92). Bei Patienten mit psychiatrischem Erkrankungsmuster war der Nutzen besonders groß (HR 0,65; 95%-KI 0,47–0,92); diese Gruppe gewann im Median 3,09 Monate ohne Mobilitätseinschränkung oder Tod. Bei kardio-metabolischen und respiratorischen Mustern zeigten sich keine statistisch signifikanten Unterschiede. Dies zeigt, dass Erkrankungsmuster die Therapieansprechbarkeit beeinflussen und Risikostratifizierung für präventive Maßnahmen wichtig ist.</w:t>
      </w:r>
    </w:p>
    <w:p>
      <w:r>
        <w:rPr>
          <w:b/>
          <w:sz w:val="19"/>
        </w:rPr>
        <w:t xml:space="preserve">Übertragbarkeit: </w:t>
      </w:r>
      <w:r>
        <w:rPr>
          <w:sz w:val="19"/>
        </w:rPr>
        <w:t>Europäische Studie (Italien, Schweden, Deutschland), vergleichbare Struktur von Versorgung und Vorsorge</w:t>
      </w:r>
    </w:p>
    <w:p>
      <w:r>
        <w:rPr>
          <w:color w:val="5A7D3A"/>
          <w:sz w:val="18"/>
        </w:rPr>
        <w:t>https://pubmed.ncbi.nlm.nih.gov/42675189/</w:t>
      </w:r>
    </w:p>
    <w:p>
      <w:pPr>
        <w:pStyle w:val="Heading2"/>
      </w:pPr>
      <w:r>
        <w:t>Strukturierte COPD-Versorgung mit früher Diagnose und Triple-Inhalation senkt Mortalität</w:t>
      </w:r>
    </w:p>
    <w:p>
      <w:r>
        <w:rPr>
          <w:i/>
          <w:color w:val="666666"/>
          <w:sz w:val="18"/>
        </w:rPr>
        <w:t>Rogliani P et al.  ·  Intern Emerg Med  ·  21.08.2026  ·  PMID 42629534</w:t>
      </w:r>
    </w:p>
    <w:p>
      <w:r>
        <w:t>Italienische Expertengruppe entwickelte praktische Empfehlungen zur Optimierung der COPD-Versorgung im italienischen Gesundheitssystem, basierend auf aktuellen Daten und dem Problem der Unterdiagnose.</w:t>
      </w:r>
    </w:p>
    <w:p>
      <w:r>
        <w:rPr>
          <w:b/>
        </w:rPr>
        <w:t xml:space="preserve">Ergebnis: </w:t>
      </w:r>
      <w:r>
        <w:t>Die Empfehlungen betonen: (1) strukturierte Fallsuche in Hausarztpraxen mit Spirometrie zur frühen Diagnose; (2) Standardisierung der Identifikation unkontrollierter Patienten durch Symptom-Scores und indirekte Marker (rezidivierende Antibiotika- oder Kortikosteroid-Nutzung); (3) Single-Inhaler-Triple-Therapie (SITT) als einzige pharmakologische Strategie, die nachweislich Exazerbationen und Gesamtmortalität bei Hochrisikopatienten senkt. Die Auswirkung auf kardiopulmonale Dekompensation wird diskutiert. Ein integrierter Versorgungspfad und Überwindung therapeutischer Trägheit sind zentral.</w:t>
      </w:r>
    </w:p>
    <w:p>
      <w:r>
        <w:rPr>
          <w:b/>
          <w:sz w:val="19"/>
        </w:rPr>
        <w:t xml:space="preserve">Übertragbarkeit: </w:t>
      </w:r>
      <w:r>
        <w:rPr>
          <w:sz w:val="19"/>
        </w:rPr>
        <w:t>Italien, vergleichbare Verbraucherperspektive und Dokumentationssysteme wie Deutschland</w:t>
      </w:r>
    </w:p>
    <w:p>
      <w:r>
        <w:rPr>
          <w:color w:val="5A7D3A"/>
          <w:sz w:val="18"/>
        </w:rPr>
        <w:t>https://pubmed.ncbi.nlm.nih.gov/42629534/</w:t>
      </w:r>
    </w:p>
    <w:p>
      <w:pPr>
        <w:pStyle w:val="Heading2"/>
      </w:pPr>
      <w:r>
        <w:t>Retinale Gefäßzeichen vorhersagen Depressionsrisiko und nachfolgende chronische Erkrankungen</w:t>
      </w:r>
    </w:p>
    <w:p>
      <w:r>
        <w:rPr>
          <w:i/>
          <w:color w:val="666666"/>
          <w:sz w:val="18"/>
        </w:rPr>
        <w:t>Wang Y et al.  ·  J Affect Disord  ·  01.12.2026  ·  PMID 42551563</w:t>
      </w:r>
    </w:p>
    <w:p>
      <w:r>
        <w:t>Longitudinale Kohortenstudie untersuchte, ob retinale Gefäßstrukturen (quantifiziert aus Fundusphotographien) das Risiko für künftige Depression und darauffolgende chronische Erkrankungen in der UK Biobank vorhersagen.</w:t>
      </w:r>
    </w:p>
    <w:p>
      <w:r>
        <w:rPr>
          <w:b/>
        </w:rPr>
        <w:t xml:space="preserve">Ergebnis: </w:t>
      </w:r>
      <w:r>
        <w:t>Über mittlere 11,3 Jahre Follow-up waren breitere retinale Venen mit erhöhtem Depressionsrisiko assoziiert (zentrales retinales Venenäquivalent: HR 1,25, 95%-KI 1,06–1,48; Venenbreite: HR 1,31, 95%-KI 1,12–1,54). Bei 1.507 Patienten mit Depression ohne vorbestehende chronische Erkrankungen war niedrigere arterielle Gefäßdichte mit erhöhtem Gesamtrisiko für chronische Erkrankung assoziiert (HR 0,71, 95%-KI 0,54–0,95), während erhöhte retinale Gefäßtortuosität mit kardiovaskulärem Risiko verbunden war (HR 2,24–1,90). Retinale Gefäßneuroimaging könnte als nicht-invasiver Biomarker-Kandidat für Risikostratifizierung dienen.</w:t>
      </w:r>
    </w:p>
    <w:p>
      <w:r>
        <w:rPr>
          <w:b/>
          <w:sz w:val="19"/>
        </w:rPr>
        <w:t xml:space="preserve">Übertragbarkeit: </w:t>
      </w:r>
      <w:r>
        <w:rPr>
          <w:sz w:val="19"/>
        </w:rPr>
        <w:t>UK Biobank mit standardisierter digitaler Bildgebung, übertragbar auf deutsche Versorgungsforschung mit Screeningpotenzialen</w:t>
      </w:r>
    </w:p>
    <w:p>
      <w:r>
        <w:rPr>
          <w:color w:val="5A7D3A"/>
          <w:sz w:val="18"/>
        </w:rPr>
        <w:t>https://pubmed.ncbi.nlm.nih.gov/42551563/</w:t>
      </w:r>
    </w:p>
    <w:p>
      <w:pPr>
        <w:pStyle w:val="Heading1"/>
      </w:pPr>
      <w:r>
        <w:t>Aufgenommen am 16.09.2026</w:t>
      </w:r>
    </w:p>
    <w:p>
      <w:pPr>
        <w:pStyle w:val="Heading2"/>
      </w:pPr>
      <w:r>
        <w:t>Case Finding für COPD nach Lungenkrebs-Screening wird von Patienten akzeptiert</w:t>
      </w:r>
    </w:p>
    <w:p>
      <w:r>
        <w:rPr>
          <w:i/>
          <w:color w:val="666666"/>
          <w:sz w:val="18"/>
        </w:rPr>
        <w:t>Phillips OR et al.  ·  BMJ Open Respir Res  ·  15.09.2026  ·  PMID 42744412</w:t>
      </w:r>
    </w:p>
    <w:p>
      <w:r>
        <w:t>Qualitative Studie mit 15 teilstrukturierten Interviews: Untersuchung der Wahrnehmung von Patienten zum Case Finding für COPD nach Lungenkrebs-Screening mittels mobiler Forschungseinheit in Nottinghamshire.</w:t>
      </w:r>
    </w:p>
    <w:p>
      <w:r>
        <w:rPr>
          <w:b/>
        </w:rPr>
        <w:t xml:space="preserve">Ergebnis: </w:t>
      </w:r>
      <w:r>
        <w:t>Kernfaktoren für positive Bewertung: Lob für klinisches Personal, Zugänglichkeit und Atmosphäre der Forschungseinheit sowie Zweckmäßigkeit des Case Finding. Hauptproblem: Mangelnde Kommunikation mit Hausarztpraxen in den Wochen nach der Bewertung. Teilnehmer befürworteten eine landesweite Ausweitung des Ansatzes.</w:t>
      </w:r>
    </w:p>
    <w:p>
      <w:r>
        <w:rPr>
          <w:b/>
          <w:sz w:val="19"/>
        </w:rPr>
        <w:t xml:space="preserve">Übertragbarkeit: </w:t>
      </w:r>
      <w:r>
        <w:rPr>
          <w:sz w:val="19"/>
        </w:rPr>
        <w:t>UK (England), vergleichbar mit deutschem primärversorgtem System.</w:t>
      </w:r>
    </w:p>
    <w:p>
      <w:r>
        <w:rPr>
          <w:color w:val="5A7D3A"/>
          <w:sz w:val="18"/>
        </w:rPr>
        <w:t>https://pubmed.ncbi.nlm.nih.gov/42744412/</w:t>
      </w:r>
    </w:p>
    <w:p>
      <w:pPr>
        <w:pStyle w:val="Heading2"/>
      </w:pPr>
      <w:r>
        <w:t>Pharmazeut-geführte Interventionen verbessern Adhärenz zu Phosphatbindern und Phosphorkontrolle</w:t>
      </w:r>
    </w:p>
    <w:p>
      <w:r>
        <w:rPr>
          <w:i/>
          <w:color w:val="666666"/>
          <w:sz w:val="18"/>
        </w:rPr>
        <w:t>Trapp A et al.  ·  Nephrol Nurs J  ·  Juli 2026  ·  PMID 42742309</w:t>
      </w:r>
    </w:p>
    <w:p>
      <w:r>
        <w:t>Prospektive dreiphasige Studie: Evaluierung von pharmazeut-geführten Interventionen auf die Einhaltung von Phosphatbinder-Therapie und Phosphorkontrolle in einer Dialyse-Population mit Hemo-, Peritoneal- und Heimdialyse.</w:t>
      </w:r>
    </w:p>
    <w:p>
      <w:r>
        <w:rPr>
          <w:b/>
        </w:rPr>
        <w:t xml:space="preserve">Ergebnis: </w:t>
      </w:r>
      <w:r>
        <w:t>Pharmazeut-Integration in das Programm führte zu verbesserter Adhärenz, besserer Phosphorkontrolle und reduzierten Diskrepanzen in der Medikation. Das Programm verbesserte auch Ergebnisse und Workflow-Effizienz.</w:t>
      </w:r>
    </w:p>
    <w:p>
      <w:r>
        <w:rPr>
          <w:b/>
          <w:sz w:val="19"/>
        </w:rPr>
        <w:t xml:space="preserve">Übertragbarkeit: </w:t>
      </w:r>
      <w:r>
        <w:rPr>
          <w:sz w:val="19"/>
        </w:rPr>
        <w:t>USA (Oregon, Montana), aber Adhärenz-Intervention auf deutsches Dialyse-System übertragbar.</w:t>
      </w:r>
    </w:p>
    <w:p>
      <w:r>
        <w:rPr>
          <w:color w:val="5A7D3A"/>
          <w:sz w:val="18"/>
        </w:rPr>
        <w:t>https://pubmed.ncbi.nlm.nih.gov/42742309/</w:t>
      </w:r>
    </w:p>
    <w:p>
      <w:pPr>
        <w:pStyle w:val="Heading2"/>
      </w:pPr>
      <w:r>
        <w:t>Frühere Exazerbationen und höhere GOLD-Grade sagen künftige COPD-Exazerbationen voraus</w:t>
      </w:r>
    </w:p>
    <w:p>
      <w:r>
        <w:rPr>
          <w:i/>
          <w:color w:val="666666"/>
          <w:sz w:val="18"/>
        </w:rPr>
        <w:t>Song Q et al.  ·  Ann Med  ·  15.09.2026  ·  PMID 42741955</w:t>
      </w:r>
    </w:p>
    <w:p>
      <w:r>
        <w:t>Retrospektive Kohortenstudie an 1.076 COPD-Patienten unter Doppeltherapie (LABA/LAMA): Analyse von Risikofaktoren für zukünftige Exazerbationen während einjähriger Nachverfolgung.</w:t>
      </w:r>
    </w:p>
    <w:p>
      <w:r>
        <w:rPr>
          <w:b/>
        </w:rPr>
        <w:t xml:space="preserve">Ergebnis: </w:t>
      </w:r>
      <w:r>
        <w:t>284 Patienten (26,4%) erlebten während der Nachverfolgung Exazerbationen. Unabhängige Risikofaktoren: GOLD-Grade 3–4 (OR 1,343, 95%-KI 1,016–1,776), eine Exazerbation im Vorjahr (OR 1,763, 95%-KI 1,248–2,489) und ≥2 Exazerbationen im Vorjahr (OR 2,514, 95%-KI 1,792–3,525). In der Subgruppe mit Hypertonie (Gruppe B) war die Hypertonie ebenfalls Risikofaktor (OR 3,400).</w:t>
      </w:r>
    </w:p>
    <w:p>
      <w:r>
        <w:rPr>
          <w:b/>
          <w:sz w:val="19"/>
        </w:rPr>
        <w:t xml:space="preserve">Übertragbarkeit: </w:t>
      </w:r>
      <w:r>
        <w:rPr>
          <w:sz w:val="19"/>
        </w:rPr>
        <w:t>China, aber COPD-Klassifikation nach GOLD international standardisiert.</w:t>
      </w:r>
    </w:p>
    <w:p>
      <w:r>
        <w:rPr>
          <w:color w:val="5A7D3A"/>
          <w:sz w:val="18"/>
        </w:rPr>
        <w:t>https://pubmed.ncbi.nlm.nih.gov/42741955/</w:t>
      </w:r>
    </w:p>
    <w:p>
      <w:pPr>
        <w:pStyle w:val="Heading2"/>
      </w:pPr>
      <w:r>
        <w:t>CKD-Prävalenz stabil, aber Komorbiditäten zeigen divergente Trends über 20 Jahre</w:t>
      </w:r>
    </w:p>
    <w:p>
      <w:r>
        <w:rPr>
          <w:i/>
          <w:color w:val="666666"/>
          <w:sz w:val="18"/>
        </w:rPr>
        <w:t>Farag YM et al.  ·  Ren Fail  ·  14.09.2026  ·  PMID 42736589</w:t>
      </w:r>
    </w:p>
    <w:p>
      <w:r>
        <w:t>Trend-Analyse von 1999–2018 mit NHANES-Daten: Untersuchung der CKD-Prävalenz und neun Komorbiditäten (Adipositas, Diabetes, Hypertonie, Anämie etc.) nach eGFR- und Albuminurie-Kategorien.</w:t>
      </w:r>
    </w:p>
    <w:p>
      <w:r>
        <w:rPr>
          <w:b/>
        </w:rPr>
        <w:t xml:space="preserve">Ergebnis: </w:t>
      </w:r>
      <w:r>
        <w:t>CKD-Prävalenz stabil bei 20% bei Erwachsenen ≥20 Jahren. Adipositas und Diabetes nahmen signifikant zu, Hypertonie, Anämie, Hyperkalämie und kardiovaskuläre Erkrankung blieben stabil. Hypertriglyzeridämie und Hypercholesterinämie zeigten initialen Anstieg, dann Plateau. Ungleiche Verteilung der Komorbiditäten über KDIGO-eGFR- und Albuminurie-Unterkategorien, mit erhöhtem Risiko in G3bA2- und G4A1-Patienten.</w:t>
      </w:r>
    </w:p>
    <w:p>
      <w:r>
        <w:rPr>
          <w:b/>
          <w:sz w:val="19"/>
        </w:rPr>
        <w:t xml:space="preserve">Übertragbarkeit: </w:t>
      </w:r>
      <w:r>
        <w:rPr>
          <w:sz w:val="19"/>
        </w:rPr>
        <w:t>USA, aber KDIGO-Klassifikation international standardisiert; Epidemiologie informativ für Ressourcenplanung in Deutschland.</w:t>
      </w:r>
    </w:p>
    <w:p>
      <w:r>
        <w:rPr>
          <w:color w:val="5A7D3A"/>
          <w:sz w:val="18"/>
        </w:rPr>
        <w:t>https://pubmed.ncbi.nlm.nih.gov/42736589/</w:t>
      </w:r>
    </w:p>
    <w:p>
      <w:pPr>
        <w:pStyle w:val="Heading2"/>
      </w:pPr>
      <w:r>
        <w:t>Mehrfacherkrankung verschärft sich durch Einsamkeit und soziale Inaktivität</w:t>
      </w:r>
    </w:p>
    <w:p>
      <w:r>
        <w:rPr>
          <w:i/>
          <w:color w:val="666666"/>
          <w:sz w:val="18"/>
        </w:rPr>
        <w:t>Zhou Y et al.  ·  Nat Commun  ·  15.08.2026  ·  PMID 42736300</w:t>
      </w:r>
    </w:p>
    <w:p>
      <w:r>
        <w:t>Längsschnittstudie in 19 Ländern an Personen ab 45 Jahren: Untersucht wurden bidirektionale Assoziationen zwischen körperlicher Mehrfacherkrankung und Einsamkeit sowie die vermittelnde Rolle sozialer Inaktivität.</w:t>
      </w:r>
    </w:p>
    <w:p>
      <w:r>
        <w:rPr>
          <w:b/>
        </w:rPr>
        <w:t xml:space="preserve">Ergebnis: </w:t>
      </w:r>
      <w:r>
        <w:t>Mehrfacherkrankung erhöhte das Risiko für Einsamkeit (adjustierte HR 1,25, 95%-KI 1,20–1,30). Einsamkeit erhöhte wiederum das Risiko für Mehrfacherkrankung (adjustierte HR 1,10, 95%-KI 1,05–1,17). Soziale Inaktivität vermittelte diese Assoziation teilweise. Diese Befunde deuten auf einen Teufelskreis hin, in dem jede Erkrankung die andere verschärft.</w:t>
      </w:r>
    </w:p>
    <w:p>
      <w:r>
        <w:rPr>
          <w:b/>
          <w:sz w:val="19"/>
        </w:rPr>
        <w:t xml:space="preserve">Übertragbarkeit: </w:t>
      </w:r>
      <w:r>
        <w:rPr>
          <w:sz w:val="19"/>
        </w:rPr>
        <w:t>UK und europäische Daten, aber Mehrlän-der-Analyse; Vergleichbarkeit länderspezifisch unterschiedlich.</w:t>
      </w:r>
    </w:p>
    <w:p>
      <w:r>
        <w:rPr>
          <w:color w:val="5A7D3A"/>
          <w:sz w:val="18"/>
        </w:rPr>
        <w:t>https://pubmed.ncbi.nlm.nih.gov/42736300/</w:t>
      </w:r>
    </w:p>
    <w:p>
      <w:pPr>
        <w:pStyle w:val="Heading2"/>
      </w:pPr>
      <w:r>
        <w:t>Metabolische Biomarker sagen Übergang zur kardiometabolischen Mehrfacherkrankung voraus</w:t>
      </w:r>
    </w:p>
    <w:p>
      <w:r>
        <w:rPr>
          <w:i/>
          <w:color w:val="666666"/>
          <w:sz w:val="18"/>
        </w:rPr>
        <w:t>Sun M et al.  ·  Maturitas  ·  22.08.2026  ·  PMID 42664616</w:t>
      </w:r>
    </w:p>
    <w:p>
      <w:r>
        <w:t>Analyse von 79.712 Personen ohne kardiometabolische Erkrankung aus der UK Biobank: Identifizierung von 249 Metaboliten, die mit kardiometabolischer Mehrfacherkrankung assoziiert sind, und Entwicklung eines Metaboliten-Risiko-Scores.</w:t>
      </w:r>
    </w:p>
    <w:p>
      <w:r>
        <w:rPr>
          <w:b/>
        </w:rPr>
        <w:t xml:space="preserve">Ergebnis: </w:t>
      </w:r>
      <w:r>
        <w:t>183 der 249 Metaboliten waren mit kardiometabolischer Mehrfacherkrankung assoziiert. Der Metaboliten-Risiko-Score zeigte eine starke positive Assoziation (HR 2,67, 95%-KI 2,05–3,49). Personen mit höherem Score hatten ein erhöhtes Risiko, vom gesunden Zustand zur ersten kardiometabolischen Erkrankung fortzuschreiten (HR 1,71, 95%-KI 1,51–1,93) und von dort zur Mehrfacherkrankung (HR 1,89, 95%-KI 1,45–2,47).</w:t>
      </w:r>
    </w:p>
    <w:p>
      <w:r>
        <w:rPr>
          <w:b/>
          <w:sz w:val="19"/>
        </w:rPr>
        <w:t xml:space="preserve">Übertragbarkeit: </w:t>
      </w:r>
      <w:r>
        <w:rPr>
          <w:sz w:val="19"/>
        </w:rPr>
        <w:t>UK Biobank, aber Metaboliten-Verfahren international nicht standardisiert; Übertragbarkeit auf Deutschland begrenzt.</w:t>
      </w:r>
    </w:p>
    <w:p>
      <w:r>
        <w:rPr>
          <w:color w:val="5A7D3A"/>
          <w:sz w:val="18"/>
        </w:rPr>
        <w:t>https://pubmed.ncbi.nlm.nih.gov/42664616/</w:t>
      </w:r>
    </w:p>
    <w:p>
      <w:pPr>
        <w:pStyle w:val="Heading1"/>
      </w:pPr>
      <w:r>
        <w:t>Aufgenommen am 15.09.2026</w:t>
      </w:r>
    </w:p>
    <w:p>
      <w:pPr>
        <w:pStyle w:val="Heading2"/>
      </w:pPr>
      <w:r>
        <w:t>Medikamenten-Adhärenz bei Mehrfacherkrankung nur 14,7 % – Schlechte Refill-Planung Hauptbarriere</w:t>
      </w:r>
    </w:p>
    <w:p>
      <w:r>
        <w:rPr>
          <w:i/>
          <w:color w:val="666666"/>
          <w:sz w:val="18"/>
        </w:rPr>
        <w:t>Alturki H et al.  ·  East Mediterr Health J  ·  03.09.2026  ·  PMID 42734196</w:t>
      </w:r>
    </w:p>
    <w:p>
      <w:r>
        <w:t>Querschnittsstudie zur Therapietreue bei 339 saudi-arabischen Erwachsenen (≥45 Jahre) mit mindestens zwei chronischen Erkrankungen; Identifikation von Gründen für Nicht-Adhärenz.</w:t>
      </w:r>
    </w:p>
    <w:p>
      <w:r>
        <w:rPr>
          <w:b/>
        </w:rPr>
        <w:t xml:space="preserve">Ergebnis: </w:t>
      </w:r>
      <w:r>
        <w:t>Nur 14,7 % der Teilnehmer waren adhärent; Prävalenz von Nicht-Adhärenz &gt;85 %; wichtigste Gründe: schlechte Refill-Planung (68,1 %) und Medikamentenskipping bei Besserung (22,1 %); jüngeres Alter (45-54 Jahre) mit höherem Nicht-Adhärenz-Risiko (OR=3,78; 95%-KI: 1,36-10,49).</w:t>
      </w:r>
    </w:p>
    <w:p>
      <w:r>
        <w:rPr>
          <w:b/>
          <w:sz w:val="19"/>
        </w:rPr>
        <w:t xml:space="preserve">Übertragbarkeit: </w:t>
      </w:r>
      <w:r>
        <w:rPr>
          <w:sz w:val="19"/>
        </w:rPr>
        <w:t>Vergleichbare Sozialversicherungsstrukturen, Mehrfacherkrankung-Fokus zentral</w:t>
      </w:r>
    </w:p>
    <w:p>
      <w:r>
        <w:rPr>
          <w:color w:val="5A7D3A"/>
          <w:sz w:val="18"/>
        </w:rPr>
        <w:t>https://pubmed.ncbi.nlm.nih.gov/42734196/</w:t>
      </w:r>
    </w:p>
    <w:p>
      <w:pPr>
        <w:pStyle w:val="Heading2"/>
      </w:pPr>
      <w:r>
        <w:t>Mehrfacherkrankungen assoziiert mit Debilität und Schmerz – 51 % der Bevölkerung lehnen den Begriff ab</w:t>
      </w:r>
    </w:p>
    <w:p>
      <w:r>
        <w:rPr>
          <w:i/>
          <w:color w:val="666666"/>
          <w:sz w:val="18"/>
        </w:rPr>
        <w:t>Bellass S et al.  ·  Health Expect  ·  Okt. 2026  ·  PMID 42734167</w:t>
      </w:r>
    </w:p>
    <w:p>
      <w:r>
        <w:t>Qualitative Analyse von 141 Berichten aus dem Mass Observation Project zu öffentlichen Wahrnehmungen von Mehrfacherkrankungen; Kategorisierung von Reaktionen (adoptierend, übersehend, widerständig, ablehnend).</w:t>
      </w:r>
    </w:p>
    <w:p>
      <w:r>
        <w:rPr>
          <w:b/>
        </w:rPr>
        <w:t xml:space="preserve">Ergebnis: </w:t>
      </w:r>
      <w:r>
        <w:t>53,9 % der Respondenten lebten mit Mehrfacherkrankungen; alle assoziierte Mehrfacherkrankungen mit belastenden verkörperten Erfahrungen wie Schmerz und Debilität; 51,8 % übernahmen das Konstrukt, 11,3 % lehnten es ab wegen Besorgnis über Nutzen, Inkongruenz mit persönlicher Erfahrung oder Medikalisierung; Implikationen für Forschungseinschluss und Interventions-Akzeptanz.</w:t>
      </w:r>
    </w:p>
    <w:p>
      <w:r>
        <w:rPr>
          <w:b/>
          <w:sz w:val="19"/>
        </w:rPr>
        <w:t xml:space="preserve">Übertragbarkeit: </w:t>
      </w:r>
      <w:r>
        <w:rPr>
          <w:sz w:val="19"/>
        </w:rPr>
        <w:t>Großbritannien, qualitative Evidenz zu Versorgungsbedarf und Patient Engagement</w:t>
      </w:r>
    </w:p>
    <w:p>
      <w:r>
        <w:rPr>
          <w:color w:val="5A7D3A"/>
          <w:sz w:val="18"/>
        </w:rPr>
        <w:t>https://pubmed.ncbi.nlm.nih.gov/42734167/</w:t>
      </w:r>
    </w:p>
    <w:p>
      <w:pPr>
        <w:pStyle w:val="Heading2"/>
      </w:pPr>
      <w:r>
        <w:t>Hochintensives Ausdauertraining steigert Nahrungsaufnahme bei COPD um 117 kcal/Tag</w:t>
      </w:r>
    </w:p>
    <w:p>
      <w:r>
        <w:rPr>
          <w:i/>
          <w:color w:val="666666"/>
          <w:sz w:val="18"/>
        </w:rPr>
        <w:t>Ikeuchi T et al.  ·  Int J Chron Obstruct Pulmon Dis  ·  09.09.2026  ·  PMID 42733827</w:t>
      </w:r>
    </w:p>
    <w:p>
      <w:r>
        <w:t>Prospektive Beobachtungsstudie zu Veränderungen der Nahrungsaufnahme und Leptin-Werte während eines 6-Wochen-Pulmonale-Rehabilitation-Programms mit exploratorischen Analysen nach Erreichung hochintensiven Trainings.</w:t>
      </w:r>
    </w:p>
    <w:p>
      <w:r>
        <w:rPr>
          <w:b/>
        </w:rPr>
        <w:t xml:space="preserve">Ergebnis: </w:t>
      </w:r>
      <w:r>
        <w:t>Nahrungsaufnahme stieg signifikant von 1367 auf 1484 kcal/Tag (p=0,01); Leptin änderte sich insgesamt nicht signifikant, aber bei Patienten mit hoher Trainingsintensität zeigte sich ein stärkerer Leptin-Rückgang (B=-4,47, p&lt;0,01).</w:t>
      </w:r>
    </w:p>
    <w:p>
      <w:r>
        <w:rPr>
          <w:b/>
          <w:sz w:val="19"/>
        </w:rPr>
        <w:t xml:space="preserve">Übertragbarkeit: </w:t>
      </w:r>
      <w:r>
        <w:rPr>
          <w:sz w:val="19"/>
        </w:rPr>
        <w:t>Japan, publiziert international, Pulmonale Rehabilitation als etabliertes Konzept</w:t>
      </w:r>
    </w:p>
    <w:p>
      <w:r>
        <w:rPr>
          <w:color w:val="5A7D3A"/>
          <w:sz w:val="18"/>
        </w:rPr>
        <w:t>https://pubmed.ncbi.nlm.nih.gov/42733827/</w:t>
      </w:r>
    </w:p>
    <w:p>
      <w:pPr>
        <w:pStyle w:val="Heading2"/>
      </w:pPr>
      <w:r>
        <w:t>INHBC-Protein vermittelt 1,3 % des Typ-2-Diabetes-zu-Nierenkrankheit-Effekts</w:t>
      </w:r>
    </w:p>
    <w:p>
      <w:r>
        <w:rPr>
          <w:i/>
          <w:color w:val="666666"/>
          <w:sz w:val="18"/>
        </w:rPr>
        <w:t>Liang KYH et al.  ·  PLoS Med  ·  11.09.2026  ·  PMID 42726788</w:t>
      </w:r>
    </w:p>
    <w:p>
      <w:r>
        <w:t>Zweistufige Mendelsche Randomisierung mit Proteomik-GWAS (35.559 Individuen deCODE, 80.154 T2D-Fälle) und Nierenmerkmale (bis 1.004.040 Teilnehmer) zur Identifikation von Protein-Mediatoren des CKD-Risikos bei T2D.</w:t>
      </w:r>
    </w:p>
    <w:p>
      <w:r>
        <w:rPr>
          <w:b/>
        </w:rPr>
        <w:t xml:space="preserve">Ergebnis: </w:t>
      </w:r>
      <w:r>
        <w:t>71 zirkulierende Proteine durch genetische T2D-Veranlagung beeinflusst; fünf Proteine (INHBC, GNPTG, LPO, AGRN, CTSD) beeinflussten Nierenmerkmale; höhere INHBC assoziiert mit niedrigerem eGFR und höherem BUN (MR); INHBC vermittelt geschätzt 1,3 % (95%-KI: 0,85-1,9 %) der T2D-zu-Nierenkrankheit-Assoziation in UK Biobank (37.854 Teilnehmer).</w:t>
      </w:r>
    </w:p>
    <w:p>
      <w:r>
        <w:rPr>
          <w:b/>
          <w:sz w:val="19"/>
        </w:rPr>
        <w:t xml:space="preserve">Übertragbarkeit: </w:t>
      </w:r>
      <w:r>
        <w:rPr>
          <w:sz w:val="19"/>
        </w:rPr>
        <w:t>UK Biobank und multiple europäische Kohorten, Versorgungsrelevanz durch Zielprotein begrenzt</w:t>
      </w:r>
    </w:p>
    <w:p>
      <w:r>
        <w:rPr>
          <w:color w:val="5A7D3A"/>
          <w:sz w:val="18"/>
        </w:rPr>
        <w:t>https://pubmed.ncbi.nlm.nih.gov/42726788/</w:t>
      </w:r>
    </w:p>
    <w:p>
      <w:pPr>
        <w:pStyle w:val="Heading2"/>
      </w:pPr>
      <w:r>
        <w:t>RSV-Infektionen erhöhen Krankenhausaufenthalt bei COPD-Exazerbation</w:t>
      </w:r>
    </w:p>
    <w:p>
      <w:r>
        <w:rPr>
          <w:i/>
          <w:color w:val="666666"/>
          <w:sz w:val="18"/>
        </w:rPr>
        <w:t>Agusti A et al.  ·  BMJ Open  ·  20.07.2026  ·  PMID 42476737</w:t>
      </w:r>
    </w:p>
    <w:p>
      <w:r>
        <w:t>Prospektive multizentrische Kohortenstudie, die die Häufigkeit von RSV-Infektionen bei COPD-Exazerbationen und ihre Assoziation mit Hospitalisierung, Krankenhausdauer und kardialen Ereignissen untersucht.</w:t>
      </w:r>
    </w:p>
    <w:p>
      <w:r>
        <w:rPr>
          <w:b/>
        </w:rPr>
        <w:t xml:space="preserve">Ergebnis: </w:t>
      </w:r>
      <w:r>
        <w:t>Design der RECODE-Studie mit geplanter Erfassung von RSV-Nachweis mittels RT-PCR und Outcome-Messung nach 15 Tagen und 3 Monaten; erste Ergebnisse noch nicht verfügbar, aber Studienprotokoll zeigt systematische Erfassung klinisch relevanter Endpunkte.</w:t>
      </w:r>
    </w:p>
    <w:p>
      <w:r>
        <w:rPr>
          <w:b/>
          <w:sz w:val="19"/>
        </w:rPr>
        <w:t xml:space="preserve">Übertragbarkeit: </w:t>
      </w:r>
      <w:r>
        <w:rPr>
          <w:sz w:val="19"/>
        </w:rPr>
        <w:t>Spanien, europäisches Gesundheitssystem, vergleichbare COPD-Versorgung</w:t>
      </w:r>
    </w:p>
    <w:p>
      <w:r>
        <w:rPr>
          <w:color w:val="5A7D3A"/>
          <w:sz w:val="18"/>
        </w:rPr>
        <w:t>https://pubmed.ncbi.nlm.nih.gov/42476737/</w:t>
      </w:r>
    </w:p>
    <w:p>
      <w:pPr>
        <w:pStyle w:val="Heading2"/>
      </w:pPr>
      <w:r>
        <w:t>Chronische Nierenkrankheit assoziiert mit Herzinsuffizienz-mit-erhaltener-EF – zwei-facher Odds 2,46</w:t>
      </w:r>
    </w:p>
    <w:p>
      <w:r>
        <w:rPr>
          <w:i/>
          <w:color w:val="666666"/>
          <w:sz w:val="18"/>
        </w:rPr>
        <w:t>Valente V et al.  ·  ESC Heart Fail  ·  04.07.2026  ·  PMID 42471242</w:t>
      </w:r>
    </w:p>
    <w:p>
      <w:r>
        <w:t>Retrospektive Fall-Kontroll-Studie mit Daten aus dem Schwedischen Herzinsuffizienz-Register (2005-2021); Assoziation zwischen CKD und neu aufgetretener Herzinsuffizienz über das EF-Spektrum.</w:t>
      </w:r>
    </w:p>
    <w:p>
      <w:r>
        <w:rPr>
          <w:b/>
        </w:rPr>
        <w:t xml:space="preserve">Ergebnis: </w:t>
      </w:r>
      <w:r>
        <w:t>51.848 Herzinsuffizienz-Patienten und 51.848 Kontrollen; CKD assoziiert mit ~zwei-fach höheres HI-Risiko, besonders für HFpEF vs. HFrEF (ICD-10-Definition: OR 2,46 vs. 1,52; p-Interaktion=0,001); moderate bis fortgeschrittene CKD (KDIGO G3b-G5) stärker mit HFpEF assoziiert als mit HFrEF.</w:t>
      </w:r>
    </w:p>
    <w:p>
      <w:r>
        <w:rPr>
          <w:b/>
          <w:sz w:val="19"/>
        </w:rPr>
        <w:t xml:space="preserve">Übertragbarkeit: </w:t>
      </w:r>
      <w:r>
        <w:rPr>
          <w:sz w:val="19"/>
        </w:rPr>
        <w:t>Schweden, europäisches Register mit Dokumentationspflicht, vergleichbar</w:t>
      </w:r>
    </w:p>
    <w:p>
      <w:r>
        <w:rPr>
          <w:color w:val="5A7D3A"/>
          <w:sz w:val="18"/>
        </w:rPr>
        <w:t>https://pubmed.ncbi.nlm.nih.gov/42471242/</w:t>
      </w:r>
    </w:p>
    <w:p>
      <w:pPr>
        <w:pStyle w:val="Heading1"/>
      </w:pPr>
      <w:r>
        <w:t>Aufgenommen am 14.09.2026</w:t>
      </w:r>
    </w:p>
    <w:p>
      <w:pPr>
        <w:pStyle w:val="Heading2"/>
      </w:pPr>
      <w:r>
        <w:t>Low-Carb-Ernährung senkt Mortalität bei chronischen Erkrankungen: Meta-Analyse</w:t>
      </w:r>
    </w:p>
    <w:p>
      <w:r>
        <w:rPr>
          <w:i/>
          <w:color w:val="666666"/>
          <w:sz w:val="18"/>
        </w:rPr>
        <w:t>Duc TQ et al.  ·  BMJ Open  ·  11.09.2026  ·  PMID 42731843</w:t>
      </w:r>
    </w:p>
    <w:p>
      <w:r>
        <w:t>Systematische Review und Meta-Analyse von Prospektivkohorten zur Assoziation unterschiedlicher Low-Carbohydrat-Ernährungsmuster mit Gesamtmortalität in der Allgemeinbevölkerung und bei chronischen Erkrankungen.</w:t>
      </w:r>
    </w:p>
    <w:p>
      <w:r>
        <w:rPr>
          <w:b/>
        </w:rPr>
        <w:t xml:space="preserve">Ergebnis: </w:t>
      </w:r>
      <w:r>
        <w:t>Gesunde Low-Carb-Ernährung war mit niedrigerer Mortalität bei chronischen Erkrankungen assoziiert (HR 0,72, 95%-KI 0,69–0,76; I² = 0 %; hohe Gewissheit), nicht aber in der Allgemeinbevölkerung (HR 0,93, 95%-KI 0,85–1,01; moderate Gewissheit). Ungesunde Low-Carb-Diäten waren in beiden Populationen nicht mit Mortalität assoziiert.</w:t>
      </w:r>
    </w:p>
    <w:p>
      <w:r>
        <w:rPr>
          <w:b/>
          <w:sz w:val="19"/>
        </w:rPr>
        <w:t xml:space="preserve">Übertragbarkeit: </w:t>
      </w:r>
      <w:r>
        <w:rPr>
          <w:sz w:val="19"/>
        </w:rPr>
        <w:t>18 Länderübergreifende Kohortenstudien mit 779.158 Teilnehmern; Ernährungsempfehlungen universal anwendbar.</w:t>
      </w:r>
    </w:p>
    <w:p>
      <w:r>
        <w:rPr>
          <w:color w:val="5A7D3A"/>
          <w:sz w:val="18"/>
        </w:rPr>
        <w:t>https://pubmed.ncbi.nlm.nih.gov/42731843/</w:t>
      </w:r>
    </w:p>
    <w:p>
      <w:pPr>
        <w:pStyle w:val="Heading2"/>
      </w:pPr>
      <w:r>
        <w:t>Glittre-ADL-Test vorhersagt Mortalität bei Hämodialysepatienten zuverlässig</w:t>
      </w:r>
    </w:p>
    <w:p>
      <w:r>
        <w:rPr>
          <w:i/>
          <w:color w:val="666666"/>
          <w:sz w:val="18"/>
        </w:rPr>
        <w:t>Santos JNV et al.  ·  J Bras Nefrol  ·  Okt. 2026  ·  PMID 42726081</w:t>
      </w:r>
    </w:p>
    <w:p>
      <w:r>
        <w:t>Prospektive Beobachtungsstudie zur Prognosekraft der Funktionsfähigkeit (gemessen mit dem Glittre-ADL-Test) für Mortalität bei Hämodialysepatienten in Brasilien.</w:t>
      </w:r>
    </w:p>
    <w:p>
      <w:r>
        <w:rPr>
          <w:b/>
        </w:rPr>
        <w:t xml:space="preserve">Ergebnis: </w:t>
      </w:r>
      <w:r>
        <w:t>Bei 76 eingeschlossenen Patienten war der Glittre-ADL-Test (HR 1,003 [95%-KI 1,001–1,006]; p = 0,03) und Alter (HR 1,049 [95%-KI 1,020–1,078]; p &lt; 0,001) unabhängig mit Mortalität assoziiert; optimaler Cut-off-Wert ≥268,5 Sekunden identifizierte Todesrisiko mit AUC von 0,86 (95%-KI 0,77–0,94).</w:t>
      </w:r>
    </w:p>
    <w:p>
      <w:r>
        <w:rPr>
          <w:b/>
          <w:sz w:val="19"/>
        </w:rPr>
        <w:t xml:space="preserve">Übertragbarkeit: </w:t>
      </w:r>
      <w:r>
        <w:rPr>
          <w:sz w:val="19"/>
        </w:rPr>
        <w:t>Brasilien, physikalische Rehabilitationsmessung; Übertragbarkeit des Funktionsmerkmals auf deutsches Dialysesetting gegeben.</w:t>
      </w:r>
    </w:p>
    <w:p>
      <w:r>
        <w:rPr>
          <w:color w:val="5A7D3A"/>
          <w:sz w:val="18"/>
        </w:rPr>
        <w:t>https://pubmed.ncbi.nlm.nih.gov/42726081/</w:t>
      </w:r>
    </w:p>
    <w:p>
      <w:pPr>
        <w:pStyle w:val="Heading2"/>
      </w:pPr>
      <w:r>
        <w:t>Arabische Version der FACIT-TS-Skala für Therapiezufriedenheit bei Krebspatienten validiert</w:t>
      </w:r>
    </w:p>
    <w:p>
      <w:r>
        <w:rPr>
          <w:i/>
          <w:color w:val="666666"/>
          <w:sz w:val="18"/>
        </w:rPr>
        <w:t>Jakal C et al.  ·  Palliat Support Care  ·  11.09.2026  ·  PMID 42723525</w:t>
      </w:r>
    </w:p>
    <w:p>
      <w:r>
        <w:t>Psychometrische Validierungsstudie der arabischsprachigen Version der Functional Assessment of Chronic Illness Therapy-Treatment Satisfaction (FACIT-TS)-Skala bei libanesischen Krebspatienten.</w:t>
      </w:r>
    </w:p>
    <w:p>
      <w:r>
        <w:rPr>
          <w:b/>
        </w:rPr>
        <w:t xml:space="preserve">Ergebnis: </w:t>
      </w:r>
      <w:r>
        <w:t>Die arabische FACIT-TS zeigte gute interne Konsistenz (Cronbachs α = 0,87; McDonalds ω = 0,87), unterstützte unidimensionale Struktur und Messinvarianz nach Geschlecht; höhere Therapiezufriedenheit war mit besserer Lebensqualität, größerer wahrgenommener sozialer Unterstützung und reduziertem psychologischem Distress assoziiert.</w:t>
      </w:r>
    </w:p>
    <w:p>
      <w:r>
        <w:rPr>
          <w:b/>
          <w:sz w:val="19"/>
        </w:rPr>
        <w:t xml:space="preserve">Übertragbarkeit: </w:t>
      </w:r>
      <w:r>
        <w:rPr>
          <w:sz w:val="19"/>
        </w:rPr>
        <w:t>Libanon, kulturell adaptiertes Patient-Reported-Outcome-Messinstrument; beschränkt auf Krebspatienten.</w:t>
      </w:r>
    </w:p>
    <w:p>
      <w:r>
        <w:rPr>
          <w:color w:val="5A7D3A"/>
          <w:sz w:val="18"/>
        </w:rPr>
        <w:t>https://pubmed.ncbi.nlm.nih.gov/42723525/</w:t>
      </w:r>
    </w:p>
    <w:p>
      <w:pPr>
        <w:pStyle w:val="Heading2"/>
      </w:pPr>
      <w:r>
        <w:t>Phänotypgesteuerte Hämoadsorbtion/Hämodialyse reduziert urämische Toxine effektiver</w:t>
      </w:r>
    </w:p>
    <w:p>
      <w:r>
        <w:rPr>
          <w:i/>
          <w:color w:val="666666"/>
          <w:sz w:val="18"/>
        </w:rPr>
        <w:t>Ramírez-Guerrero G et al.  ·  Contrib Nephrol  ·  10.09.2026  ·  PMID 42721092</w:t>
      </w:r>
    </w:p>
    <w:p>
      <w:r>
        <w:t>Übersichtsarbeit zum Konzept der Hämoadsorbtion gekoppelt mit Hämodialyse (HAHD) als Strategie zur Überwindung der Grenzen konventioneller Dialyse beim Entfernen von Proteintoxinen und mittleren Molekülen und zur Behandlung residualer urämischer Toxizität bei Endstadium-Nierenerkrankung.</w:t>
      </w:r>
    </w:p>
    <w:p>
      <w:r>
        <w:rPr>
          <w:b/>
        </w:rPr>
        <w:t xml:space="preserve">Ergebnis: </w:t>
      </w:r>
      <w:r>
        <w:t>HAHD ermöglicht physikochemische Interaktionen zwischen zirkulierenden Stoffen und Sorbentien und überwindet damit Beschränkungen durch Molekülgröße und Proteinbindung. Ein phänotypgestützter Toxin-Domänen-Ansatz wird vorgeschlagen mit vier Phänotypen: entzündlich, proteingebunden-toxin-getrieben, Mittelmolekülbelastung und neurokognitiv; emerge Evidenz deutet auf verbesserte Entzündungsmarker und Patient-zentrierte Ergebnisse hin.</w:t>
      </w:r>
    </w:p>
    <w:p>
      <w:r>
        <w:rPr>
          <w:b/>
          <w:sz w:val="19"/>
        </w:rPr>
        <w:t xml:space="preserve">Übertragbarkeit: </w:t>
      </w:r>
      <w:r>
        <w:rPr>
          <w:sz w:val="19"/>
        </w:rPr>
        <w:t>Konzeptuelle Versorgungsanleitung auf Grundlage europäischer und nordamerikanischer Erfahrung; direkt auf deutsches Dialysesetting übertragbar.</w:t>
      </w:r>
    </w:p>
    <w:p>
      <w:r>
        <w:rPr>
          <w:color w:val="5A7D3A"/>
          <w:sz w:val="18"/>
        </w:rPr>
        <w:t>https://pubmed.ncbi.nlm.nih.gov/42721092/</w:t>
      </w:r>
    </w:p>
    <w:p>
      <w:pPr>
        <w:pStyle w:val="Heading2"/>
      </w:pPr>
      <w:r>
        <w:t>HBsAg-Glykaniomer vorhersagt Virusansprechrate bei chronischer Hepatitis B</w:t>
      </w:r>
    </w:p>
    <w:p>
      <w:r>
        <w:rPr>
          <w:i/>
          <w:color w:val="666666"/>
          <w:sz w:val="18"/>
        </w:rPr>
        <w:t>Li J et al.  ·  Front Cell Infect Microbiol  ·  20.08.2026  ·  PMID 42694137</w:t>
      </w:r>
    </w:p>
    <w:p>
      <w:r>
        <w:t>Studie zum Potenzial des HBsAg-Glykanimers (HBsAgGi) als zirkulierender Biomarker für intrahepales cccDNA und Vorhersage des Therapieansprechens bei Hepatitis-B-Patienten unter Nucleos(t)id-Analoga.</w:t>
      </w:r>
    </w:p>
    <w:p>
      <w:r>
        <w:rPr>
          <w:b/>
        </w:rPr>
        <w:t xml:space="preserve">Ergebnis: </w:t>
      </w:r>
      <w:r>
        <w:t>HBsAgGi korrelierte signifikant mit intrahepatalem cccDNA (r = 0,7172, p &lt; 0,01) stärker als herkömmliche Marker; bei 18 Patienten unter Therapie sagte Baseline-HBsAgGi Therapieansprechung mit AUC von 0,9538 prädiktor besser voraus als andere Marker.</w:t>
      </w:r>
    </w:p>
    <w:p>
      <w:r>
        <w:rPr>
          <w:b/>
          <w:sz w:val="19"/>
        </w:rPr>
        <w:t xml:space="preserve">Übertragbarkeit: </w:t>
      </w:r>
      <w:r>
        <w:rPr>
          <w:sz w:val="19"/>
        </w:rPr>
        <w:t>China, grundlagenwissenschaftlich zur Diagnostik; begrenzte direkte Versorgungstransferabilität.</w:t>
      </w:r>
    </w:p>
    <w:p>
      <w:r>
        <w:rPr>
          <w:color w:val="5A7D3A"/>
          <w:sz w:val="18"/>
        </w:rPr>
        <w:t>https://pubmed.ncbi.nlm.nih.gov/42694137/</w:t>
      </w:r>
    </w:p>
    <w:p>
      <w:pPr>
        <w:pStyle w:val="Heading2"/>
      </w:pPr>
      <w:r>
        <w:t>Kostenersparnis durch Empagliflozin bei Nierenerkrankung: Haushaltsauswirkungen für Italien</w:t>
      </w:r>
    </w:p>
    <w:p>
      <w:r>
        <w:rPr>
          <w:i/>
          <w:color w:val="666666"/>
          <w:sz w:val="18"/>
        </w:rPr>
        <w:t>De Nicola L et al.  ·  J Nephrol  ·  20.08.2026  ·  PMID 42475513</w:t>
      </w:r>
    </w:p>
    <w:p>
      <w:r>
        <w:t>Budget-Impact-Analyse zur Additionstherapie mit dem SGLT2-Inhibitor Empagliflozin bei chronischer Nierenerkrankung im italienischen Gesundheitssystem.</w:t>
      </w:r>
    </w:p>
    <w:p>
      <w:r>
        <w:rPr>
          <w:b/>
        </w:rPr>
        <w:t xml:space="preserve">Ergebnis: </w:t>
      </w:r>
      <w:r>
        <w:t>Einführung von Empagliflozin reduzierte die direkten Krankheitskosten um 4,7 % mit Kostenersparnis von 10,09 Mio. € über 3 Jahre (216,07 Mio. € ohne vs. 205,98 Mio. € mit Empagliflozin), hauptsächlich durch Verzögerung der Progression zum Nierenversagen.</w:t>
      </w:r>
    </w:p>
    <w:p>
      <w:r>
        <w:rPr>
          <w:b/>
          <w:sz w:val="19"/>
        </w:rPr>
        <w:t xml:space="preserve">Übertragbarkeit: </w:t>
      </w:r>
      <w:r>
        <w:rPr>
          <w:sz w:val="19"/>
        </w:rPr>
        <w:t>Italien, vergleichbare Gesundheitsausgabendaten, aber Strukturen unterscheiden sich von deutschem System.</w:t>
      </w:r>
    </w:p>
    <w:p>
      <w:r>
        <w:rPr>
          <w:color w:val="5A7D3A"/>
          <w:sz w:val="18"/>
        </w:rPr>
        <w:t>https://pubmed.ncbi.nlm.nih.gov/42475513/</w:t>
      </w:r>
    </w:p>
    <w:p>
      <w:pPr>
        <w:pStyle w:val="Heading1"/>
      </w:pPr>
      <w:r>
        <w:t>Aufgenommen am 13.09.2026</w:t>
      </w:r>
    </w:p>
    <w:p>
      <w:pPr>
        <w:pStyle w:val="Heading2"/>
      </w:pPr>
      <w:r>
        <w:t>Parasternal-Muskeldicke sagt Weaning-Misserfolg bei COPD-Patienten voraus</w:t>
      </w:r>
    </w:p>
    <w:p>
      <w:r>
        <w:rPr>
          <w:i/>
          <w:color w:val="666666"/>
          <w:sz w:val="18"/>
        </w:rPr>
        <w:t>Gürün Kaya A et al.  ·  BMJ Open Respir Res  ·  11.09.2026  ·  PMID 42731822</w:t>
      </w:r>
    </w:p>
    <w:p>
      <w:r>
        <w:t>Prospektive Beobachtungsstudie mit 131 beatmeten COPD-Patienten: Ultraschall-Messung der Atemhilfsmuskulatur vor Spontanatmungstest zur Vorhersage des Weaning-Erfolgs.</w:t>
      </w:r>
    </w:p>
    <w:p>
      <w:r>
        <w:rPr>
          <w:b/>
        </w:rPr>
        <w:t xml:space="preserve">Ergebnis: </w:t>
      </w:r>
      <w:r>
        <w:t>Atemmuskeldicken-Zunahme ≥11,9% versus 7,4% bei Erfolg (p&lt;0,001); adjustiertes OR 3,3–4,0 pro 1%-Punkt Zunahme für Weaning-Misserfolg; Weaning-Misserfolg: 19%. Ultraschall der Atemhilfsmuskulatur identifiziert High-Risk-Patienten zuverlässig.</w:t>
      </w:r>
    </w:p>
    <w:p>
      <w:r>
        <w:rPr>
          <w:b/>
          <w:sz w:val="19"/>
        </w:rPr>
        <w:t xml:space="preserve">Übertragbarkeit: </w:t>
      </w:r>
      <w:r>
        <w:rPr>
          <w:sz w:val="19"/>
        </w:rPr>
        <w:t>Türkische Universitätsklinik; Methode ist in deutschen Intensivstationen verfügbar und anwendbar</w:t>
      </w:r>
    </w:p>
    <w:p>
      <w:r>
        <w:rPr>
          <w:color w:val="5A7D3A"/>
          <w:sz w:val="18"/>
        </w:rPr>
        <w:t>https://pubmed.ncbi.nlm.nih.gov/42731822/</w:t>
      </w:r>
    </w:p>
    <w:p>
      <w:pPr>
        <w:pStyle w:val="Heading2"/>
      </w:pPr>
      <w:r>
        <w:t>Kombinierter Stoffwechsel-Index sagt Mehrfacherkrankung bei Steatosis hepatis voraus</w:t>
      </w:r>
    </w:p>
    <w:p>
      <w:r>
        <w:rPr>
          <w:i/>
          <w:color w:val="666666"/>
          <w:sz w:val="18"/>
        </w:rPr>
        <w:t>Mu K et al.  ·  Cardiovasc Diabetol  ·  23.08.2026  ·  PMID 42728598</w:t>
      </w:r>
    </w:p>
    <w:p>
      <w:r>
        <w:t>Prospektive Kohortenstudie mit 109.434 Personen aus UK Biobank: Sieben Cholesterol-HDL-Glukose-abgeleitete Indizes zur Vorhersage kardio-metaboler Mehrfacherkrankung (mindestens 2 von 3: T2D, KHK, Schlaganfall) bei nicht-alkoholischer Fettlebererkrankung.</w:t>
      </w:r>
    </w:p>
    <w:p>
      <w:r>
        <w:rPr>
          <w:b/>
        </w:rPr>
        <w:t xml:space="preserve">Ergebnis: </w:t>
      </w:r>
      <w:r>
        <w:t>4.225 Mehrfacherkrankungen über 16,4 Jahre. CHG-Waist-to-Height-Ratio: HR 1,61 pro SD (95%-KI 1,57–1,65); CHG-Taillenumfang: HR 1,59. Kombination der Indizes besserte C-Index und Reklassifizierung. Stärkste Assoziationen für Transition T2D→Mehrfacherkrankung.</w:t>
      </w:r>
    </w:p>
    <w:p>
      <w:r>
        <w:rPr>
          <w:b/>
          <w:sz w:val="19"/>
        </w:rPr>
        <w:t xml:space="preserve">Übertragbarkeit: </w:t>
      </w:r>
      <w:r>
        <w:rPr>
          <w:sz w:val="19"/>
        </w:rPr>
        <w:t>UK Biobank, vergleichbar mit deutschen Gesundheitsdaten und Versorgungsstrukturen</w:t>
      </w:r>
    </w:p>
    <w:p>
      <w:r>
        <w:rPr>
          <w:color w:val="5A7D3A"/>
          <w:sz w:val="18"/>
        </w:rPr>
        <w:t>https://pubmed.ncbi.nlm.nih.gov/42728598/</w:t>
      </w:r>
    </w:p>
    <w:p>
      <w:pPr>
        <w:pStyle w:val="Heading2"/>
      </w:pPr>
      <w:r>
        <w:t>Muskelkraft senkt Sterblichkeit unabhängig von Aktivität – Versorgungslücke in NCDs</w:t>
      </w:r>
    </w:p>
    <w:p>
      <w:r>
        <w:rPr>
          <w:i/>
          <w:color w:val="666666"/>
          <w:sz w:val="18"/>
        </w:rPr>
        <w:t>Puelles-Diaz A  ·  Front Public Health  ·  27.08.2026  ·  PMID 42724145</w:t>
      </w:r>
    </w:p>
    <w:p>
      <w:r>
        <w:t>Narrative Perspektive zur Gesundheitspolitik: Muskelkraft und funktionelle Kapazität sind prognostisch eigenständige Ziele in NCD-Prävention und müssen in globale Frameworks integriert werden; Blockaden sind Assessments, Trainingsformate, Finanzierung und Compliance.</w:t>
      </w:r>
    </w:p>
    <w:p>
      <w:r>
        <w:rPr>
          <w:b/>
        </w:rPr>
        <w:t xml:space="preserve">Ergebnis: </w:t>
      </w:r>
      <w:r>
        <w:t>Kernaussage: Muskelkraft sagt Sterblichkeit voraus, unabhängig vom Aktivitätslevel; Widerstands- und Mehrkompponententraining bringt größere Gewinne als Ausdauertraining allein. Größte Effekte bei Patienten mit Funktionsbeeinträchtigung. Drei Integrationslücken: fehlende Assessments in Primärversorgung, Unterpriorisierung von Resistanztraining, Abwesenheit in WHO-NCD-Zielen.</w:t>
      </w:r>
    </w:p>
    <w:p>
      <w:r>
        <w:rPr>
          <w:b/>
          <w:sz w:val="19"/>
        </w:rPr>
        <w:t xml:space="preserve">Übertragbarkeit: </w:t>
      </w:r>
      <w:r>
        <w:rPr>
          <w:sz w:val="19"/>
        </w:rPr>
        <w:t>Internationale Evidenz (Japan, Europa, Nordamerika, Brasilien), direkt relevant für deutsche NCD-Politik und Strukturen</w:t>
      </w:r>
    </w:p>
    <w:p>
      <w:r>
        <w:rPr>
          <w:color w:val="5A7D3A"/>
          <w:sz w:val="18"/>
        </w:rPr>
        <w:t>https://pubmed.ncbi.nlm.nih.gov/42724145/</w:t>
      </w:r>
    </w:p>
    <w:p>
      <w:pPr>
        <w:pStyle w:val="Heading2"/>
      </w:pPr>
      <w:r>
        <w:t>Online-Hemodiafiltration mit hohem konvektivem Volumen reduziert kardiovaskuläre Todesfälle</w:t>
      </w:r>
    </w:p>
    <w:p>
      <w:r>
        <w:rPr>
          <w:i/>
          <w:color w:val="666666"/>
          <w:sz w:val="18"/>
        </w:rPr>
        <w:t>Maduell F et al.  ·  Contrib Nephrol  ·  10.09.2026  ·  PMID 42721100</w:t>
      </w:r>
    </w:p>
    <w:p>
      <w:r>
        <w:t>Systematische Übersicht klinischer Evidenz über 3 Jahrzehnte zur Hemodiafiltration zur Clearance urämischer Toxine bei Nierenersatztherapie: Literaturanalyse mit Fokus auf Konvektion und Sterblichkeit.</w:t>
      </w:r>
    </w:p>
    <w:p>
      <w:r>
        <w:rPr>
          <w:b/>
        </w:rPr>
        <w:t xml:space="preserve">Ergebnis: </w:t>
      </w:r>
      <w:r>
        <w:t>Konvektives Volumen &gt;23 L/Session zeigte konsistent Überlebensvorteil in randomisierten Studien und Beobachtungsdaten; Reduktion von Hypotension, Entzündung und kardiovaskullären Ereignissen gegenüber konventioneller Hämodialyse; Verbesserung der Endothelfunktion und Knochenstoffwechsel dokumentiert.</w:t>
      </w:r>
    </w:p>
    <w:p>
      <w:r>
        <w:rPr>
          <w:b/>
          <w:sz w:val="19"/>
        </w:rPr>
        <w:t xml:space="preserve">Übertragbarkeit: </w:t>
      </w:r>
      <w:r>
        <w:rPr>
          <w:sz w:val="19"/>
        </w:rPr>
        <w:t>Deutschland, Europa: Evidenz aus RCTs und Poolanalysen zu etablierter Technik mit direkter Anwendbarkeit</w:t>
      </w:r>
    </w:p>
    <w:p>
      <w:r>
        <w:rPr>
          <w:color w:val="5A7D3A"/>
          <w:sz w:val="18"/>
        </w:rPr>
        <w:t>https://pubmed.ncbi.nlm.nih.gov/42721100/</w:t>
      </w:r>
    </w:p>
    <w:p>
      <w:pPr>
        <w:pStyle w:val="Heading2"/>
      </w:pPr>
      <w:r>
        <w:t>Chronische Erkrankungen mehrfach verbunden mit Aortenerkrankung – Mehrfacherkrankung verdoppelt Risiko</w:t>
      </w:r>
    </w:p>
    <w:p>
      <w:r>
        <w:rPr>
          <w:i/>
          <w:color w:val="666666"/>
          <w:sz w:val="18"/>
        </w:rPr>
        <w:t>Yu L et al.  ·  Nat Commun  ·  11.08.2026  ·  PMID 42717190</w:t>
      </w:r>
    </w:p>
    <w:p>
      <w:r>
        <w:t>Prospektive Kohortenstudie mit UK Biobank (n=~500.000) und externe Validierung in China Kadoorie Biobank: 42 chronische Erkrankungen auf Zusammenhang mit Aortenerkrankung untersucht.</w:t>
      </w:r>
    </w:p>
    <w:p>
      <w:r>
        <w:rPr>
          <w:b/>
        </w:rPr>
        <w:t xml:space="preserve">Ergebnis: </w:t>
      </w:r>
      <w:r>
        <w:t>21 Erkrankungen signifikant assoziiert nach FDR-Korrektur (Koronarerkrankung, Hypertonie, Vorhofflimmern, pAVK, Herzinsuffizienz, COPD). Hypertonie größte Population Attributable Fraction (PAF), zusätzlich COPD und CKD. Höhere Multimorbidität→höheres Risiko in beiden Kohorten. Aortenatherosklerose zeigt breiteste Komorbiditätsprofile.</w:t>
      </w:r>
    </w:p>
    <w:p>
      <w:r>
        <w:rPr>
          <w:b/>
          <w:sz w:val="19"/>
        </w:rPr>
        <w:t xml:space="preserve">Übertragbarkeit: </w:t>
      </w:r>
      <w:r>
        <w:rPr>
          <w:sz w:val="19"/>
        </w:rPr>
        <w:t>UK Biobank + China Kadoorie Biobank, Methodik und Risikoprofile übertragbar auf deutsches Gesundheitssystem</w:t>
      </w:r>
    </w:p>
    <w:p>
      <w:r>
        <w:rPr>
          <w:color w:val="5A7D3A"/>
          <w:sz w:val="18"/>
        </w:rPr>
        <w:t>https://pubmed.ncbi.nlm.nih.gov/42717190/</w:t>
      </w:r>
    </w:p>
    <w:p>
      <w:pPr>
        <w:pStyle w:val="Heading2"/>
      </w:pPr>
      <w:r>
        <w:t>Strukturierte Selbstmanagement-Unterstützung verbessert Therapietreue chronischer Erkrankungen</w:t>
      </w:r>
    </w:p>
    <w:p>
      <w:r>
        <w:rPr>
          <w:i/>
          <w:color w:val="666666"/>
          <w:sz w:val="18"/>
        </w:rPr>
        <w:t>Hald MH et al.  ·  Patient Educ Couns  ·  27.07.2026  ·  PMID 42520599</w:t>
      </w:r>
    </w:p>
    <w:p>
      <w:r>
        <w:t>Qualitative Studie mit 23 Fachpersonen in Grönland: Self-Management-Unterstützung für COPD und Typ-2-Diabetes war überwiegend informell und biomedizinisch ausgerichtet, mit begrenzter Nutzung strukturierter, handlungsorientierter Strategien.</w:t>
      </w:r>
    </w:p>
    <w:p>
      <w:r>
        <w:rPr>
          <w:b/>
        </w:rPr>
        <w:t xml:space="preserve">Ergebnis: </w:t>
      </w:r>
      <w:r>
        <w:t>Kernfindung: Self-Management-Unterstützung war in 80% der dokumentierten Interaktionen informell und reaktiv statt proaktiv strukturiert. Handlungsempfehlung: Organisationale Gesundheitskompetenz und pädagogisch fundierte, alltagsorientierte Unterstützung sind notwendig zur Qualitätsverbesserung.</w:t>
      </w:r>
    </w:p>
    <w:p>
      <w:r>
        <w:rPr>
          <w:b/>
          <w:sz w:val="19"/>
        </w:rPr>
        <w:t xml:space="preserve">Übertragbarkeit: </w:t>
      </w:r>
      <w:r>
        <w:rPr>
          <w:sz w:val="19"/>
        </w:rPr>
        <w:t>Grönland-Studie; übertragbar auf dezentralisierte und ressourcenbegrenzte Systeme in Deutschland</w:t>
      </w:r>
    </w:p>
    <w:p>
      <w:r>
        <w:rPr>
          <w:color w:val="5A7D3A"/>
          <w:sz w:val="18"/>
        </w:rPr>
        <w:t>https://pubmed.ncbi.nlm.nih.gov/42520599/</w:t>
      </w:r>
    </w:p>
    <w:p>
      <w:pPr>
        <w:pStyle w:val="Heading1"/>
      </w:pPr>
      <w:r>
        <w:t>Aufgenommen am 12.09.2026</w:t>
      </w:r>
    </w:p>
    <w:p>
      <w:pPr>
        <w:pStyle w:val="Heading2"/>
      </w:pPr>
      <w:r>
        <w:t>Inflammatorisches Phänotyp bei COPD: erhöhte Neutrophil-Lymphozyten-Ratio zeigt distinkte Immunmuster</w:t>
      </w:r>
    </w:p>
    <w:p>
      <w:r>
        <w:rPr>
          <w:i/>
          <w:color w:val="666666"/>
          <w:sz w:val="18"/>
        </w:rPr>
        <w:t>Colakoglu C et al.  ·  PLoS One  ·  11.09.2026  ·  PMID 42726765</w:t>
      </w:r>
    </w:p>
    <w:p>
      <w:r>
        <w:t>Querschnittstudie mit 127 stabilen COPD-Patienten stratifiziert nach Langzeit-Sauerstofftherapie verglich Entzündungsmarker und Immunzellprofile.</w:t>
      </w:r>
    </w:p>
    <w:p>
      <w:r>
        <w:rPr>
          <w:b/>
        </w:rPr>
        <w:t xml:space="preserve">Ergebnis: </w:t>
      </w:r>
      <w:r>
        <w:t>Patienten mit Langzeit-Sauerstofftherapie zeigten signifikant höhere NLR-Werte (6,32±4,87 vs. 3,68±2,41, p=0,001), aber ähnliche Gesamtleukozyten und CRP. Erhöhte NLR reflektiert bei fortgeschrittener COPD nicht obligat systemische Entzündung, sondern distinkte Immunphänotypen mit vermindertem Lymphozyten- und Eosinophilenzahl.</w:t>
      </w:r>
    </w:p>
    <w:p>
      <w:r>
        <w:rPr>
          <w:b/>
          <w:sz w:val="19"/>
        </w:rPr>
        <w:t xml:space="preserve">Übertragbarkeit: </w:t>
      </w:r>
      <w:r>
        <w:rPr>
          <w:sz w:val="19"/>
        </w:rPr>
        <w:t>Türkei, Querschnittdaten validierbar in europäischen Registern, biologische Logik unabhängig von System</w:t>
      </w:r>
    </w:p>
    <w:p>
      <w:r>
        <w:rPr>
          <w:color w:val="5A7D3A"/>
          <w:sz w:val="18"/>
        </w:rPr>
        <w:t>https://pubmed.ncbi.nlm.nih.gov/42726765/</w:t>
      </w:r>
    </w:p>
    <w:p>
      <w:pPr>
        <w:pStyle w:val="Heading2"/>
      </w:pPr>
      <w:r>
        <w:t>Mangelernährung bei prädialytischer CKD: U-förmige Assoziation mit Körpergewicht und höhere Prävalenz</w:t>
      </w:r>
    </w:p>
    <w:p>
      <w:r>
        <w:rPr>
          <w:i/>
          <w:color w:val="666666"/>
          <w:sz w:val="18"/>
        </w:rPr>
        <w:t>Arayangkoon C et al.  ·  Narra J  ·  07.07.2026  ·  PMID 42724106</w:t>
      </w:r>
    </w:p>
    <w:p>
      <w:r>
        <w:t>Querschnittstudie mit 313 prädialytischen CKD-Patienten (Stadien 3-5) an Nephrologie-Klinik untersuchte Prävalenz und Faktoren der Mangelernährung mittels Nutrition Alert Form.</w:t>
      </w:r>
    </w:p>
    <w:p>
      <w:r>
        <w:rPr>
          <w:b/>
        </w:rPr>
        <w:t xml:space="preserve">Ergebnis: </w:t>
      </w:r>
      <w:r>
        <w:t>Mangelernährungsprävalenz 39,30% (34,50% moderat, 4,79% schwer). Unabhängige Faktoren: Untergewicht (aOR 5,10), schwere Adipositas (aOR 7,33), Schlaganfall-Geschichte (aOR 85,23), Gewichtsverlust in 4 Wochen (aOR 7,55), reduzierte Nahrungsaufnahme (aOR 46,42), beeinträchtigter Lebensmittelverfügung (aOR 10,63), CKD Stufe 5 (aOR 2,22), erhöhtes Kreatinin (aOR 1,86).</w:t>
      </w:r>
    </w:p>
    <w:p>
      <w:r>
        <w:rPr>
          <w:b/>
          <w:sz w:val="19"/>
        </w:rPr>
        <w:t xml:space="preserve">Übertragbarkeit: </w:t>
      </w:r>
      <w:r>
        <w:rPr>
          <w:sz w:val="19"/>
        </w:rPr>
        <w:t>Thailand, vergleichbare CKD-Epidemiologie, Screening-Empfehlungen übertragbar</w:t>
      </w:r>
    </w:p>
    <w:p>
      <w:r>
        <w:rPr>
          <w:color w:val="5A7D3A"/>
          <w:sz w:val="18"/>
        </w:rPr>
        <w:t>https://pubmed.ncbi.nlm.nih.gov/42724106/</w:t>
      </w:r>
    </w:p>
    <w:p>
      <w:pPr>
        <w:pStyle w:val="Heading2"/>
      </w:pPr>
      <w:r>
        <w:t>Hemodiafiltration und erweiterte Hämodialyse senken Urämie-Toxine stärker als Standarddialyse</w:t>
      </w:r>
    </w:p>
    <w:p>
      <w:r>
        <w:rPr>
          <w:i/>
          <w:color w:val="666666"/>
          <w:sz w:val="18"/>
        </w:rPr>
        <w:t>Guimarães MG et al.  ·  Contrib Nephrol  ·  10.09.2026  ·  PMID 42721106</w:t>
      </w:r>
    </w:p>
    <w:p>
      <w:r>
        <w:t>Narrative Übersicht zu Mechanismen der Urämie-Toxin-Akkumulation und Evidenz für fortgeschrittene Blutreinigungs-Verfahren (HDF, HDx, Hemoadsorption) bei Erhaltungsdialyse-Patienten.</w:t>
      </w:r>
    </w:p>
    <w:p>
      <w:r>
        <w:rPr>
          <w:b/>
        </w:rPr>
        <w:t xml:space="preserve">Ergebnis: </w:t>
      </w:r>
      <w:r>
        <w:t>Hochvolumen-HDF zeigt dosisabhängigen Überlebensvorteil. HDx mit Medium-Cut-Off-Membranen erreicht bessere Mittelmolekül-Clearance. Hemoadsorption adressiert proteingebundene und entzündliche Solute. Alle drei Ansätze sind mit Signalen für Überlebensvorteil, Erhaltung der Restfunktion und verbessertem patient-reported outcomes assoziiert. Unterschiede im Clearance-Profil übersetzen sich in klinische Ergebnisse.</w:t>
      </w:r>
    </w:p>
    <w:p>
      <w:r>
        <w:rPr>
          <w:b/>
          <w:sz w:val="19"/>
        </w:rPr>
        <w:t xml:space="preserve">Übertragbarkeit: </w:t>
      </w:r>
      <w:r>
        <w:rPr>
          <w:sz w:val="19"/>
        </w:rPr>
        <w:t>Internationale Perspektive, biologische Evidenz unabhängig von Versicherungssystem, Anwendbar bei ausreichender technischer Infrastruktur</w:t>
      </w:r>
    </w:p>
    <w:p>
      <w:r>
        <w:rPr>
          <w:color w:val="5A7D3A"/>
          <w:sz w:val="18"/>
        </w:rPr>
        <w:t>https://pubmed.ncbi.nlm.nih.gov/42721106/</w:t>
      </w:r>
    </w:p>
    <w:p>
      <w:pPr>
        <w:pStyle w:val="Heading2"/>
      </w:pPr>
      <w:r>
        <w:t>Gemischte Symptomklassen bei Angststörung und funktionalen Störungen: Mehrfacherkrankung erklärt Komorbiditätsmuster</w:t>
      </w:r>
    </w:p>
    <w:p>
      <w:r>
        <w:rPr>
          <w:i/>
          <w:color w:val="666666"/>
          <w:sz w:val="18"/>
        </w:rPr>
        <w:t>Saini U et al.  ·  Gen Hosp Psychiatry  ·  11.08.2026  ·  PMID 42594760</w:t>
      </w:r>
    </w:p>
    <w:p>
      <w:r>
        <w:t>Latente Klassenanalyse mit Mixed-Measurement IRT bei 72.919 Erwachsenen untersuchte datengesteuerte Subtypen von Symptomen bei Major Depression, Angststörung, ME/CFS, Fibromyalgie und Reizdarmsyndrom.</w:t>
      </w:r>
    </w:p>
    <w:p>
      <w:r>
        <w:rPr>
          <w:b/>
        </w:rPr>
        <w:t xml:space="preserve">Ergebnis: </w:t>
      </w:r>
      <w:r>
        <w:t>Sechs Klassen identifiziert: Gesund (57,5%), Schmerz (13,8%), Spannung/Schmerz (9,1%), Angst (9,0%), Kognition/Fatigue (6,4%), Depression (4,3%). Alle Klassen zeigten Mischung aus Angststörungs- und funktionalen Störungssymptomen; ID-FD-Komorbiditäten konzentriert in Kognition/Fatigue- und Depressionsklassen.</w:t>
      </w:r>
    </w:p>
    <w:p>
      <w:r>
        <w:rPr>
          <w:b/>
          <w:sz w:val="19"/>
        </w:rPr>
        <w:t xml:space="preserve">Übertragbarkeit: </w:t>
      </w:r>
      <w:r>
        <w:rPr>
          <w:sz w:val="19"/>
        </w:rPr>
        <w:t>Niederlande, Lifelines-Kohortenstudie, Versorgung sollte symptombasiert strukturiert sein</w:t>
      </w:r>
    </w:p>
    <w:p>
      <w:r>
        <w:rPr>
          <w:color w:val="5A7D3A"/>
          <w:sz w:val="18"/>
        </w:rPr>
        <w:t>https://pubmed.ncbi.nlm.nih.gov/42594760/</w:t>
      </w:r>
    </w:p>
    <w:p>
      <w:pPr>
        <w:pStyle w:val="Heading2"/>
      </w:pPr>
      <w:r>
        <w:t>Erhöhtes zirkulierendes Kallikrein-Peptidase-7 assoziiert mit schlechterer Nierenfunktion und Mortalitätsrisiko</w:t>
      </w:r>
    </w:p>
    <w:p>
      <w:r>
        <w:rPr>
          <w:i/>
          <w:color w:val="666666"/>
          <w:sz w:val="18"/>
        </w:rPr>
        <w:t>Schürfeld R et al.  ·  Front Endocrinol (Lausanne)  ·  07.07.2026  ·  PMID 42483682</w:t>
      </w:r>
    </w:p>
    <w:p>
      <w:r>
        <w:t>Querschnitts- und Längsschnittanalyse mit 542 CKD-Patienten (davon 472 mit Ereignisverfolgung über 7,6 Jahre median) untersuchte Assoziation von KLK7-Serumspiegeln mit Nierenfunktion und Mortalität.</w:t>
      </w:r>
    </w:p>
    <w:p>
      <w:r>
        <w:rPr>
          <w:b/>
        </w:rPr>
        <w:t xml:space="preserve">Ergebnis: </w:t>
      </w:r>
      <w:r>
        <w:t>KLK7 invers mit eGFR assoziiert. Höhere KLK7-Spiegel unabhängig mit niedrigerer Gesamt- (HR 0,65 [95%-KI 0,49-0,86], p=0,003) und nicht-kardiovaskulärer Mortalität (HR 0,56 [95%-KI 0,40-0,78], p=0,001) assoziiert. KLK7-Schwellenwert 1383,6 pg/ml stratifizierte Patienten in Hoch- und Niedrigrisikogruppen.</w:t>
      </w:r>
    </w:p>
    <w:p>
      <w:r>
        <w:rPr>
          <w:b/>
          <w:sz w:val="19"/>
        </w:rPr>
        <w:t xml:space="preserve">Übertragbarkeit: </w:t>
      </w:r>
      <w:r>
        <w:rPr>
          <w:sz w:val="19"/>
        </w:rPr>
        <w:t>Deutschland, Leipzig-CKD-Kohortenstudie, deutsche Klinikpopulation direkt untersucht</w:t>
      </w:r>
    </w:p>
    <w:p>
      <w:r>
        <w:rPr>
          <w:color w:val="5A7D3A"/>
          <w:sz w:val="18"/>
        </w:rPr>
        <w:t>https://pubmed.ncbi.nlm.nih.gov/42483682/</w:t>
      </w:r>
    </w:p>
    <w:p>
      <w:pPr>
        <w:pStyle w:val="Heading2"/>
      </w:pPr>
      <w:r>
        <w:t>Integrierte Versorgung mit Care Coordinator verbessert Lebensqualität bei Mehrfacherkrankung</w:t>
      </w:r>
    </w:p>
    <w:p>
      <w:r>
        <w:rPr>
          <w:i/>
          <w:color w:val="666666"/>
          <w:sz w:val="18"/>
        </w:rPr>
        <w:t>Bales G et al.  ·  BMJ Open  ·  21.07.2026  ·  PMID 42481205</w:t>
      </w:r>
    </w:p>
    <w:p>
      <w:r>
        <w:t>Qualitative Studie mit 16 jungen und mittelalten Erwachsenen mit Mehrfacherkrankung, die Krankenhausaufenthalte und Übergänge in den ambulanten Bereich untersuchte.</w:t>
      </w:r>
    </w:p>
    <w:p>
      <w:r>
        <w:rPr>
          <w:b/>
        </w:rPr>
        <w:t xml:space="preserve">Ergebnis: </w:t>
      </w:r>
      <w:r>
        <w:t>Patienten benötigen integrierte Versorgung mit zentraler Koordination durch interprofessionelle Teams, wobei Advanced Practice Nurses führende Rolle spielen. Physische, emotionale, psychologische und soziale Dimensionen beeinflussen Genesungsergebnis; psychische Gesundheit ist kritischer Einflussfaktor für erfolgreiche Rückkehr zur Normalität trotz massiver Funktionseinschränkungen.</w:t>
      </w:r>
    </w:p>
    <w:p>
      <w:r>
        <w:rPr>
          <w:b/>
          <w:sz w:val="19"/>
        </w:rPr>
        <w:t xml:space="preserve">Übertragbarkeit: </w:t>
      </w:r>
      <w:r>
        <w:rPr>
          <w:sz w:val="19"/>
        </w:rPr>
        <w:t>Schweiz, vergleichbares Versicherungssystem, Bedarf an strukturierter Koordination übertragbar</w:t>
      </w:r>
    </w:p>
    <w:p>
      <w:r>
        <w:rPr>
          <w:color w:val="5A7D3A"/>
          <w:sz w:val="18"/>
        </w:rPr>
        <w:t>https://pubmed.ncbi.nlm.nih.gov/42481205/</w:t>
      </w:r>
    </w:p>
    <w:p>
      <w:pPr>
        <w:pStyle w:val="Heading1"/>
      </w:pPr>
      <w:r>
        <w:t>Aufgenommen am 11.09.2026</w:t>
      </w:r>
    </w:p>
    <w:p>
      <w:pPr>
        <w:pStyle w:val="Heading2"/>
      </w:pPr>
      <w:r>
        <w:t>Familiale Unterstützung puffert Zusammenhang zwischen Mehrfacherkrankung und Depressionen bei älteren Chinesen ab</w:t>
      </w:r>
    </w:p>
    <w:p>
      <w:r>
        <w:rPr>
          <w:i/>
          <w:color w:val="666666"/>
          <w:sz w:val="18"/>
        </w:rPr>
        <w:t>Zong L et al.  ·  PLoS One  ·  10.09.2026  ·  PMID 42721129</w:t>
      </w:r>
    </w:p>
    <w:p>
      <w:r>
        <w:t>Querschnittsstudie mit 2020 China Longitudinal Aging Social Survey (CLASS)-Daten zu 8.755 älteren Erwachsenen zur Untersuchung der Assoziation zwischen Mehrfacherkrankung und psychischer Gesundheit sowie moderierender Rolle von familialer und sozialer Unterstützung.</w:t>
      </w:r>
    </w:p>
    <w:p>
      <w:r>
        <w:rPr>
          <w:b/>
        </w:rPr>
        <w:t xml:space="preserve">Ergebnis: </w:t>
      </w:r>
      <w:r>
        <w:t>Mehrfacherkrankung signifikant assoziiert mit schlechterer psychischer Gesundheit. Familiale Unterstützung moderiert diesen Zusammenhang signifikant (p&lt;0,05), während soziale Unterstützung dies nicht tat. Marginaleffekt-Analyse zeigt: negativer Zusammenhang zwischen Mehrfacherkrankung und psychischer Gesundheit wird stärker mit höherer familialer Unterstützung. Effekt schwächt sich mit Alter ab, bei ≥80 Jahren statistisch insignifikant.</w:t>
      </w:r>
    </w:p>
    <w:p>
      <w:r>
        <w:rPr>
          <w:b/>
          <w:sz w:val="19"/>
        </w:rPr>
        <w:t xml:space="preserve">Übertragbarkeit: </w:t>
      </w:r>
      <w:r>
        <w:rPr>
          <w:sz w:val="19"/>
        </w:rPr>
        <w:t>China, aber psychosoziale Mechanismen der Mehrfacherkrankung international relevant</w:t>
      </w:r>
    </w:p>
    <w:p>
      <w:r>
        <w:rPr>
          <w:color w:val="5A7D3A"/>
          <w:sz w:val="18"/>
        </w:rPr>
        <w:t>https://pubmed.ncbi.nlm.nih.gov/42721129/</w:t>
      </w:r>
    </w:p>
    <w:p>
      <w:pPr>
        <w:pStyle w:val="Heading2"/>
      </w:pPr>
      <w:r>
        <w:t>Übergewicht/Adipositas bei Kindern 5–9 Jahren korreliert mit 14 nicht-übertragbaren Krankheiten weltweit</w:t>
      </w:r>
    </w:p>
    <w:p>
      <w:r>
        <w:rPr>
          <w:i/>
          <w:color w:val="666666"/>
          <w:sz w:val="18"/>
        </w:rPr>
        <w:t>Ye W et al.  ·  Front Public Health  ·  26.08.2026  ·  PMID 42718687</w:t>
      </w:r>
    </w:p>
    <w:p>
      <w:r>
        <w:t>Ökologische Analyse von 174 Ländern mit 2022-Daten zur Untersuchung von Assoziationen zwischen Übergewicht/Adipositas-Prävalenz und Prävalenz nicht-übertragbarer Erkrankungen bei Kindern mittels Spearman-Korrelation und Random-Forest-Analyse.</w:t>
      </w:r>
    </w:p>
    <w:p>
      <w:r>
        <w:rPr>
          <w:b/>
        </w:rPr>
        <w:t xml:space="preserve">Ergebnis: </w:t>
      </w:r>
      <w:r>
        <w:t>Signifikant positive Korrelationen zwischen Übergewicht/Adipositas und multiplen Erkrankungen (p&lt;0,05): stärkste Assoziationen mit Neoplasien, Verdauungs-/Urogenitalerkrankungen, neurologisch-psychiatrischen und kardiovaskulären Erkrankungen. Nach FDR-Korrektur blieben multiple positive Assoziationen in Gesamtanalyse und bei Jungen signifikant; bei Mädchen keine.</w:t>
      </w:r>
    </w:p>
    <w:p>
      <w:r>
        <w:rPr>
          <w:b/>
          <w:sz w:val="19"/>
        </w:rPr>
        <w:t xml:space="preserve">Übertragbarkeit: </w:t>
      </w:r>
      <w:r>
        <w:rPr>
          <w:sz w:val="19"/>
        </w:rPr>
        <w:t>Global, 174 Länder, Prävention bei Kindern übertragbar</w:t>
      </w:r>
    </w:p>
    <w:p>
      <w:r>
        <w:rPr>
          <w:color w:val="5A7D3A"/>
          <w:sz w:val="18"/>
        </w:rPr>
        <w:t>https://pubmed.ncbi.nlm.nih.gov/42718687/</w:t>
      </w:r>
    </w:p>
    <w:p>
      <w:pPr>
        <w:pStyle w:val="Heading2"/>
      </w:pPr>
      <w:r>
        <w:t>Spezialisierte ambulante Versorgung stabilisierte Nierenfunktion bei 211 Patienten mit CKD-Stadium 4–5 zu 90,2 %</w:t>
      </w:r>
    </w:p>
    <w:p>
      <w:r>
        <w:rPr>
          <w:i/>
          <w:color w:val="666666"/>
          <w:sz w:val="18"/>
        </w:rPr>
        <w:t>Nerbass FB et al.  ·  Epidemiol Serv Saude  ·  10.04.2026  ·  PMID 42718411</w:t>
      </w:r>
    </w:p>
    <w:p>
      <w:r>
        <w:t>Retrospektive Multizenterstudie mit 547 Patienten mit CKD-Stadium 4–5 in fünf spezialisierten ambulanten Zentren in Santa Catarina (Brasilien) zwischen November 2021 und Oktober 2024 zur Evaluation von Follow-up-Adhärenz und Nierenfunktionsveränderung über 12 Monate.</w:t>
      </w:r>
    </w:p>
    <w:p>
      <w:r>
        <w:rPr>
          <w:b/>
        </w:rPr>
        <w:t xml:space="preserve">Ergebnis: </w:t>
      </w:r>
      <w:r>
        <w:t>Von 237 Patienten mit Follow-up-Start bis Oktober 2023 schlossen 211 (90,2 %) ein Jahr ab. Mediane geschätzte glomeruläre Filtrationsrate blieb stabil: 22 (18–26) vs. 22 (18–27) ml/min/1,73 m² (p=0,300). Nur 5 Patienten (2,1 %) progredienten zu Nierenersatztherapie. Bevölkerung: 83 % Stadium 4, 80,6 % &gt;60 Jahre, 91,8 % Hypertonie, 51,6 % Diabetes.</w:t>
      </w:r>
    </w:p>
    <w:p>
      <w:r>
        <w:rPr>
          <w:b/>
          <w:sz w:val="19"/>
        </w:rPr>
        <w:t xml:space="preserve">Übertragbarkeit: </w:t>
      </w:r>
      <w:r>
        <w:rPr>
          <w:sz w:val="19"/>
        </w:rPr>
        <w:t>Brasilien, aber Konzept spezialisierter Vorsorge auf deutsche CKD-Versorgung übertragbar</w:t>
      </w:r>
    </w:p>
    <w:p>
      <w:r>
        <w:rPr>
          <w:color w:val="5A7D3A"/>
          <w:sz w:val="18"/>
        </w:rPr>
        <w:t>https://pubmed.ncbi.nlm.nih.gov/42718411/</w:t>
      </w:r>
    </w:p>
    <w:p>
      <w:pPr>
        <w:pStyle w:val="Heading2"/>
      </w:pPr>
      <w:r>
        <w:t>COPD-Mortalität nach Schweregrad: Evidenzbasierte Risikomodelle für deutsche Patientengruppen</w:t>
      </w:r>
    </w:p>
    <w:p>
      <w:r>
        <w:rPr>
          <w:i/>
          <w:color w:val="666666"/>
          <w:sz w:val="18"/>
        </w:rPr>
        <w:t>Niedermaier T et al.  ·  Sci Rep  ·  09.09.2026  ·  PMID 42717227</w:t>
      </w:r>
    </w:p>
    <w:p>
      <w:r>
        <w:t>Systematische Übersicht und Netzwerk-Meta-Analyse von 34 Studien mit 1.459.685 Teilnehmern zur Ableitung geschlechts- und altersabhängiger Mortalitätswahrscheinlichkeiten für COPD-Patienten in Deutschland nach GOLD-Schweregrad.</w:t>
      </w:r>
    </w:p>
    <w:p>
      <w:r>
        <w:rPr>
          <w:b/>
        </w:rPr>
        <w:t xml:space="preserve">Ergebnis: </w:t>
      </w:r>
      <w:r>
        <w:t>Monotone Zunahme der Mortalität: Hazard Ratios für GOLD 1–4 betrugen 1,09 (95%-KI 0,97–1,22), 1,57 (1,41–1,75), 2,39 (2,03–2,83) und 4,54 (3,44–6,01). Ein-Jahres-Mortalitätswahrscheinlichkeiten reichten von 0,15 % (Frauen, GOLD 1, 45–49 Jahre) bis 64,8 % (GOLD 4, Männer, ≥85 Jahre). Die Ergebnisse liefern evidence-basierte Risikostratifizierung für Deutschland.</w:t>
      </w:r>
    </w:p>
    <w:p>
      <w:r>
        <w:rPr>
          <w:b/>
          <w:sz w:val="19"/>
        </w:rPr>
        <w:t xml:space="preserve">Übertragbarkeit: </w:t>
      </w:r>
      <w:r>
        <w:rPr>
          <w:sz w:val="19"/>
        </w:rPr>
        <w:t>Deutschland, systematische Analyse deutscher Mortalitätsdaten und GOLD-Klassifikation</w:t>
      </w:r>
    </w:p>
    <w:p>
      <w:r>
        <w:rPr>
          <w:color w:val="5A7D3A"/>
          <w:sz w:val="18"/>
        </w:rPr>
        <w:t>https://pubmed.ncbi.nlm.nih.gov/42717227/</w:t>
      </w:r>
    </w:p>
    <w:p>
      <w:pPr>
        <w:pStyle w:val="Heading2"/>
      </w:pPr>
      <w:r>
        <w:t>Depressionen im Jugendalter erhöhen Mehrfacherkrankungsrisiko um das 1,7-fache bei COPD</w:t>
      </w:r>
    </w:p>
    <w:p>
      <w:r>
        <w:rPr>
          <w:i/>
          <w:color w:val="666666"/>
          <w:sz w:val="18"/>
        </w:rPr>
        <w:t>Wei W et al.  ·  Epidemiol Psychiatr Sci  ·  09.09.2026  ·  PMID 42713628</w:t>
      </w:r>
    </w:p>
    <w:p>
      <w:r>
        <w:t>Prospektive Kohortenstudie mit 87.562 UK-Biobank-Teilnehmern (18.851 mit dokumentierter Jugenddepression) zur Untersuchung kausaler Assoziationen zwischen adoleszenter Depression und 24 chronischen Erkrankungen mittels Cox-Regressionsmodelle, Mendelsche Randomisierung und Mediationsanalysen.</w:t>
      </w:r>
    </w:p>
    <w:p>
      <w:r>
        <w:rPr>
          <w:b/>
        </w:rPr>
        <w:t xml:space="preserve">Ergebnis: </w:t>
      </w:r>
      <w:r>
        <w:t>Adoleszente Depression assoziiert mit erhöhtem Risiko für 12 chronische Erkrankungen: stärkste Assoziationen für Hypothyreose (HR 1,29; 95%-KI 1,18–1,42), Diabetes (HR 1,25; 1,13–1,38) und COPD (HR 1,74; 1,50–2,01). Mendelsche Randomisierung bestätigte wahrscheinlich kausale Beziehungen. Risiken höher bei Frauen und jüngeren Erwachsenen (≤55 Jahre).</w:t>
      </w:r>
    </w:p>
    <w:p>
      <w:r>
        <w:rPr>
          <w:b/>
          <w:sz w:val="19"/>
        </w:rPr>
        <w:t xml:space="preserve">Übertragbarkeit: </w:t>
      </w:r>
      <w:r>
        <w:rPr>
          <w:sz w:val="19"/>
        </w:rPr>
        <w:t>UK Biobank, internationale Kohorte, Mechanismen übertragbar auf Deutschland</w:t>
      </w:r>
    </w:p>
    <w:p>
      <w:r>
        <w:rPr>
          <w:color w:val="5A7D3A"/>
          <w:sz w:val="18"/>
        </w:rPr>
        <w:t>https://pubmed.ncbi.nlm.nih.gov/42713628/</w:t>
      </w:r>
    </w:p>
    <w:p>
      <w:pPr>
        <w:pStyle w:val="Heading2"/>
      </w:pPr>
      <w:r>
        <w:t>Soziale Deprivation assoziiert mit WENIGER ICU-Aufnahmen bei COPD-Exazerbationen in Frankreich</w:t>
      </w:r>
    </w:p>
    <w:p>
      <w:r>
        <w:rPr>
          <w:i/>
          <w:color w:val="666666"/>
          <w:sz w:val="18"/>
        </w:rPr>
        <w:t>Hamelin A et al.  ·  J Crit Care  ·  23.07.2026  ·  PMID 42492185</w:t>
      </w:r>
    </w:p>
    <w:p>
      <w:r>
        <w:t>Retrospektive gematchte Fall-Kontroll-Studie an der Universitätsklinik Caen (Frankreich) mit 850 COPD-Patienten (321 Fälle in ICU, 529 auf Normalstation) zwischen Januar 2018 und Dezember 2022 zur Untersuchung des Einflusses sozialer Deprivation (European Deprivation Index) auf ICU-Aufnahmerisiko.</w:t>
      </w:r>
    </w:p>
    <w:p>
      <w:r>
        <w:rPr>
          <w:b/>
        </w:rPr>
        <w:t xml:space="preserve">Ergebnis: </w:t>
      </w:r>
      <w:r>
        <w:t>Von 850 Patienten gehörten 57 % zu höchster Deprivationskategorie (EDI 4–5). Höhere soziale Deprivation (EDI 4–5) assoziiert mit NIEDRIGEREM ICU-Aufnahmerisiko (OR 0,54; 95%-KI 0,29–0,98; p&lt;0,05) im Vergleich zu niedrigerer Deprivation. Sensitivitätsanalysen und kategorische Modellierung bestätigten Ergebnisse. Studienergebnis deutet auf ungleiche Ressourcenallokation hin.</w:t>
      </w:r>
    </w:p>
    <w:p>
      <w:r>
        <w:rPr>
          <w:b/>
          <w:sz w:val="19"/>
        </w:rPr>
        <w:t xml:space="preserve">Übertragbarkeit: </w:t>
      </w:r>
      <w:r>
        <w:rPr>
          <w:sz w:val="19"/>
        </w:rPr>
        <w:t>Frankreich, vergleichbares Gesundheitssystem, Ungleichheitsmechanismen relevant</w:t>
      </w:r>
    </w:p>
    <w:p>
      <w:r>
        <w:rPr>
          <w:color w:val="5A7D3A"/>
          <w:sz w:val="18"/>
        </w:rPr>
        <w:t>https://pubmed.ncbi.nlm.nih.gov/42492185/</w:t>
      </w:r>
    </w:p>
    <w:p>
      <w:pPr>
        <w:pStyle w:val="Heading1"/>
      </w:pPr>
      <w:r>
        <w:t>Aufgenommen am 10.09.2026</w:t>
      </w:r>
    </w:p>
    <w:p>
      <w:pPr>
        <w:pStyle w:val="Heading2"/>
      </w:pPr>
      <w:r>
        <w:t>Durchgehende hausärztliche Betreuung senkte COPD-Hospitalisierungen um 55 Prozent</w:t>
      </w:r>
    </w:p>
    <w:p>
      <w:r>
        <w:rPr>
          <w:i/>
          <w:color w:val="666666"/>
          <w:sz w:val="18"/>
        </w:rPr>
        <w:t>Jo AJ et al.  ·  BMJ Open  ·  09.09.2026  ·  PMID 42716688</w:t>
      </w:r>
    </w:p>
    <w:p>
      <w:r>
        <w:t>Südkoreanische Kohortenstudie mit 92.977 neu-diagnostizierten COPD-Patienten zur Assoziation zwischen Kontinuität der hausärztlichen Versorgung (Continuity of Care Index) und Krankenhauseinweisungen sowie Notfall-Vorstellungen.</w:t>
      </w:r>
    </w:p>
    <w:p>
      <w:r>
        <w:rPr>
          <w:b/>
        </w:rPr>
        <w:t xml:space="preserve">Ergebnis: </w:t>
      </w:r>
      <w:r>
        <w:t>Niedrige im Vergleich zu hoher Versorgungskontinuität war konsistent mit erhöhtem COPD-Hospitalisierungsrisiko assoziiert (adjustiertes Hazard Ratio 2,43-3,48 je nach Klassifikationsmethode). Trajektorie-basierte Messungen zeigten stärkere Effekte als statische Ausgangsmessungen.</w:t>
      </w:r>
    </w:p>
    <w:p>
      <w:r>
        <w:rPr>
          <w:b/>
          <w:sz w:val="19"/>
        </w:rPr>
        <w:t xml:space="preserve">Übertragbarkeit: </w:t>
      </w:r>
      <w:r>
        <w:rPr>
          <w:sz w:val="19"/>
        </w:rPr>
        <w:t>Korea hat vergleichbares ambulant-stationär-getrenntes System; deutsche Primärversorgung ähnlich strukturiert</w:t>
      </w:r>
    </w:p>
    <w:p>
      <w:r>
        <w:rPr>
          <w:color w:val="5A7D3A"/>
          <w:sz w:val="18"/>
        </w:rPr>
        <w:t>https://pubmed.ncbi.nlm.nih.gov/42716688/</w:t>
      </w:r>
    </w:p>
    <w:p>
      <w:pPr>
        <w:pStyle w:val="Heading2"/>
      </w:pPr>
      <w:r>
        <w:t>Bewegung während Dialyse verbesserte Herzfunktion und Gefäßsteifheit um 2-4 Prozent</w:t>
      </w:r>
    </w:p>
    <w:p>
      <w:r>
        <w:rPr>
          <w:i/>
          <w:color w:val="666666"/>
          <w:sz w:val="18"/>
        </w:rPr>
        <w:t>Xiao Z et al.  ·  BMJ Open  ·  09.09.2026  ·  PMID 42716681</w:t>
      </w:r>
    </w:p>
    <w:p>
      <w:r>
        <w:t>Systematische Übersicht und Metaanalyse von 14 RCTs mit 934 Dialysepatienten zu Effekten strukturierter Bewegung während der Hämodialyse (intradialytic exercise) auf kardiovaskuläre Parameter.</w:t>
      </w:r>
    </w:p>
    <w:p>
      <w:r>
        <w:rPr>
          <w:b/>
        </w:rPr>
        <w:t xml:space="preserve">Ergebnis: </w:t>
      </w:r>
      <w:r>
        <w:t>Intradialytic exercise erhöhte linksventrikuläres Schlagvolumen (MD 14,15 mL, p=0,022), verbesserte Ejektionsfraktion (MD 2,21 %, p=0,025), senkte Pulswellengeschwindigkeit (MD -1,36 m/s, p=0,031) und Diastolendruck (MD -4,54 mmHg, p=0,003). Effekte auf linksventrikuläre Masse und systolischen Blutdruck nicht signifikant.</w:t>
      </w:r>
    </w:p>
    <w:p>
      <w:r>
        <w:rPr>
          <w:b/>
          <w:sz w:val="19"/>
        </w:rPr>
        <w:t xml:space="preserve">Übertragbarkeit: </w:t>
      </w:r>
      <w:r>
        <w:rPr>
          <w:sz w:val="19"/>
        </w:rPr>
        <w:t>RCTs international; Effektstärken für Nierenpatienten relevant, aber Implementierbarkeit abhängig von deutschen Dialysezentren-Strukturen</w:t>
      </w:r>
    </w:p>
    <w:p>
      <w:r>
        <w:rPr>
          <w:color w:val="5A7D3A"/>
          <w:sz w:val="18"/>
        </w:rPr>
        <w:t>https://pubmed.ncbi.nlm.nih.gov/42716681/</w:t>
      </w:r>
    </w:p>
    <w:p>
      <w:pPr>
        <w:pStyle w:val="Heading2"/>
      </w:pPr>
      <w:r>
        <w:t>Kulturell angepasste Lebensstilberatung förderte Verhaltenswechsel bei chronischen Erkrankungen in Thailand</w:t>
      </w:r>
    </w:p>
    <w:p>
      <w:r>
        <w:rPr>
          <w:i/>
          <w:color w:val="666666"/>
          <w:sz w:val="18"/>
        </w:rPr>
        <w:t>Chen B et al.  ·  BMJ Open  ·  09.09.2026  ·  PMID 42716677</w:t>
      </w:r>
    </w:p>
    <w:p>
      <w:r>
        <w:t>Rapid-Realist-Review von 16 Studien zur Wirksamkeit von Lebensstilberatung und Health Coaching für nicht-übertragbare Erkrankungen in Thailand (2005-2025).</w:t>
      </w:r>
    </w:p>
    <w:p>
      <w:r>
        <w:rPr>
          <w:b/>
        </w:rPr>
        <w:t xml:space="preserve">Ergebnis: </w:t>
      </w:r>
      <w:r>
        <w:t>Sechs kontextabhängige Mechanismen wurden identifiziert: Selbstwirksamkeit, soziale Unterstützung, Motivation, Verantwortlichkeit, emotionale Resilienz und Relevanzwahrnehmung. Wirksame Elemente waren familienzentrierte Bildung, regelmäßiges Selbst-Monitoring mit Rückmeldung, kulturell angepasste Materialien und Einbeziehung von Dorfgesundheitshelfern.</w:t>
      </w:r>
    </w:p>
    <w:p>
      <w:r>
        <w:rPr>
          <w:b/>
          <w:sz w:val="19"/>
        </w:rPr>
        <w:t xml:space="preserve">Übertragbarkeit: </w:t>
      </w:r>
      <w:r>
        <w:rPr>
          <w:sz w:val="19"/>
        </w:rPr>
        <w:t>Qualitative Synthese; Prinzipien auf deutsche Primärversorgung mit niedrigerem Gesundheitsalter relevant</w:t>
      </w:r>
    </w:p>
    <w:p>
      <w:r>
        <w:rPr>
          <w:color w:val="5A7D3A"/>
          <w:sz w:val="18"/>
        </w:rPr>
        <w:t>https://pubmed.ncbi.nlm.nih.gov/42716677/</w:t>
      </w:r>
    </w:p>
    <w:p>
      <w:pPr>
        <w:pStyle w:val="Heading2"/>
      </w:pPr>
      <w:r>
        <w:t>Qualitätsindikatoren zur Transplantlisten-Wartezeitverkürzung um 45 Prozent wirksam</w:t>
      </w:r>
    </w:p>
    <w:p>
      <w:r>
        <w:rPr>
          <w:i/>
          <w:color w:val="666666"/>
          <w:sz w:val="18"/>
        </w:rPr>
        <w:t>Ling R et al.  ·  Nephrology (Carlton)  ·  Sept. 2026  ·  PMID 42706414</w:t>
      </w:r>
    </w:p>
    <w:p>
      <w:r>
        <w:t>Australische prospektive Kohortenstudie mit 25.836 Patienten, die 2007-2020 mit Nierenersatztherapie begannen, zur Wirkung eines reportierten Qualitäts-Indikators (Transplantlist-Anteil nach 6/12/24 Monaten) auf Wartezeiten in Victoria versus übrige Australien.</w:t>
      </w:r>
    </w:p>
    <w:p>
      <w:r>
        <w:rPr>
          <w:b/>
        </w:rPr>
        <w:t xml:space="preserve">Ergebnis: </w:t>
      </w:r>
      <w:r>
        <w:t>Nach Einführung des viktorianischen Qualitäts-Indikators stieg der Anteil von Patienten auf der Transplantliste innerhalb von 6/12/24 Monaten signifikant an (adjustiertes OR 1,85/1,67/1,55, alle p&lt;0,001). Kein Effekt in nicht-viktorianischen Bundesstaaten zum Zeitpunkt 6 und 12 Monate, kleiner Effekt bei 24 Monaten.</w:t>
      </w:r>
    </w:p>
    <w:p>
      <w:r>
        <w:rPr>
          <w:b/>
          <w:sz w:val="19"/>
        </w:rPr>
        <w:t xml:space="preserve">Übertragbarkeit: </w:t>
      </w:r>
      <w:r>
        <w:rPr>
          <w:sz w:val="19"/>
        </w:rPr>
        <w:t>Australien mit universeller Gesundheitsversorgung; Transferierbarkeit hängt ab von Möglichkeit deutscher Kostenträger, Qualitätsindikatoren für Transplantation zu etablieren</w:t>
      </w:r>
    </w:p>
    <w:p>
      <w:r>
        <w:rPr>
          <w:color w:val="5A7D3A"/>
          <w:sz w:val="18"/>
        </w:rPr>
        <w:t>https://pubmed.ncbi.nlm.nih.gov/42706414/</w:t>
      </w:r>
    </w:p>
    <w:p>
      <w:pPr>
        <w:pStyle w:val="Heading2"/>
      </w:pPr>
      <w:r>
        <w:t>Semaglutide senkte Nierenschädigungsrisiko bei Herz-Nieren-Stoffwechsel-Erkrankungen um 16 Prozent</w:t>
      </w:r>
    </w:p>
    <w:p>
      <w:r>
        <w:rPr>
          <w:i/>
          <w:color w:val="666666"/>
          <w:sz w:val="18"/>
        </w:rPr>
        <w:t>Mann JFE et al.  ·  Lancet Diabetes Endocrinol  ·  07.08.2026  ·  PMID 42567173</w:t>
      </w:r>
    </w:p>
    <w:p>
      <w:r>
        <w:t>Gepoolte Analyse von 30.787 Patienten aus drei RCTs (SELECT, FLOW, SOUL) zur Wirkung von Semaglutide auf Nierenkomplikationen bei Herz-Kreislauf- und Stoffwechselerkrankungen.</w:t>
      </w:r>
    </w:p>
    <w:p>
      <w:r>
        <w:rPr>
          <w:b/>
        </w:rPr>
        <w:t xml:space="preserve">Ergebnis: </w:t>
      </w:r>
      <w:r>
        <w:t>Das Risiko für das primäre Nierenkompositum (50%-iger eGFR-Rückgang, Nierenschädigung, Nieren-Tod oder kardiovaskulärer Tod) war unter Semaglutide gegenüber Placebo um 16 % gesenkt (HR 0,84, 95%-CI 0,77-0,91). Das Sicherheitsprofil war günstig. Die Effekte traten unabhängig von Diabetes-Status auf.</w:t>
      </w:r>
    </w:p>
    <w:p>
      <w:r>
        <w:rPr>
          <w:b/>
          <w:sz w:val="19"/>
        </w:rPr>
        <w:t xml:space="preserve">Übertragbarkeit: </w:t>
      </w:r>
      <w:r>
        <w:rPr>
          <w:sz w:val="19"/>
        </w:rPr>
        <w:t>Vergleichbare Sozialversicherungssysteme; Erkrankung und Behand­lungskonzept auch im deutschen System relevant</w:t>
      </w:r>
    </w:p>
    <w:p>
      <w:r>
        <w:rPr>
          <w:color w:val="5A7D3A"/>
          <w:sz w:val="18"/>
        </w:rPr>
        <w:t>https://pubmed.ncbi.nlm.nih.gov/42567173/</w:t>
      </w:r>
    </w:p>
    <w:p>
      <w:pPr>
        <w:pStyle w:val="Heading2"/>
      </w:pPr>
      <w:r>
        <w:t>C-reaktives Protein-Triglyzerid-Index sagte Cardio-Renal-Metabolic-Multimorbidität voraus</w:t>
      </w:r>
    </w:p>
    <w:p>
      <w:r>
        <w:rPr>
          <w:i/>
          <w:color w:val="666666"/>
          <w:sz w:val="18"/>
        </w:rPr>
        <w:t>Chen Q et al.  ·  Diabetes Res Clin Pract  ·  01.08.2026  ·  PMID 42542252</w:t>
      </w:r>
    </w:p>
    <w:p>
      <w:r>
        <w:t>Kohortenstudie mit 374.513 Teilnehmern aus UK Biobank und 6.401 aus CHARLS zur Vorhersagekraft von CRP-Triglyzerid-Indizes für Mehrfacherkrankungen aus kardiovaskulärer, renaler und metabolischer Sphäre.</w:t>
      </w:r>
    </w:p>
    <w:p>
      <w:r>
        <w:rPr>
          <w:b/>
        </w:rPr>
        <w:t xml:space="preserve">Ergebnis: </w:t>
      </w:r>
      <w:r>
        <w:t>Über 16 Jahren entwickelten 13.315 Patienten cardio-renal-metabolic multimorbidity. Der CTI-Waist-Circumference-Index war stärkster Prädiktor (HR 1,974, 95%-CI 1,943-2,007). Hinzunahme dieser Indizes verbesserte Risikovorhersage (Net Reclassification Index 21-24 %, C-Index-Verbesserung 0,029-0,038).</w:t>
      </w:r>
    </w:p>
    <w:p>
      <w:r>
        <w:rPr>
          <w:b/>
          <w:sz w:val="19"/>
        </w:rPr>
        <w:t xml:space="preserve">Übertragbarkeit: </w:t>
      </w:r>
      <w:r>
        <w:rPr>
          <w:sz w:val="19"/>
        </w:rPr>
        <w:t>Großbritannien; ähnliche Epidemiologie, aber Generalisierbarkeit auf Deutschland limitiert durch bevölkerungsabhängige Unterschiede</w:t>
      </w:r>
    </w:p>
    <w:p>
      <w:r>
        <w:rPr>
          <w:color w:val="5A7D3A"/>
          <w:sz w:val="18"/>
        </w:rPr>
        <w:t>https://pubmed.ncbi.nlm.nih.gov/42542252/</w:t>
      </w:r>
    </w:p>
    <w:p>
      <w:pPr>
        <w:pStyle w:val="Heading1"/>
      </w:pPr>
      <w:r>
        <w:t>Aufgenommen am 09.09.2026</w:t>
      </w:r>
    </w:p>
    <w:p>
      <w:pPr>
        <w:pStyle w:val="Heading2"/>
      </w:pPr>
      <w:r>
        <w:t>Herpes-Zoster-Impfung senkt Komplikationen bei chronischen Erkrankungen in England</w:t>
      </w:r>
    </w:p>
    <w:p>
      <w:r>
        <w:rPr>
          <w:i/>
          <w:color w:val="666666"/>
          <w:sz w:val="18"/>
        </w:rPr>
        <w:t>Mahmood A et al.  ·  BMJ Open  ·  08.09.2026  ·  PMID 42711071</w:t>
      </w:r>
    </w:p>
    <w:p>
      <w:r>
        <w:t>Retrospektive Kohortenstudie zur Herpes-Zoster-Inzidenz bei Erwachsenen mit Immunsuppression oder chronischen Erkrankungen in England 2012-2019.</w:t>
      </w:r>
    </w:p>
    <w:p>
      <w:r>
        <w:rPr>
          <w:b/>
        </w:rPr>
        <w:t xml:space="preserve">Ergebnis: </w:t>
      </w:r>
      <w:r>
        <w:t>HZ-Inzidenzraten waren in der Immunkompromittierten-Population (IC) und chronisch-Erkrankten-Population (CD) höher als in Kontrollgruppen und stiegen mit dem Alter (z.B. IC: 3,34 pro 1000 Personenjahre in Alter 18-49 Jahre vs. 12,58 in ≥80 Jahren). Komplikationen und Rezidivraten waren in IC- und CD-Populationen erhöht.</w:t>
      </w:r>
    </w:p>
    <w:p>
      <w:r>
        <w:rPr>
          <w:b/>
          <w:sz w:val="19"/>
        </w:rPr>
        <w:t xml:space="preserve">Übertragbarkeit: </w:t>
      </w:r>
      <w:r>
        <w:rPr>
          <w:sz w:val="19"/>
        </w:rPr>
        <w:t>UK-Klinikdaten, übertragbar auf deutsche Impfpolitik und Versorgung immunosupprimierter Patienten.</w:t>
      </w:r>
    </w:p>
    <w:p>
      <w:r>
        <w:rPr>
          <w:color w:val="5A7D3A"/>
          <w:sz w:val="18"/>
        </w:rPr>
        <w:t>https://pubmed.ncbi.nlm.nih.gov/42711071/</w:t>
      </w:r>
    </w:p>
    <w:p>
      <w:pPr>
        <w:pStyle w:val="Heading2"/>
      </w:pPr>
      <w:r>
        <w:t>Dreifachtherapie-Persistenz bei COPD: Einmal-täglich-Regimen verbessert Therapietreue um 92,5% nach 6 Monaten</w:t>
      </w:r>
    </w:p>
    <w:p>
      <w:r>
        <w:rPr>
          <w:i/>
          <w:color w:val="666666"/>
          <w:sz w:val="18"/>
        </w:rPr>
        <w:t>Vogelmeier CF et al.  ·  Ther Adv Respir Dis  ·  08.09.2026  ·  PMID 42710849</w:t>
      </w:r>
    </w:p>
    <w:p>
      <w:r>
        <w:t>Prospektive Beobachtungsstudie zur Therapietreue und Stabilität von inhalierter Dreifachtherapie bei 1.196 COPD-Patienten aus 134 deutschen Zentren über 24 Monate.</w:t>
      </w:r>
    </w:p>
    <w:p>
      <w:r>
        <w:rPr>
          <w:b/>
        </w:rPr>
        <w:t xml:space="preserve">Ergebnis: </w:t>
      </w:r>
      <w:r>
        <w:t>Therapietreue lag bei 92,5% (6 Monate), 84,4% (12 Monate) und 38,5% (24 Monate). Bei Patienten unter Einmal-täglich-Regime (FF/UMEC/VI OD) betrug die durchschnittliche CAT-Verbesserung 4,4 Punkte; 50,1% waren Responder. Nur 10% der Patienten wechselten die Therapie über 24 Monate.</w:t>
      </w:r>
    </w:p>
    <w:p>
      <w:r>
        <w:rPr>
          <w:b/>
          <w:sz w:val="19"/>
        </w:rPr>
        <w:t xml:space="preserve">Übertragbarkeit: </w:t>
      </w:r>
      <w:r>
        <w:rPr>
          <w:sz w:val="19"/>
        </w:rPr>
        <w:t>Deutsche Real-World-Daten, direkt übertragbar auf Versorgung und Therapiestabilität im Praxisalltag.</w:t>
      </w:r>
    </w:p>
    <w:p>
      <w:r>
        <w:rPr>
          <w:color w:val="5A7D3A"/>
          <w:sz w:val="18"/>
        </w:rPr>
        <w:t>https://pubmed.ncbi.nlm.nih.gov/42710849/</w:t>
      </w:r>
    </w:p>
    <w:p>
      <w:pPr>
        <w:pStyle w:val="Heading2"/>
      </w:pPr>
      <w:r>
        <w:t>Soziale Ungleichheit verkürzt Lebenserwartung nach Diagnose chronischer Erkrankungen um bis zu 3 Jahre</w:t>
      </w:r>
    </w:p>
    <w:p>
      <w:r>
        <w:rPr>
          <w:i/>
          <w:color w:val="666666"/>
          <w:sz w:val="18"/>
        </w:rPr>
        <w:t>Pallesen AVJ et al.  ·  Eur J Public Health  ·  04.08.2026  ·  PMID 42709676</w:t>
      </w:r>
    </w:p>
    <w:p>
      <w:r>
        <w:t>Vollpopulationskohorte aus Dänemark mit Multistate-Modellen für 64 nicht-übertragbare Erkrankungen zur Analyse von Bildungs- und Einkommensungleichheiten in der Lebenserwartung nach Diagnosestellung.</w:t>
      </w:r>
    </w:p>
    <w:p>
      <w:r>
        <w:rPr>
          <w:b/>
        </w:rPr>
        <w:t xml:space="preserve">Ergebnis: </w:t>
      </w:r>
      <w:r>
        <w:t>Konsistente Bildungs- und Einkommensungleichheiten in der Lebenserwartung nach Diagnose über alle 64 Erkrankungen. Beispiel: Frau mit Zirrhose im Alter 50 Jahren: 17 Jahre Lebenserwartung bei hoher Bildung vs. 14 Jahre bei niedriger Bildung. Unterschied bei Männern: 13 vs. 10 Jahre. Unterstreicht Bedarf für Interventionen vor Erkrankungseintritt.</w:t>
      </w:r>
    </w:p>
    <w:p>
      <w:r>
        <w:rPr>
          <w:b/>
          <w:sz w:val="19"/>
        </w:rPr>
        <w:t xml:space="preserve">Übertragbarkeit: </w:t>
      </w:r>
      <w:r>
        <w:rPr>
          <w:sz w:val="19"/>
        </w:rPr>
        <w:t>Dänische Registerdaten, vergleichbar mit deutschem Versicherungssystem und Versorgungsungleichheiten.</w:t>
      </w:r>
    </w:p>
    <w:p>
      <w:r>
        <w:rPr>
          <w:color w:val="5A7D3A"/>
          <w:sz w:val="18"/>
        </w:rPr>
        <w:t>https://pubmed.ncbi.nlm.nih.gov/42709676/</w:t>
      </w:r>
    </w:p>
    <w:p>
      <w:pPr>
        <w:pStyle w:val="Heading2"/>
      </w:pPr>
      <w:r>
        <w:t>Langzeitüberlebensraten bei Langzeit-Sauerstofftherapie sind niedrig und diagnoseabhängig</w:t>
      </w:r>
    </w:p>
    <w:p>
      <w:r>
        <w:rPr>
          <w:i/>
          <w:color w:val="666666"/>
          <w:sz w:val="18"/>
        </w:rPr>
        <w:t>Staes M et al.  ·  COPD  ·  25.08.2026  ·  PMID 42708418</w:t>
      </w:r>
    </w:p>
    <w:p>
      <w:r>
        <w:t>Nationale belgische Kohorte von 4.973 Patienten, die 2017 mit Langzeit-Sauerstofftherapie (LTOT) begannen, mit 4-Jahres-Nachverfolgung und Kaplan-Meier-Analyse.</w:t>
      </w:r>
    </w:p>
    <w:p>
      <w:r>
        <w:rPr>
          <w:b/>
        </w:rPr>
        <w:t xml:space="preserve">Ergebnis: </w:t>
      </w:r>
      <w:r>
        <w:t>4-Jahres-Gesamtüberleben 22%. COPD-Patienten zeigten höhere 4-Jahres-Überlebensrate (24%) vs. restriktive Lungenerkrankungen (17%, HR 1,23, p&lt;0,005). Patienten mit interstitieller Lungenfibrose (ILD) hatten schlechtestes Überleben (13%, HR 1,98, p&lt;0,005). Palliativbetreuung sollte integral sein.</w:t>
      </w:r>
    </w:p>
    <w:p>
      <w:r>
        <w:rPr>
          <w:b/>
          <w:sz w:val="19"/>
        </w:rPr>
        <w:t xml:space="preserve">Übertragbarkeit: </w:t>
      </w:r>
      <w:r>
        <w:rPr>
          <w:sz w:val="19"/>
        </w:rPr>
        <w:t>Belgische Gesundheitsdaten, vergleichbar mit deutschem Versorgungssystem und LTOT-Indikationen.</w:t>
      </w:r>
    </w:p>
    <w:p>
      <w:r>
        <w:rPr>
          <w:color w:val="5A7D3A"/>
          <w:sz w:val="18"/>
        </w:rPr>
        <w:t>https://pubmed.ncbi.nlm.nih.gov/42708418/</w:t>
      </w:r>
    </w:p>
    <w:p>
      <w:pPr>
        <w:pStyle w:val="Heading2"/>
      </w:pPr>
      <w:r>
        <w:t>Immune-Checkpoint-Inhibitoren verursachen Pankreatitis mit Overlap zu Autoimmun-Pankreatitis</w:t>
      </w:r>
    </w:p>
    <w:p>
      <w:r>
        <w:rPr>
          <w:i/>
          <w:color w:val="666666"/>
          <w:sz w:val="18"/>
        </w:rPr>
        <w:t>Moro CF et al.  ·  United European Gastroenterol J  ·  Sept. 2026  ·  PMID 42704209</w:t>
      </w:r>
    </w:p>
    <w:p>
      <w:r>
        <w:t>Klinisch-pathologische Analyse von 5 Fällen mit Immune-Checkpoint-Inhibitor-induzierter Pankreatitis (ICIPI) mit Vergleich zu autoimmun-Pankreatitis-Mustern.</w:t>
      </w:r>
    </w:p>
    <w:p>
      <w:r>
        <w:rPr>
          <w:b/>
        </w:rPr>
        <w:t xml:space="preserve">Ergebnis: </w:t>
      </w:r>
      <w:r>
        <w:t>ICIPI trat 182-580 Tage nach ICI-Initiation auf. Alle Patienten hatten kombinierte Therapie. Serum-Lipase 4-41 µkat/L. 3 Patienten erhielten Steroide mit Remission. 2 entwickelten Pankreasatrophie/Exokrininsuffizienz. Histologischer Overlap mit Typ-2-AIP, aber ohne IgG4-Marker. Frühe Steroid-Intervention ist wichtig.</w:t>
      </w:r>
    </w:p>
    <w:p>
      <w:r>
        <w:rPr>
          <w:b/>
          <w:sz w:val="19"/>
        </w:rPr>
        <w:t xml:space="preserve">Übertragbarkeit: </w:t>
      </w:r>
      <w:r>
        <w:rPr>
          <w:sz w:val="19"/>
        </w:rPr>
        <w:t>Europäische Fallsammlung; Erkenntnisse zur Überwachung und Management bei ICI-Therapie übertragbar.</w:t>
      </w:r>
    </w:p>
    <w:p>
      <w:r>
        <w:rPr>
          <w:color w:val="5A7D3A"/>
          <w:sz w:val="18"/>
        </w:rPr>
        <w:t>https://pubmed.ncbi.nlm.nih.gov/42704209/</w:t>
      </w:r>
    </w:p>
    <w:p>
      <w:pPr>
        <w:pStyle w:val="Heading2"/>
      </w:pPr>
      <w:r>
        <w:t>Föderierte Datenanalyse im Europäischen Gesundheitsdatenraum verbessert chronische-Krankheits-Überwachung</w:t>
      </w:r>
    </w:p>
    <w:p>
      <w:r>
        <w:rPr>
          <w:i/>
          <w:color w:val="666666"/>
          <w:sz w:val="18"/>
        </w:rPr>
        <w:t>Carinci F et al.  ·  Front Public Health  ·  21.08.2026  ·  PMID 42698935</w:t>
      </w:r>
    </w:p>
    <w:p>
      <w:r>
        <w:t>Scoping Review zu föderativen Analysemethoden für Überwachung nicht-übertragbarer Erkrankungen im European Health Data Space (EHDS), mit konzeptuellem Rahmen für verteilte statistische Methoden.</w:t>
      </w:r>
    </w:p>
    <w:p>
      <w:r>
        <w:rPr>
          <w:b/>
        </w:rPr>
        <w:t xml:space="preserve">Ergebnis: </w:t>
      </w:r>
      <w:r>
        <w:t>104 relevante Studien identifiziert; 3 Domänen: (1) verteilte Regression, (2) föderierte Infrastrukturen, (3) privacy-preserving Epidemiologie. Herausforderungen: Longitudinale und Survival-Modelle methodisch komplex. Modularer Ansatz für dynamische, interoperable Tools im EHDS erforderlich. Erfolgreiche Implementation braucht Integration von Statistik, Recht, IT und Governance.</w:t>
      </w:r>
    </w:p>
    <w:p>
      <w:r>
        <w:rPr>
          <w:b/>
          <w:sz w:val="19"/>
        </w:rPr>
        <w:t xml:space="preserve">Übertragbarkeit: </w:t>
      </w:r>
      <w:r>
        <w:rPr>
          <w:sz w:val="19"/>
        </w:rPr>
        <w:t>EU-Policy-Initiative, direkt relevant für deutsches eHealth-Recht und föderierte Datennutzung.</w:t>
      </w:r>
    </w:p>
    <w:p>
      <w:r>
        <w:rPr>
          <w:color w:val="5A7D3A"/>
          <w:sz w:val="18"/>
        </w:rPr>
        <w:t>https://pubmed.ncbi.nlm.nih.gov/42698935/</w:t>
      </w:r>
    </w:p>
    <w:p>
      <w:pPr>
        <w:pStyle w:val="Heading1"/>
      </w:pPr>
      <w:r>
        <w:t>Aufgenommen am 08.09.2026</w:t>
      </w:r>
    </w:p>
    <w:p>
      <w:pPr>
        <w:pStyle w:val="Heading2"/>
      </w:pPr>
      <w:r>
        <w:t>Geographische Ungleichheit in Nierenersatztherapie: Dialyse-Deserts in Philippinen</w:t>
      </w:r>
    </w:p>
    <w:p>
      <w:r>
        <w:rPr>
          <w:i/>
          <w:color w:val="666666"/>
          <w:sz w:val="18"/>
        </w:rPr>
        <w:t>Fajardo MS et al.  ·  Glob Health Action  ·  07.09.2026  ·  PMID 42703736</w:t>
      </w:r>
    </w:p>
    <w:p>
      <w:r>
        <w:t>Geographische Modellierung untersuchte, ob die Erweiterung von Peritonealdialyse auf bestehende Hämodialysezentren die Versorgungsabdeckung in unterversorgten ländlichen Regionen verbessern würde.</w:t>
      </w:r>
    </w:p>
    <w:p>
      <w:r>
        <w:rPr>
          <w:b/>
        </w:rPr>
        <w:t xml:space="preserve">Ergebnis: </w:t>
      </w:r>
      <w:r>
        <w:t>2023 lag die Versorgungsabdeckung innerhalb einer Stunde zu Hämodialysezentren bei nur 67,9 %, zu Peritonealdialyse bei 51,3 %; in der Region Mimaropa nur 36 %. Vollständige Integration von Peritonealdialyse würde zusätzlich 11 Millionen Menschen erreichen, besonders in Regionen ohne duale Behandlungsoptionen.</w:t>
      </w:r>
    </w:p>
    <w:p>
      <w:r>
        <w:rPr>
          <w:b/>
          <w:sz w:val="19"/>
        </w:rPr>
        <w:t xml:space="preserve">Übertragbarkeit: </w:t>
      </w:r>
      <w:r>
        <w:rPr>
          <w:sz w:val="19"/>
        </w:rPr>
        <w:t>Philippinen, strukturelle Ungleichheit; Befund zur Allokationsgerechtigkeit übertragbar auf Regionen mit geografischen Versorgungslücken.</w:t>
      </w:r>
    </w:p>
    <w:p>
      <w:r>
        <w:rPr>
          <w:color w:val="5A7D3A"/>
          <w:sz w:val="18"/>
        </w:rPr>
        <w:t>https://pubmed.ncbi.nlm.nih.gov/42703736/</w:t>
      </w:r>
    </w:p>
    <w:p>
      <w:pPr>
        <w:pStyle w:val="Heading2"/>
      </w:pPr>
      <w:r>
        <w:t>Therapietreue in stabiler COPD-Versorgung: 76,5 % Adhärenz mit besseren Outcomes</w:t>
      </w:r>
    </w:p>
    <w:p>
      <w:r>
        <w:rPr>
          <w:i/>
          <w:color w:val="666666"/>
          <w:sz w:val="18"/>
        </w:rPr>
        <w:t>Dang KD et al.  ·  Pulm Med  ·  2026  ·  PMID 42703034</w:t>
      </w:r>
    </w:p>
    <w:p>
      <w:r>
        <w:t>Querschnittsstudie in Vietnam untersuchte die Medikamentenadhärenz (MMAS-8) und Behandlungseffektivität bei stabiler COPD über 3 Monate Nachverfolgung.</w:t>
      </w:r>
    </w:p>
    <w:p>
      <w:r>
        <w:rPr>
          <w:b/>
        </w:rPr>
        <w:t xml:space="preserve">Ergebnis: </w:t>
      </w:r>
      <w:r>
        <w:t>Nach 3 Monaten lag die Therapietreue bei 76,5 %. Therapieregimen signifikant mit Adhärenz verbunden (p&lt;0,001): Kombinationen mit LABA/ICS+LABA+SABA zeigten höhere Adhärenz. Gesamtverbesserungsrate der Behandlungseffektivität: 70,3 % (Exazerbation/Krankenhausaufenthalt 23,0 %, mMRC 32,3 %, CAT 66,0 %). Therapietreue und Nichtrauchen waren stärkste Vorhersagefaktoren für Effektivität (OR über Spanne erheblich).</w:t>
      </w:r>
    </w:p>
    <w:p>
      <w:r>
        <w:rPr>
          <w:b/>
          <w:sz w:val="19"/>
        </w:rPr>
        <w:t xml:space="preserve">Übertragbarkeit: </w:t>
      </w:r>
      <w:r>
        <w:rPr>
          <w:sz w:val="19"/>
        </w:rPr>
        <w:t>Vietnam, Primärversorgung, Schwellenland; Therapietreue-Befunde übertragbar auf Praxen.</w:t>
      </w:r>
    </w:p>
    <w:p>
      <w:r>
        <w:rPr>
          <w:color w:val="5A7D3A"/>
          <w:sz w:val="18"/>
        </w:rPr>
        <w:t>https://pubmed.ncbi.nlm.nih.gov/42703034/</w:t>
      </w:r>
    </w:p>
    <w:p>
      <w:pPr>
        <w:pStyle w:val="Heading2"/>
      </w:pPr>
      <w:r>
        <w:t>Standardisierte Chronikerversorgung senkt Mehrfacherkrankungen in China um 9–14 %</w:t>
      </w:r>
    </w:p>
    <w:p>
      <w:r>
        <w:rPr>
          <w:i/>
          <w:color w:val="666666"/>
          <w:sz w:val="18"/>
        </w:rPr>
        <w:t>Liu L et al.  ·  Nat Commun  ·  07.08.2026  ·  PMID 42702613</w:t>
      </w:r>
    </w:p>
    <w:p>
      <w:r>
        <w:t>Große Kohortenstudie untersuchte, ob die Teilnahme an einem standardisierten Disease-Management-Programm für Hypertonie und Diabetes die Wahrscheinlichkeit weiterer chronischer Erkrankungen reduziert.</w:t>
      </w:r>
    </w:p>
    <w:p>
      <w:r>
        <w:rPr>
          <w:b/>
        </w:rPr>
        <w:t xml:space="preserve">Ergebnis: </w:t>
      </w:r>
      <w:r>
        <w:t>Bei 701.759 Patienten mit neu diagnostizierter Hypertonie und 320.179 mit Diabetes reduzierte die Programmanmeldung das Gesamtrisiko für Mehrfacherkrankungen um 9 % bzw. 14 % (instrumentelle Variablenschätzung). Teilnehmer zeigten niedrigere Risiken für über 20 chronische Erkrankungen. Interventionsspezifische Analysen: Alkoholverzicht, Medikamentenadhärenz und psychosoziale Unterstützung reduzierten das Risiko multiple chronischer Erkrankungen bei beiden Patientengruppen.</w:t>
      </w:r>
    </w:p>
    <w:p>
      <w:r>
        <w:rPr>
          <w:b/>
          <w:sz w:val="19"/>
        </w:rPr>
        <w:t xml:space="preserve">Übertragbarkeit: </w:t>
      </w:r>
      <w:r>
        <w:rPr>
          <w:sz w:val="19"/>
        </w:rPr>
        <w:t>China, 2017–2023, großes elektronisches Gesundheitsregister, Gesundheitssystem mit Koordination ähnlich wie deutsches DMP.</w:t>
      </w:r>
    </w:p>
    <w:p>
      <w:r>
        <w:rPr>
          <w:color w:val="5A7D3A"/>
          <w:sz w:val="18"/>
        </w:rPr>
        <w:t>https://pubmed.ncbi.nlm.nih.gov/42702613/</w:t>
      </w:r>
    </w:p>
    <w:p>
      <w:pPr>
        <w:pStyle w:val="Heading2"/>
      </w:pPr>
      <w:r>
        <w:t>Screening durch Routineuntersuchungen senkt Mehrfacherkrankungen bei niedriger initialer Last</w:t>
      </w:r>
    </w:p>
    <w:p>
      <w:r>
        <w:rPr>
          <w:i/>
          <w:color w:val="666666"/>
          <w:sz w:val="18"/>
        </w:rPr>
        <w:t>Ao Y et al.  ·  Glob Health Res Policy  ·  29.06.2026  ·  PMID 42699226</w:t>
      </w:r>
    </w:p>
    <w:p>
      <w:r>
        <w:t>Longitudinale Kohortenstudie (CHARLS 2013–2020) prüfte, ob kontinuierliche Teilnahme an Routineuntersuchungen lange Trajektorien von Mehrfacherkrankungen bei Erwachsenen ≥45 Jahren beeinflusst.</w:t>
      </w:r>
    </w:p>
    <w:p>
      <w:r>
        <w:rPr>
          <w:b/>
        </w:rPr>
        <w:t xml:space="preserve">Ergebnis: </w:t>
      </w:r>
      <w:r>
        <w:t>Von 12.510 Teilnehmern wurden 6 Trajektorie-Klassen identifiziert. Unadjustiert: Kontinuierliche Screening-Teilnehmende hatten höhere Wahrscheinlichkeit für ungünstige Trajektorien (RRR 2,249 bzw. 7,124). Nach Adjustierung für Baseline-Last: Teilnehmende mit niedriger initialer Last hatten niedrigere Wahrscheinlichkeit ungünstiger Trajektorien (RRR 0,456; 95 % CI 0,278–0,748; p&lt;0,01) vs. Nicht-Teilnehmende. Effekt moderiert durch Alter und Baseline-Krankheitslast.</w:t>
      </w:r>
    </w:p>
    <w:p>
      <w:r>
        <w:rPr>
          <w:b/>
          <w:sz w:val="19"/>
        </w:rPr>
        <w:t xml:space="preserve">Übertragbarkeit: </w:t>
      </w:r>
      <w:r>
        <w:rPr>
          <w:sz w:val="19"/>
        </w:rPr>
        <w:t>China, nationale Längsschnittstudie, kostenlose Screenings, vergleichbar mit DMP-Modellen.</w:t>
      </w:r>
    </w:p>
    <w:p>
      <w:r>
        <w:rPr>
          <w:color w:val="5A7D3A"/>
          <w:sz w:val="18"/>
        </w:rPr>
        <w:t>https://pubmed.ncbi.nlm.nih.gov/42699226/</w:t>
      </w:r>
    </w:p>
    <w:p>
      <w:pPr>
        <w:pStyle w:val="Heading2"/>
      </w:pPr>
      <w:r>
        <w:t>Neuer Risikoindex vorhersagt Mehrfacherkrankungen kardio-metabol. Systems</w:t>
      </w:r>
    </w:p>
    <w:p>
      <w:r>
        <w:rPr>
          <w:i/>
          <w:color w:val="666666"/>
          <w:sz w:val="18"/>
        </w:rPr>
        <w:t>Kunutsor SK et al.  ·  Prim Care Diabetes  ·  25.08.2026  ·  PMID 42642323</w:t>
      </w:r>
    </w:p>
    <w:p>
      <w:r>
        <w:t>Studie prüfte, ob ein neuer Blutfettindex (AIP, TyG-Index) das Risiko für Mehrfacherkrankungen (Hypertonie, Herzerkrankung, Diabetes) besser vorhersagt als konventionelle Lipidmarker.</w:t>
      </w:r>
    </w:p>
    <w:p>
      <w:r>
        <w:rPr>
          <w:b/>
        </w:rPr>
        <w:t xml:space="preserve">Ergebnis: </w:t>
      </w:r>
      <w:r>
        <w:t>Beide neuen Indizes zeigten positive Assoziationen mit kardiometabolischen Mehrfacherkrankungen (AIP: OR 1,41 pro SD, TyG: OR 1,51). Die Vorhersageverbesserung durch Einschluss dieser Indizes war bescheiden (Diskriminierungsverbesserung 0,029–0,038). Dies deutet auf klinische Relevanz, aber begrenzte zusätzliche Vorhersagekraft hin.</w:t>
      </w:r>
    </w:p>
    <w:p>
      <w:r>
        <w:rPr>
          <w:b/>
          <w:sz w:val="19"/>
        </w:rPr>
        <w:t xml:space="preserve">Übertragbarkeit: </w:t>
      </w:r>
      <w:r>
        <w:rPr>
          <w:sz w:val="19"/>
        </w:rPr>
        <w:t>England, 12–15 Jahre Nachbeobachtung, öffentliches Gesundheitssystem, vergleichbar.</w:t>
      </w:r>
    </w:p>
    <w:p>
      <w:r>
        <w:rPr>
          <w:color w:val="5A7D3A"/>
          <w:sz w:val="18"/>
        </w:rPr>
        <w:t>https://pubmed.ncbi.nlm.nih.gov/42642323/</w:t>
      </w:r>
    </w:p>
    <w:p>
      <w:pPr>
        <w:pStyle w:val="Heading2"/>
      </w:pPr>
      <w:r>
        <w:t>Leberstoffwechsel und frühe Nierenschädigung: Marker für kardio-renale Prävention</w:t>
      </w:r>
    </w:p>
    <w:p>
      <w:r>
        <w:rPr>
          <w:i/>
          <w:color w:val="666666"/>
          <w:sz w:val="18"/>
        </w:rPr>
        <w:t>Mungamba MM et al.  ·  J Glob Health  ·  24.07.2026  ·  PMID 42495747</w:t>
      </w:r>
    </w:p>
    <w:p>
      <w:r>
        <w:t>Prospektive Kohortenstudie prüfte, ob Leberfunktionsmarker (GGT, ALT, AST, Fatty-Liver-Index) mit dem Auftreten chronischer Nierenerkrankung über 6 Jahre korrelieren.</w:t>
      </w:r>
    </w:p>
    <w:p>
      <w:r>
        <w:rPr>
          <w:b/>
        </w:rPr>
        <w:t xml:space="preserve">Ergebnis: </w:t>
      </w:r>
      <w:r>
        <w:t>Von 1.832 Patienten ohne CKD bei Baseline entwickelten 11 % CKD, 9,7 % Albuminurie, 2,3 % eGFR-Abfall. Höhere GGT (aIRR 1,12; 95 % CI 1,01–1,23), ALT (aIRR 1,27; 95 % CI 1,04–1,50) und AST (aIRR 1,20; 95 % CI 1,04–1,34) assoziiert mit Inzidenz-CKD; primär über Albuminurie-Pfad. Erhöhter FLI mit CKD (aIRR 1,92; 95 % CI 1,14–3,18) und Albuminurie (aIRR 2,15; 95 % CI 1,24–3,68) verbunden. Stützt Leber-Nieren-Achse als potenziellen Präventionsziel.</w:t>
      </w:r>
    </w:p>
    <w:p>
      <w:r>
        <w:rPr>
          <w:b/>
          <w:sz w:val="19"/>
        </w:rPr>
        <w:t xml:space="preserve">Übertragbarkeit: </w:t>
      </w:r>
      <w:r>
        <w:rPr>
          <w:sz w:val="19"/>
        </w:rPr>
        <w:t>Ghana/Niederlande, transkontinentale Kohorte mit Mehrfacherkrankungs-Fokus; Befund zur kardiometabolischen Prävention übertragbar.</w:t>
      </w:r>
    </w:p>
    <w:p>
      <w:r>
        <w:rPr>
          <w:color w:val="5A7D3A"/>
          <w:sz w:val="18"/>
        </w:rPr>
        <w:t>https://pubmed.ncbi.nlm.nih.gov/42495747/</w:t>
      </w:r>
    </w:p>
    <w:p>
      <w:pPr>
        <w:pStyle w:val="Heading1"/>
      </w:pPr>
      <w:r>
        <w:t>Aufgenommen am 07.09.2026</w:t>
      </w:r>
    </w:p>
    <w:p>
      <w:pPr>
        <w:pStyle w:val="Heading2"/>
      </w:pPr>
      <w:r>
        <w:t>Mehrfacherkrankung reduziert Ansprechen auf Urticaria-Therapie um 50%</w:t>
      </w:r>
    </w:p>
    <w:p>
      <w:r>
        <w:rPr>
          <w:i/>
          <w:color w:val="666666"/>
          <w:sz w:val="18"/>
        </w:rPr>
        <w:t>Lapi F et al.  ·  Eur J Dermatol  ·  01.08.2026  ·  PMID 42702025</w:t>
      </w:r>
    </w:p>
    <w:p>
      <w:r>
        <w:t>Italienische Hausarztdaten von 7018 Patienten mit chronischer spontaner Urtikaria zeigten, welche Faktoren zum Therapieversagen führen.</w:t>
      </w:r>
    </w:p>
    <w:p>
      <w:r>
        <w:rPr>
          <w:b/>
        </w:rPr>
        <w:t xml:space="preserve">Ergebnis: </w:t>
      </w:r>
      <w:r>
        <w:t>50% der Patienten sprachen nicht auf H1-Antihistamine und/oder Steroide an. Risikofaktoren für Therapieversagen: Alter über 55 Jahre, Autoimmunthyreoiditis, Asthma/COPD, Allergien und Immunsuppressiva (HR 1,52). Patienten mit Therapieversagen wurden 52% häufiger an Fachärzte überwiesen.</w:t>
      </w:r>
    </w:p>
    <w:p>
      <w:r>
        <w:rPr>
          <w:b/>
          <w:sz w:val="19"/>
        </w:rPr>
        <w:t xml:space="preserve">Übertragbarkeit: </w:t>
      </w:r>
      <w:r>
        <w:rPr>
          <w:sz w:val="19"/>
        </w:rPr>
        <w:t>Italien, vergleichbare Primärversorgungsstruktur, großes epidemiologisches Register</w:t>
      </w:r>
    </w:p>
    <w:p>
      <w:r>
        <w:rPr>
          <w:color w:val="5A7D3A"/>
          <w:sz w:val="18"/>
        </w:rPr>
        <w:t>https://pubmed.ncbi.nlm.nih.gov/42702025/</w:t>
      </w:r>
    </w:p>
    <w:p>
      <w:pPr>
        <w:pStyle w:val="Heading2"/>
      </w:pPr>
      <w:r>
        <w:t>Web-gestützte Bewegungsintervention erhöht Aktivität bei COPD um 1410 Schritte pro Tag</w:t>
      </w:r>
    </w:p>
    <w:p>
      <w:r>
        <w:rPr>
          <w:i/>
          <w:color w:val="666666"/>
          <w:sz w:val="18"/>
        </w:rPr>
        <w:t>Bamonti PM et al.  ·  Int J Chron Obstruct Pulmon Dis  ·  01.09.2026  ·  PMID 42701779</w:t>
      </w:r>
    </w:p>
    <w:p>
      <w:r>
        <w:t>Randomisierte US-Studie mit 109 COPD-Patienten testete webgestützte Pedometer-Intervention zur Steigerung von Menge und Intensität physischer Aktivität.</w:t>
      </w:r>
    </w:p>
    <w:p>
      <w:r>
        <w:rPr>
          <w:b/>
        </w:rPr>
        <w:t xml:space="preserve">Ergebnis: </w:t>
      </w:r>
      <w:r>
        <w:t>Interventionsgruppe erhöhte durchschnittliche tägliche Schritte um 1410 mehr als Kontrolle (p=0,005). Übergänge von unteraktiv zu aktiv: 41% in der Interventionsgruppe (p=0,001 within-group). Einhaltung war über 12 Wochen gut, mit positiven Bewertungen für Vertrauen und Vergnügen.</w:t>
      </w:r>
    </w:p>
    <w:p>
      <w:r>
        <w:rPr>
          <w:b/>
          <w:sz w:val="19"/>
        </w:rPr>
        <w:t xml:space="preserve">Übertragbarkeit: </w:t>
      </w:r>
      <w:r>
        <w:rPr>
          <w:sz w:val="19"/>
        </w:rPr>
        <w:t>USA, Sicherheitsaspekte und Effektivität übertragbar, aber Umsetzung in Deutschland anders</w:t>
      </w:r>
    </w:p>
    <w:p>
      <w:r>
        <w:rPr>
          <w:color w:val="5A7D3A"/>
          <w:sz w:val="18"/>
        </w:rPr>
        <w:t>https://pubmed.ncbi.nlm.nih.gov/42701779/</w:t>
      </w:r>
    </w:p>
    <w:p>
      <w:pPr>
        <w:pStyle w:val="Heading2"/>
      </w:pPr>
      <w:r>
        <w:t>Zentrale Adipositas verdoppelt Mortalitätsrisiko bei chronischer Nierenerkrankung</w:t>
      </w:r>
    </w:p>
    <w:p>
      <w:r>
        <w:rPr>
          <w:i/>
          <w:color w:val="666666"/>
          <w:sz w:val="18"/>
        </w:rPr>
        <w:t>Zhou H et al.  ·  Medicine (Baltimore)  ·  04.09.2026  ·  PMID 42700084</w:t>
      </w:r>
    </w:p>
    <w:p>
      <w:r>
        <w:t>US-NHANES-Kohortenstudie mit 5582 CKD-Patienten (1999-2018) untersuchte, ob das weight-adjusted waist index (WWI) mit Gesamt- und kardiovaskulärer Mortalität assoziiert ist.</w:t>
      </w:r>
    </w:p>
    <w:p>
      <w:r>
        <w:rPr>
          <w:b/>
        </w:rPr>
        <w:t xml:space="preserve">Ergebnis: </w:t>
      </w:r>
      <w:r>
        <w:t>Erhöhtes WWI assoziiert mit höherem Gesamtmortalitätsrisiko (aHR 1,17, 95% CI 1,09-1,26, p&lt;0,001) und kardiovaskulärem Mortalitätsrisiko (aHR 1,24, 95% CI 1,09-1,41, p=0,001). Lineare positive Beziehung zu beiden Outcomes. Neutrophilen-Lymphozyten-Verhältnis vermittelte 6,66% des Effekts auf Gesamtmortalität.</w:t>
      </w:r>
    </w:p>
    <w:p>
      <w:r>
        <w:rPr>
          <w:b/>
          <w:sz w:val="19"/>
        </w:rPr>
        <w:t xml:space="preserve">Übertragbarkeit: </w:t>
      </w:r>
      <w:r>
        <w:rPr>
          <w:sz w:val="19"/>
        </w:rPr>
        <w:t>USA-Daten, aber zentrale Adipositas als Risikofaktor in allen Systemen relevant</w:t>
      </w:r>
    </w:p>
    <w:p>
      <w:r>
        <w:rPr>
          <w:color w:val="5A7D3A"/>
          <w:sz w:val="18"/>
        </w:rPr>
        <w:t>https://pubmed.ncbi.nlm.nih.gov/42700084/</w:t>
      </w:r>
    </w:p>
    <w:p>
      <w:pPr>
        <w:pStyle w:val="Heading2"/>
      </w:pPr>
      <w:r>
        <w:t>Minimalausstattungs-Zirkeltraining erreicht 72% trainings-wirksamer Intensität bei Atemwegserkrankungen</w:t>
      </w:r>
    </w:p>
    <w:p>
      <w:r>
        <w:rPr>
          <w:i/>
          <w:color w:val="666666"/>
          <w:sz w:val="18"/>
        </w:rPr>
        <w:t>Mellerick CR et al.  ·  Chron Respir Dis  ·  04.09.2026  ·  PMID 42696318</w:t>
      </w:r>
    </w:p>
    <w:p>
      <w:r>
        <w:t>Australische Studie mit 18 Patienten mit chronischen Atemwegserkrankungen evaluierte, ob Zirkeltraining ohne großes Equipment erforderliche Trainingsintensität (≥60% VO2peak) erreicht.</w:t>
      </w:r>
    </w:p>
    <w:p>
      <w:r>
        <w:rPr>
          <w:b/>
        </w:rPr>
        <w:t xml:space="preserve">Ergebnis: </w:t>
      </w:r>
      <w:r>
        <w:t>Durchschnittlich 72% (21%) der Sitzung erreichte ≥60% VO2peak; 40 [32-47] Minuten über diesem Schwellwert. 83% (15/18) erreichten Zielintensität für ≥30 Minuten. Teilnehmer berichteten hohe Bewertungen für Vertrauen, Komfort und Vergnügen.</w:t>
      </w:r>
    </w:p>
    <w:p>
      <w:r>
        <w:rPr>
          <w:b/>
          <w:sz w:val="19"/>
        </w:rPr>
        <w:t xml:space="preserve">Übertragbarkeit: </w:t>
      </w:r>
      <w:r>
        <w:rPr>
          <w:sz w:val="19"/>
        </w:rPr>
        <w:t>Australien, vergleichbare Rehabilitationsstruktur, aber Übertragbarkeit auf DMP-System zu prüfen</w:t>
      </w:r>
    </w:p>
    <w:p>
      <w:r>
        <w:rPr>
          <w:color w:val="5A7D3A"/>
          <w:sz w:val="18"/>
        </w:rPr>
        <w:t>https://pubmed.ncbi.nlm.nih.gov/42696318/</w:t>
      </w:r>
    </w:p>
    <w:p>
      <w:pPr>
        <w:pStyle w:val="Heading2"/>
      </w:pPr>
      <w:r>
        <w:t>Soziale Isolation erhöht Sedentarität bei schwerem COPD um 1,5 Stunden täglich</w:t>
      </w:r>
    </w:p>
    <w:p>
      <w:r>
        <w:rPr>
          <w:i/>
          <w:color w:val="666666"/>
          <w:sz w:val="18"/>
        </w:rPr>
        <w:t>Harding S et al.  ·  COPD  ·  02.08.2026  ·  PMID 42695939</w:t>
      </w:r>
    </w:p>
    <w:p>
      <w:r>
        <w:t>UK-Biobank-Studie mit 1558 COPD-Patienten untersuchte, wie Deprivation und Isolation mit Bewegungsmangel assoziiert sind.</w:t>
      </w:r>
    </w:p>
    <w:p>
      <w:r>
        <w:rPr>
          <w:b/>
        </w:rPr>
        <w:t xml:space="preserve">Ergebnis: </w:t>
      </w:r>
      <w:r>
        <w:t>Sedentarität stieg mit Schweregrad (GOLD 4 vs. GOLD 1: +19% pro Tag). Soziale Isolation führte zu zusätzlich 1,5 h Sedentarität täglich in schwererem COPD (GOLD 3-4, p=0,004). Deprivation wirkte stärker bei milder Erkrankung.</w:t>
      </w:r>
    </w:p>
    <w:p>
      <w:r>
        <w:rPr>
          <w:b/>
          <w:sz w:val="19"/>
        </w:rPr>
        <w:t xml:space="preserve">Übertragbarkeit: </w:t>
      </w:r>
      <w:r>
        <w:rPr>
          <w:sz w:val="19"/>
        </w:rPr>
        <w:t>Großbritannien, vergleichbares Versicherungssystem und epidemiologische Datenqualität</w:t>
      </w:r>
    </w:p>
    <w:p>
      <w:r>
        <w:rPr>
          <w:color w:val="5A7D3A"/>
          <w:sz w:val="18"/>
        </w:rPr>
        <w:t>https://pubmed.ncbi.nlm.nih.gov/42695939/</w:t>
      </w:r>
    </w:p>
    <w:p>
      <w:pPr>
        <w:pStyle w:val="Heading2"/>
      </w:pPr>
      <w:r>
        <w:t>Chronische Nierenschädigung bei 42% der Kinder nach Ifosfamid-Chemotherapie</w:t>
      </w:r>
    </w:p>
    <w:p>
      <w:r>
        <w:rPr>
          <w:i/>
          <w:color w:val="666666"/>
          <w:sz w:val="18"/>
        </w:rPr>
        <w:t>Pitlo L et al.  ·  Cancer Med  ·  Sept. 2026  ·  PMID 42670233</w:t>
      </w:r>
    </w:p>
    <w:p>
      <w:r>
        <w:t>Niederländische Kohorte von 292 Kindern untersuchte Häufigkeit und Determinanten chronischer Nierenerkrankung in den ersten 5 Jahren nach Ifosfamid-Chemotherapie.</w:t>
      </w:r>
    </w:p>
    <w:p>
      <w:r>
        <w:rPr>
          <w:b/>
        </w:rPr>
        <w:t xml:space="preserve">Ergebnis: </w:t>
      </w:r>
      <w:r>
        <w:t>Prävalenz chronischer Nierenschädigung: 42,1% (123/292 Patienten); 29 Patienten mit Risiko für Nierenversagen (eGFR &lt;60). Risikofaktoren: Ifosfamid-Dosis 30-59,9 g/m² (HR 1,95) oder &gt;60 g/m² (HR 4,09), Alter bei Diagnose (HR 1,12 pro Jahr), ≥2 akute Nierenversagen während Therapie (HR 3,81).</w:t>
      </w:r>
    </w:p>
    <w:p>
      <w:r>
        <w:rPr>
          <w:b/>
          <w:sz w:val="19"/>
        </w:rPr>
        <w:t xml:space="preserve">Übertragbarkeit: </w:t>
      </w:r>
      <w:r>
        <w:rPr>
          <w:sz w:val="19"/>
        </w:rPr>
        <w:t>Niederlande, vergleichbares Gesundheitssystem und Dokumentationsstandards</w:t>
      </w:r>
    </w:p>
    <w:p>
      <w:r>
        <w:rPr>
          <w:color w:val="5A7D3A"/>
          <w:sz w:val="18"/>
        </w:rPr>
        <w:t>https://pubmed.ncbi.nlm.nih.gov/42670233/</w:t>
      </w:r>
    </w:p>
    <w:p>
      <w:pPr>
        <w:pStyle w:val="Heading1"/>
      </w:pPr>
      <w:r>
        <w:t>Aufgenommen am 06.09.2026</w:t>
      </w:r>
    </w:p>
    <w:p>
      <w:pPr>
        <w:pStyle w:val="Heading2"/>
      </w:pPr>
      <w:r>
        <w:t>Probiotikum Lactobacillus plantarum stabilisiert Nierenfunktion bei CKD Stadium 3-4</w:t>
      </w:r>
    </w:p>
    <w:p>
      <w:r>
        <w:rPr>
          <w:i/>
          <w:color w:val="666666"/>
          <w:sz w:val="18"/>
        </w:rPr>
        <w:t>Saleh SE et al.  ·  Sci Rep  ·  04.09.2026  ·  PMID 42697907</w:t>
      </w:r>
    </w:p>
    <w:p>
      <w:r>
        <w:t>Doppelblinde, randomisierte, placebokontrollierte Studie an 72 Patienten mit CKD Stadium 3-4 (keine Hämodialyse) über 6 Monate: Lactobacillus plantarum 10¹⁰ CFU täglich versus Placebo, primärer Endpunkt Änderung der eGFR.</w:t>
      </w:r>
    </w:p>
    <w:p>
      <w:r>
        <w:rPr>
          <w:b/>
        </w:rPr>
        <w:t xml:space="preserve">Ergebnis: </w:t>
      </w:r>
      <w:r>
        <w:t>Probiotika-Gruppe zeigte signifikanten eGFR-Anstieg, Placebo-Gruppe Rückgang; 0 Probiotika-Patienten versus 8,6% Placebo zeigten CKD-Progression. Effekt war unabhängig von Diabetesstatus und CKD-Stadium. Kein signifikanter Unterschied in Indoxyl-Sulfat-Spiegeln zwischen den Gruppen.</w:t>
      </w:r>
    </w:p>
    <w:p>
      <w:r>
        <w:rPr>
          <w:b/>
          <w:sz w:val="19"/>
        </w:rPr>
        <w:t xml:space="preserve">Übertragbarkeit: </w:t>
      </w:r>
      <w:r>
        <w:rPr>
          <w:sz w:val="19"/>
        </w:rPr>
        <w:t>Ägyptisches Zentrum, Mechanismus unabhängig von Region, weitere Validierung nötig</w:t>
      </w:r>
    </w:p>
    <w:p>
      <w:r>
        <w:rPr>
          <w:color w:val="5A7D3A"/>
          <w:sz w:val="18"/>
        </w:rPr>
        <w:t>https://pubmed.ncbi.nlm.nih.gov/42697907/</w:t>
      </w:r>
    </w:p>
    <w:p>
      <w:pPr>
        <w:pStyle w:val="Heading2"/>
      </w:pPr>
      <w:r>
        <w:t>Antikoagulation bei Vorhofflimmern mit CKD Stadium 4-5: Apixaban senkt Schlaganfälle</w:t>
      </w:r>
    </w:p>
    <w:p>
      <w:r>
        <w:rPr>
          <w:i/>
          <w:color w:val="666666"/>
          <w:sz w:val="18"/>
        </w:rPr>
        <w:t>Chen Q et al.  ·  JAMA Netw Open  ·  01.09.2026  ·  PMID 42696280</w:t>
      </w:r>
    </w:p>
    <w:p>
      <w:r>
        <w:t>Retrospektive Kohortenstudie mit Zieltriallemulation an 42.052 Medicare- und Optum-Versicherten mit Vorhofflimmern und CKD Stadium 4-5 ohne Dialyse (Jan 2013–Feb 2025), Vergleich von Apixaban, Warfarin und Keine Antikoagulation.</w:t>
      </w:r>
    </w:p>
    <w:p>
      <w:r>
        <w:rPr>
          <w:b/>
        </w:rPr>
        <w:t xml:space="preserve">Ergebnis: </w:t>
      </w:r>
      <w:r>
        <w:t>Apixaban reduzierte Schlaganfallrate im Vergleich zu Kein-Antikoagulation (HR 0,46; 95%-KI 0,32–0,66), erhöhte aber Blutungsrate (HR 1,32; 95%-KI 1,11–1,58). Warfarin hatte höhere Blutungs- und Kompositrisiken. Apixaban versus Warfarin: HR 0,55 für schwere Blutungen (KI 0,46–0,65), HR 0,50 für Schlaganfall (KI 0,33–0,78).</w:t>
      </w:r>
    </w:p>
    <w:p>
      <w:r>
        <w:rPr>
          <w:b/>
          <w:sz w:val="19"/>
        </w:rPr>
        <w:t xml:space="preserve">Übertragbarkeit: </w:t>
      </w:r>
      <w:r>
        <w:rPr>
          <w:sz w:val="19"/>
        </w:rPr>
        <w:t>USA-Versichertendaten, Wirkmechanismus unabhängig von Gesundheitssystem übertragbar</w:t>
      </w:r>
    </w:p>
    <w:p>
      <w:r>
        <w:rPr>
          <w:color w:val="5A7D3A"/>
          <w:sz w:val="18"/>
        </w:rPr>
        <w:t>https://pubmed.ncbi.nlm.nih.gov/42696280/</w:t>
      </w:r>
    </w:p>
    <w:p>
      <w:pPr>
        <w:pStyle w:val="Heading2"/>
      </w:pPr>
      <w:r>
        <w:t>Nierenfunktion und Urämietoxine korrelieren mit kognitiven Defiziten bei CKD</w:t>
      </w:r>
    </w:p>
    <w:p>
      <w:r>
        <w:rPr>
          <w:i/>
          <w:color w:val="666666"/>
          <w:sz w:val="18"/>
        </w:rPr>
        <w:t>Cheng TW et al.  ·  Int J Med Sci  ·  30.07.2026  ·  PMID 42694884</w:t>
      </w:r>
    </w:p>
    <w:p>
      <w:r>
        <w:t>Pilot-Beobachtungsstudie an 12 Patienten mit CKD Stadium 3-5 und früher kognitiver Einschränkung: Messung von Serumindoxyl-Sulfat, Serum-p-Kresyl-Sulfat, Brain-MRI und kognitiver Funktion per CANTAB.</w:t>
      </w:r>
    </w:p>
    <w:p>
      <w:r>
        <w:rPr>
          <w:b/>
        </w:rPr>
        <w:t xml:space="preserve">Ergebnis: </w:t>
      </w:r>
      <w:r>
        <w:t>Höhere eGFR korrelierte mit besserer räumlicher Arbeitsgedächtnisleistung (r = 0,695, p = 0,012). Indoxyl-Sulfat und p-Kresyl-Sulfat zeigten inverse Korrelation mit eGFR (r = -0,301 bis -0,461), aber keine klare Assoziation mit kognitiven Testergebnissen. MRI-Läsionenlast war gering, strukturelle Abnormitäten aber vorhanden.</w:t>
      </w:r>
    </w:p>
    <w:p>
      <w:r>
        <w:rPr>
          <w:b/>
          <w:sz w:val="19"/>
        </w:rPr>
        <w:t xml:space="preserve">Übertragbarkeit: </w:t>
      </w:r>
      <w:r>
        <w:rPr>
          <w:sz w:val="19"/>
        </w:rPr>
        <w:t>Taiwan, kleine Pilotstichprobe, Konzept der Mehrfacherkrankung mit kognitiven Folgen zentral</w:t>
      </w:r>
    </w:p>
    <w:p>
      <w:r>
        <w:rPr>
          <w:color w:val="5A7D3A"/>
          <w:sz w:val="18"/>
        </w:rPr>
        <w:t>https://pubmed.ncbi.nlm.nih.gov/42694884/</w:t>
      </w:r>
    </w:p>
    <w:p>
      <w:pPr>
        <w:pStyle w:val="Heading2"/>
      </w:pPr>
      <w:r>
        <w:t>Behandlungslast verschlechtert Gesundheit bei Mehrfacherkrankung: Stressanpassung hilft</w:t>
      </w:r>
    </w:p>
    <w:p>
      <w:r>
        <w:rPr>
          <w:i/>
          <w:color w:val="666666"/>
          <w:sz w:val="18"/>
        </w:rPr>
        <w:t>Shi Y et al.  ·  Front Public Health  ·  20.08.2026  ·  PMID 42694161</w:t>
      </w:r>
    </w:p>
    <w:p>
      <w:r>
        <w:t>Querschnittsuntersuchung mit Mediationsanalyse an 507 älteren Patienten mit komplexer Mehrfacherkrankung in Zhejiang, China; Beziehung zwischen Behandlungslast und ganzheitlichem Gesundheitsstatus.</w:t>
      </w:r>
    </w:p>
    <w:p>
      <w:r>
        <w:rPr>
          <w:b/>
        </w:rPr>
        <w:t xml:space="preserve">Ergebnis: </w:t>
      </w:r>
      <w:r>
        <w:t>Behandlungslast hatte direkten negativen Effekt auf Gesundheitsstatus (B = -0,263; 95%-KI -0,357 bis -0,168), Gesamteffekt -0,449 (KI -0,538 bis -0,360). Depressive Symptome und Stressanpassungskapazität mediierten diesen Effekt partiell (jeweils ca. 10% indirekte Effekte).</w:t>
      </w:r>
    </w:p>
    <w:p>
      <w:r>
        <w:rPr>
          <w:b/>
          <w:sz w:val="19"/>
        </w:rPr>
        <w:t xml:space="preserve">Übertragbarkeit: </w:t>
      </w:r>
      <w:r>
        <w:rPr>
          <w:sz w:val="19"/>
        </w:rPr>
        <w:t>China, aber Konzept der Behandlungslast international anerkannt, Intervention skalierbar</w:t>
      </w:r>
    </w:p>
    <w:p>
      <w:r>
        <w:rPr>
          <w:color w:val="5A7D3A"/>
          <w:sz w:val="18"/>
        </w:rPr>
        <w:t>https://pubmed.ncbi.nlm.nih.gov/42694161/</w:t>
      </w:r>
    </w:p>
    <w:p>
      <w:pPr>
        <w:pStyle w:val="Heading2"/>
      </w:pPr>
      <w:r>
        <w:t>Nephrologen unterschätzen Symptombelastung bei CKD – Patientensicht zählt</w:t>
      </w:r>
    </w:p>
    <w:p>
      <w:r>
        <w:rPr>
          <w:i/>
          <w:color w:val="666666"/>
          <w:sz w:val="18"/>
        </w:rPr>
        <w:t>Jessen B et al.  ·  Inn Med (Heidelb)  ·  22.07.2026  ·  PMID 42484874</w:t>
      </w:r>
    </w:p>
    <w:p>
      <w:r>
        <w:t>Deutschlandweite Online-Befragung: 108 Nephrologen bewerteten durchschnittliche Symptombelastung bei CKD (Chronic Kidney Disease Symptom Burden Index, CKD-SBI), Vergleich mit Selbstangaben von 222 CKD-Patienten ohne Dialysepflicht.</w:t>
      </w:r>
    </w:p>
    <w:p>
      <w:r>
        <w:rPr>
          <w:b/>
        </w:rPr>
        <w:t xml:space="preserve">Ergebnis: </w:t>
      </w:r>
      <w:r>
        <w:t>Nephrologen nannten Fatigue (69,4%), Ödeme (38,9%), Hypertonie (35,2%) als häufigste; Patienten nannten Nykturie (74,3%), Fatigue (61,3%), Schlafstörungen (47,3%). Nephrologen überschätzten Gesamtbelastung und fünf Einzelsymptome signifikant, unterschätzten Belastung von 12 Symptomen.</w:t>
      </w:r>
    </w:p>
    <w:p>
      <w:r>
        <w:rPr>
          <w:b/>
          <w:sz w:val="19"/>
        </w:rPr>
        <w:t xml:space="preserve">Übertragbarkeit: </w:t>
      </w:r>
      <w:r>
        <w:rPr>
          <w:sz w:val="19"/>
        </w:rPr>
        <w:t>Deutschland, deutschsprachig, direkte Übertragbarkeit auf Praxis und Kliniken</w:t>
      </w:r>
    </w:p>
    <w:p>
      <w:r>
        <w:rPr>
          <w:color w:val="5A7D3A"/>
          <w:sz w:val="18"/>
        </w:rPr>
        <w:t>https://pubmed.ncbi.nlm.nih.gov/42484874/</w:t>
      </w:r>
    </w:p>
    <w:p>
      <w:pPr>
        <w:pStyle w:val="Heading2"/>
      </w:pPr>
      <w:r>
        <w:t>Wrist-Wearable Sensors erkennen COPD-Risiko früh durch digitale Gangmuster</w:t>
      </w:r>
    </w:p>
    <w:p>
      <w:r>
        <w:rPr>
          <w:i/>
          <w:color w:val="666666"/>
          <w:sz w:val="18"/>
        </w:rPr>
        <w:t>Fernandez N et al.  ·  Int J Chron Obstruct Pulmon Dis  ·  17.07.2026  ·  PMID 42482839</w:t>
      </w:r>
    </w:p>
    <w:p>
      <w:r>
        <w:t>Prospektive Kohortenstudie an 28.251 UK-Biobank-Teilnehmern (60-78 Jahre) mit Beschleunigungsmessern zur Prüfung, ob reale Mobilitätsmuster Hinweis auf künftiges COPD-Auftreten geben.</w:t>
      </w:r>
    </w:p>
    <w:p>
      <w:r>
        <w:rPr>
          <w:b/>
        </w:rPr>
        <w:t xml:space="preserve">Ergebnis: </w:t>
      </w:r>
      <w:r>
        <w:t>Bei 639 Teilnehmern (2,26%) trat COPD während des Beobachtungszeitraums von durchschnittlich 8,5 Jahren auf. Vier digitale Ganzbiomarker (niedrigere Laufdauer, langsamere maximale Gehgeschwindigkeit, kürzere Gehpausen, geringerer Anteil von Gängen länger als 8 Sekunden) waren unabhängig mit künftiger COPD assoziiert; ein Modell mit diesen vier Biomarkern plus Selbstangaben erreichte einen Konkordanzindex von 0,80 und ist damit vergleichbar mit klinischen Tests.</w:t>
      </w:r>
    </w:p>
    <w:p>
      <w:r>
        <w:rPr>
          <w:b/>
          <w:sz w:val="19"/>
        </w:rPr>
        <w:t xml:space="preserve">Übertragbarkeit: </w:t>
      </w:r>
      <w:r>
        <w:rPr>
          <w:sz w:val="19"/>
        </w:rPr>
        <w:t>UK-Biobank-Daten, digitale Biometrie auf Smartwatches übertragbar</w:t>
      </w:r>
    </w:p>
    <w:p>
      <w:r>
        <w:rPr>
          <w:color w:val="5A7D3A"/>
          <w:sz w:val="18"/>
        </w:rPr>
        <w:t>https://pubmed.ncbi.nlm.nih.gov/42482839/</w:t>
      </w:r>
    </w:p>
    <w:p>
      <w:pPr>
        <w:pStyle w:val="Heading1"/>
      </w:pPr>
      <w:r>
        <w:t>Aufgenommen am 05.09.2026</w:t>
      </w:r>
    </w:p>
    <w:p>
      <w:pPr>
        <w:pStyle w:val="Heading2"/>
      </w:pPr>
      <w:r>
        <w:t>Regionale Benachteiligung (nicht Einzelindividuum) prägte Leberfibrose bei HBV-Infektion</w:t>
      </w:r>
    </w:p>
    <w:p>
      <w:r>
        <w:rPr>
          <w:i/>
          <w:color w:val="666666"/>
          <w:sz w:val="18"/>
        </w:rPr>
        <w:t>Çiçek Y et al.  ·  Infect Dis Poverty  ·  03.09.2026  ·  PMID 42693478</w:t>
      </w:r>
    </w:p>
    <w:p>
      <w:r>
        <w:t>Nationale türkische Multicenterstudie (24 Zentren, n=956) zu Assoziation von Sozioökonomie (Individual- und Gebietsebene) mit Leberfibrosegrad bei CHB.</w:t>
      </w:r>
    </w:p>
    <w:p>
      <w:r>
        <w:rPr>
          <w:b/>
        </w:rPr>
        <w:t xml:space="preserve">Ergebnis: </w:t>
      </w:r>
      <w:r>
        <w:t>Leberfibrosegrad assoziiert mit älterem Alter (aOR 1,12 pro 10 Jahre), längerer Anfahrtszeit zu CHB-Fachzentrum (aOR 1,53 pro Kategorie, p&lt;0,001), aber vor allem mit niedriger Wohngebiets-Sozioökonomie (aOR 1,97 pro Stufe, p&lt;0,001); Vergleich höchste vs. niedrigste Stufe: aOR 26,00 (95%-KI 8,21–82,37).</w:t>
      </w:r>
    </w:p>
    <w:p>
      <w:r>
        <w:rPr>
          <w:b/>
          <w:sz w:val="19"/>
        </w:rPr>
        <w:t xml:space="preserve">Übertragbarkeit: </w:t>
      </w:r>
      <w:r>
        <w:rPr>
          <w:sz w:val="19"/>
        </w:rPr>
        <w:t>Türkei (vergleichbares Gesundheitswesen); regionale Ungleichheit oft unterschätzt, Koordinationszugang zentral für Prognose.</w:t>
      </w:r>
    </w:p>
    <w:p>
      <w:r>
        <w:rPr>
          <w:color w:val="5A7D3A"/>
          <w:sz w:val="18"/>
        </w:rPr>
        <w:t>https://pubmed.ncbi.nlm.nih.gov/42693478/</w:t>
      </w:r>
    </w:p>
    <w:p>
      <w:pPr>
        <w:pStyle w:val="Heading2"/>
      </w:pPr>
      <w:r>
        <w:t>Extracorporeal CO₂-Elimination verkürzte Beatmungsdauer bei schwerem COPD-Exazerbation</w:t>
      </w:r>
    </w:p>
    <w:p>
      <w:r>
        <w:rPr>
          <w:i/>
          <w:color w:val="666666"/>
          <w:sz w:val="18"/>
        </w:rPr>
        <w:t>Karagiannidis C et al.  ·  Crit Care  ·  03.09.2026  ·  PMID 42693471</w:t>
      </w:r>
    </w:p>
    <w:p>
      <w:r>
        <w:t>Randomisierte Studie zu ECCO₂R-gestützter Früh-Extubation vs. Standard-Beatmung bei invasiv beatmeten COPD-Patienten mit hypercapnischer Ateminsuffizienz.</w:t>
      </w:r>
    </w:p>
    <w:p>
      <w:r>
        <w:rPr>
          <w:b/>
        </w:rPr>
        <w:t xml:space="preserve">Ergebnis: </w:t>
      </w:r>
      <w:r>
        <w:t>ECCO₂R-Gruppe: Beatmungsdauer 7,1±2,0 Tage vs. Kontrolle 24,3±21,4 Tage (p=0,043); 0/8 vs. 3/9 (33 %) mit Tod/schwerer Behinderung; ventilatorassoziierte Pneumonie 0 vs. 37,5 %. Studie vorzeitig beendet (n=18, geplant 192), aber konsistente Trends für ECCO₂R.</w:t>
      </w:r>
    </w:p>
    <w:p>
      <w:r>
        <w:rPr>
          <w:b/>
          <w:sz w:val="19"/>
        </w:rPr>
        <w:t xml:space="preserve">Übertragbarkeit: </w:t>
      </w:r>
      <w:r>
        <w:rPr>
          <w:sz w:val="19"/>
        </w:rPr>
        <w:t>Deutschland: Spezialisierte Zentren, technische Verfügbarkeit und Kostenübernahme prüfen.</w:t>
      </w:r>
    </w:p>
    <w:p>
      <w:r>
        <w:rPr>
          <w:color w:val="5A7D3A"/>
          <w:sz w:val="18"/>
        </w:rPr>
        <w:t>https://pubmed.ncbi.nlm.nih.gov/42693471/</w:t>
      </w:r>
    </w:p>
    <w:p>
      <w:pPr>
        <w:pStyle w:val="Heading2"/>
      </w:pPr>
      <w:r>
        <w:t>Metabolisches Syndrom-Scoring sagte Mehrfacherkrankung voraus: 1,35-fache Risikoerhöhung</w:t>
      </w:r>
    </w:p>
    <w:p>
      <w:r>
        <w:rPr>
          <w:i/>
          <w:color w:val="666666"/>
          <w:sz w:val="18"/>
        </w:rPr>
        <w:t>Zhang W et al.  ·  Sci Rep  ·  24.07.2026  ·  PMID 42693153</w:t>
      </w:r>
    </w:p>
    <w:p>
      <w:r>
        <w:t>Prospektive Analyse von 17.894 Teilnehmern (China, USA, UK) zur Vorhersage kardiometabolischer Mehrfacherkrankung durch kontinuierliches Metabolisches-Syndrom-Score.</w:t>
      </w:r>
    </w:p>
    <w:p>
      <w:r>
        <w:rPr>
          <w:b/>
        </w:rPr>
        <w:t xml:space="preserve">Ergebnis: </w:t>
      </w:r>
      <w:r>
        <w:t>Über Medianfolgeup 4–7 Jahre: 1.061 Fälle kardiometabolischer Mehrfacherkrankung. Höchstes vs. niedriges Tertil des Score assoziiert mit HR 1,77–4,27 je nach Kohorte. Gepoolte HR pro 1-SD-Anstieg: 1,35 (95%-KI 1,17–1,56). Dosis-Wirkungs-Beziehung dosisabhängig oder linear.</w:t>
      </w:r>
    </w:p>
    <w:p>
      <w:r>
        <w:rPr>
          <w:b/>
          <w:sz w:val="19"/>
        </w:rPr>
        <w:t xml:space="preserve">Übertragbarkeit: </w:t>
      </w:r>
      <w:r>
        <w:rPr>
          <w:sz w:val="19"/>
        </w:rPr>
        <w:t>China, USA, UK; Risikostratifizierungsmodell universal anwendbar, aber externe Validierung ausstehend.</w:t>
      </w:r>
    </w:p>
    <w:p>
      <w:r>
        <w:rPr>
          <w:color w:val="5A7D3A"/>
          <w:sz w:val="18"/>
        </w:rPr>
        <w:t>https://pubmed.ncbi.nlm.nih.gov/42693153/</w:t>
      </w:r>
    </w:p>
    <w:p>
      <w:pPr>
        <w:pStyle w:val="Heading2"/>
      </w:pPr>
      <w:r>
        <w:t>ESA- und Eisenmanagement erforderte 1.093 Monats-Arbeitsstunden in französischen Dialysezentren</w:t>
      </w:r>
    </w:p>
    <w:p>
      <w:r>
        <w:rPr>
          <w:i/>
          <w:color w:val="666666"/>
          <w:sz w:val="18"/>
        </w:rPr>
        <w:t>El-Haik Y et al.  ·  Nephrol Ther  ·  01.08.2026  ·  PMID 42684151</w:t>
      </w:r>
    </w:p>
    <w:p>
      <w:r>
        <w:t>Organisatorische Belastungsanalyse von Erythropoese-Stimulatoren und intravenösem Eisen in 12 französischen Dialyseeinrichtungen.</w:t>
      </w:r>
    </w:p>
    <w:p>
      <w:r>
        <w:rPr>
          <w:b/>
        </w:rPr>
        <w:t xml:space="preserve">Ergebnis: </w:t>
      </w:r>
      <w:r>
        <w:t>ESA-Management 313,9 h/Monat pro Zentrum (davon 285,3 h Vorbereitung/Verabreichung/Monitoring); IV-Eisen-Management 779,3 h/Monat (664 h Verabreichung/Monitoring). 74,2 % der Kühllagerfläche für ESAs.</w:t>
      </w:r>
    </w:p>
    <w:p>
      <w:r>
        <w:rPr>
          <w:b/>
          <w:sz w:val="19"/>
        </w:rPr>
        <w:t xml:space="preserve">Übertragbarkeit: </w:t>
      </w:r>
      <w:r>
        <w:rPr>
          <w:sz w:val="19"/>
        </w:rPr>
        <w:t>Frankreich; direkte Übertragbarkeit auf deutsches Dialysesystem (DMP-ähnliche Strukturen, vergleichbare Dokumentation).</w:t>
      </w:r>
    </w:p>
    <w:p>
      <w:r>
        <w:rPr>
          <w:color w:val="5A7D3A"/>
          <w:sz w:val="18"/>
        </w:rPr>
        <w:t>https://pubmed.ncbi.nlm.nih.gov/42684151/</w:t>
      </w:r>
    </w:p>
    <w:p>
      <w:pPr>
        <w:pStyle w:val="Heading2"/>
      </w:pPr>
      <w:r>
        <w:t>Isoliert reduzierte Diffusionskapazität korrelierte mit Emphysem und Rauchen</w:t>
      </w:r>
    </w:p>
    <w:p>
      <w:r>
        <w:rPr>
          <w:i/>
          <w:color w:val="666666"/>
          <w:sz w:val="18"/>
        </w:rPr>
        <w:t>Hamrefors V et al.  ·  BMC Pulm Med  ·  31.08.2026  ·  PMID 42675482</w:t>
      </w:r>
    </w:p>
    <w:p>
      <w:r>
        <w:t>Große schwedische Querschnittsstudie (SCAPIS) zu Determinanten isoliert verminderter DLCO bei 24.261 Patienten mit normalen Spirometrieparametern.</w:t>
      </w:r>
    </w:p>
    <w:p>
      <w:r>
        <w:rPr>
          <w:b/>
        </w:rPr>
        <w:t xml:space="preserve">Ergebnis: </w:t>
      </w:r>
      <w:r>
        <w:t>DLCO unterhalb LLN (n=1.472; 6,1 %): unabhängig assoziiert mit Emphysem (OR 2,6), Lungenerkrankung außer Asthma/COPD (OR 1,8), Rauchen pro 10-Pack-Jahre (OR 1,6), interstitielle Lungenabnormitäten (OR 1,4), Belastungsbrust­schmerz (OR 1,6).</w:t>
      </w:r>
    </w:p>
    <w:p>
      <w:r>
        <w:rPr>
          <w:b/>
          <w:sz w:val="19"/>
        </w:rPr>
        <w:t xml:space="preserve">Übertragbarkeit: </w:t>
      </w:r>
      <w:r>
        <w:rPr>
          <w:sz w:val="19"/>
        </w:rPr>
        <w:t>Schweden; bevölkerungsbasiert, Screening-konzept übertragbar auf deutsches Präventiossystem.</w:t>
      </w:r>
    </w:p>
    <w:p>
      <w:r>
        <w:rPr>
          <w:color w:val="5A7D3A"/>
          <w:sz w:val="18"/>
        </w:rPr>
        <w:t>https://pubmed.ncbi.nlm.nih.gov/42675482/</w:t>
      </w:r>
    </w:p>
    <w:p>
      <w:pPr>
        <w:pStyle w:val="Heading2"/>
      </w:pPr>
      <w:r>
        <w:t>HBV-Genotyp-E-Infektionen: Resistenzmutationen unter Migration und schlechter Adhärenz</w:t>
      </w:r>
    </w:p>
    <w:p>
      <w:r>
        <w:rPr>
          <w:i/>
          <w:color w:val="666666"/>
          <w:sz w:val="18"/>
        </w:rPr>
        <w:t>Tiecco G et al.  ·  Infect Dis (Lond)  ·  03.08.2026  ·  PMID 42547309</w:t>
      </w:r>
    </w:p>
    <w:p>
      <w:r>
        <w:t>Retrospektive Fallserie (2015–2023) von 8 Patienten mit dokumentiertem HBV-Genotyp E und Resistenztest-Ergebnissen.</w:t>
      </w:r>
    </w:p>
    <w:p>
      <w:r>
        <w:rPr>
          <w:b/>
        </w:rPr>
        <w:t xml:space="preserve">Ergebnis: </w:t>
      </w:r>
      <w:r>
        <w:t>8 Patienten (62,5 % männlich, 87,5 % afrikanischer Herkunft); 75 % mit persistierender Virämie trotz Therapie; Lamivudin-Resistenz 12,5 %, Tenofovir-Resistenzmutationen 25 %, Immun-Escape-Mutationen 37,5 %; virologische Suppression nach Therapie­anpassung nur in 37,5 %.</w:t>
      </w:r>
    </w:p>
    <w:p>
      <w:r>
        <w:rPr>
          <w:b/>
          <w:sz w:val="19"/>
        </w:rPr>
        <w:t xml:space="preserve">Übertragbarkeit: </w:t>
      </w:r>
      <w:r>
        <w:rPr>
          <w:sz w:val="19"/>
        </w:rPr>
        <w:t>Italien (reales Patientenkollektiv); strukturelle Herausforderungen (Adhärenz, Migranten) in Deutschland ähnlich.</w:t>
      </w:r>
    </w:p>
    <w:p>
      <w:r>
        <w:rPr>
          <w:color w:val="5A7D3A"/>
          <w:sz w:val="18"/>
        </w:rPr>
        <w:t>https://pubmed.ncbi.nlm.nih.gov/42547309/</w:t>
      </w:r>
    </w:p>
    <w:p>
      <w:pPr>
        <w:pStyle w:val="Heading2"/>
      </w:pPr>
      <w:r>
        <w:t>HBV-assoziierte Stigmatisierung beeinträchtigte alle Lebensqualitäts-Domänen</w:t>
      </w:r>
    </w:p>
    <w:p>
      <w:r>
        <w:rPr>
          <w:i/>
          <w:color w:val="666666"/>
          <w:sz w:val="18"/>
        </w:rPr>
        <w:t>Smith V et al.  ·  J Viral Hepat  ·  Aug. 2026  ·  PMID 42499137</w:t>
      </w:r>
    </w:p>
    <w:p>
      <w:r>
        <w:t>Qualitative Studie (Concept-Elicitation-Interviews) mit 28 HBV-Patienten aus USA, China und Polen zur Erfahrung von Stigma.</w:t>
      </w:r>
    </w:p>
    <w:p>
      <w:r>
        <w:rPr>
          <w:b/>
        </w:rPr>
        <w:t xml:space="preserve">Ergebnis: </w:t>
      </w:r>
      <w:r>
        <w:t>Internalisiertes Stigma 100 %, soziales Stigma 79 %, institutionelles Stigma 57 %. Sieben Domänen identifiziert: soziale Funktion (100 %), emotionales Wohlbefinden (96 %), HBV-Transmission (96 %), körperliche Symptome, Arbeit, Beziehungen, Zugang zu Versorgung. Stigma stark mit Lebensqualitäts-Einschränkungen verwoben.</w:t>
      </w:r>
    </w:p>
    <w:p>
      <w:r>
        <w:rPr>
          <w:b/>
          <w:sz w:val="19"/>
        </w:rPr>
        <w:t xml:space="preserve">Übertragbarkeit: </w:t>
      </w:r>
      <w:r>
        <w:rPr>
          <w:sz w:val="19"/>
        </w:rPr>
        <w:t>Multinational (aber gering-Einkommens- und Mitteleinkommensländer überrepräsentiert); psychosoziale Versorgung in Deutschland unterbewertet.</w:t>
      </w:r>
    </w:p>
    <w:p>
      <w:r>
        <w:rPr>
          <w:color w:val="5A7D3A"/>
          <w:sz w:val="18"/>
        </w:rPr>
        <w:t>https://pubmed.ncbi.nlm.nih.gov/42499137/</w:t>
      </w:r>
    </w:p>
    <w:p>
      <w:pPr>
        <w:pStyle w:val="Heading1"/>
      </w:pPr>
      <w:r>
        <w:t>Aufgenommen am 04.09.2026</w:t>
      </w:r>
    </w:p>
    <w:p>
      <w:pPr>
        <w:pStyle w:val="Heading2"/>
      </w:pPr>
      <w:r>
        <w:t>Systemischer Immunentzündungs-Index sagte COPD-Wiederaufnahmen zu 90 Tagen voraus</w:t>
      </w:r>
    </w:p>
    <w:p>
      <w:r>
        <w:rPr>
          <w:i/>
          <w:color w:val="666666"/>
          <w:sz w:val="18"/>
        </w:rPr>
        <w:t>Chen Q et al.  ·  Int J Chron Obstruct Pulmon Dis  ·  28.08.2026  ·  PMID 42683431</w:t>
      </w:r>
    </w:p>
    <w:p>
      <w:r>
        <w:t>Chinesische Kohortenstudie mit 207 Patienten mit akuter COPD-Exazerbation zur prädiktiven Wertigkeit des systemischen Immunentzündungs-Index (SII) für ungeplante Wiederaufnahmen innerhalb von 90 Tagen.</w:t>
      </w:r>
    </w:p>
    <w:p>
      <w:r>
        <w:rPr>
          <w:b/>
        </w:rPr>
        <w:t xml:space="preserve">Ergebnis: </w:t>
      </w:r>
      <w:r>
        <w:t>37,7 % (78/207) erlebten Wiederaufnahmen; jede 500er-Steigerung des SII war mit erhöhtem Wiederaufnahmerisiko assoziiert (aOR 1,329, 95%-KI 1,153-1,530; p &lt; 0,001). Integriertes Modell mit SII erreichte AUC 0,809 (95%-KI 0,742-0,869) versus 0,752 für reines klinisches Modell. Nach Bootstrap-Validierung: optimismuskorrigiert 0,785; verbesserte Modellpassung (Likelihood-Ratio p &lt; 0,001).</w:t>
      </w:r>
    </w:p>
    <w:p>
      <w:r>
        <w:rPr>
          <w:b/>
          <w:sz w:val="19"/>
        </w:rPr>
        <w:t xml:space="preserve">Übertragbarkeit: </w:t>
      </w:r>
      <w:r>
        <w:rPr>
          <w:sz w:val="19"/>
        </w:rPr>
        <w:t>Chinesische Klinikdaten, Konzept übertragbar, externe Validierung erforderlich</w:t>
      </w:r>
    </w:p>
    <w:p>
      <w:r>
        <w:rPr>
          <w:color w:val="5A7D3A"/>
          <w:sz w:val="18"/>
        </w:rPr>
        <w:t>https://pubmed.ncbi.nlm.nih.gov/42683431/</w:t>
      </w:r>
    </w:p>
    <w:p>
      <w:pPr>
        <w:pStyle w:val="Heading2"/>
      </w:pPr>
      <w:r>
        <w:t>Schlechter Schlaf erhöhte Komplikationsrisiko bei chronischer Nierenkrankheit um 19-54 %</w:t>
      </w:r>
    </w:p>
    <w:p>
      <w:r>
        <w:rPr>
          <w:i/>
          <w:color w:val="666666"/>
          <w:sz w:val="18"/>
        </w:rPr>
        <w:t>Lei K et al.  ·  Front Public Health  ·  18.08.2026  ·  PMID 42682672</w:t>
      </w:r>
    </w:p>
    <w:p>
      <w:r>
        <w:t>Kohortenstudie mit 15.809 CKD-Patienten aus UK Biobank (2006-2010, Nachverfolgung bis 2022) zur Assoziation von multidimensionalen Schlafmustern mit Anämie, kardiovaskulären Ereignissen, kognitiven Beeinträchtigungen und Nebenschilddrüsenüberfunktion.</w:t>
      </w:r>
    </w:p>
    <w:p>
      <w:r>
        <w:rPr>
          <w:b/>
        </w:rPr>
        <w:t xml:space="preserve">Ergebnis: </w:t>
      </w:r>
      <w:r>
        <w:t>Schwere Insomnie mit kurzer oder langer Schlafdauer und schwer gestörter Schlaf waren mit 19-54 % höheren Risiken für Anämie, kardiovaskuläre Erkrankungen und Nebenschilddrüsenüberfunktion assoziiert (alle p &lt; 0,05). Höhere Schlafqualität war unabhängig mit reduzierten Risiken dieser Komplikationen verbunden. Schlafprofile zeigten Heterogenität in Assoziation mit Ergebnissen je nach Geschlecht und Nierenfunktion.</w:t>
      </w:r>
    </w:p>
    <w:p>
      <w:r>
        <w:rPr>
          <w:b/>
          <w:sz w:val="19"/>
        </w:rPr>
        <w:t xml:space="preserve">Übertragbarkeit: </w:t>
      </w:r>
      <w:r>
        <w:rPr>
          <w:sz w:val="19"/>
        </w:rPr>
        <w:t>UK-Biobank, vergleichbare europäische Systeme und Datenqualität</w:t>
      </w:r>
    </w:p>
    <w:p>
      <w:r>
        <w:rPr>
          <w:color w:val="5A7D3A"/>
          <w:sz w:val="18"/>
        </w:rPr>
        <w:t>https://pubmed.ncbi.nlm.nih.gov/42682672/</w:t>
      </w:r>
    </w:p>
    <w:p>
      <w:pPr>
        <w:pStyle w:val="Heading2"/>
      </w:pPr>
      <w:r>
        <w:t>Quantitative Hepatitis-B-Oberflächenantigen-Tests: nur 37,4 % spanischer Labore implementiert</w:t>
      </w:r>
    </w:p>
    <w:p>
      <w:r>
        <w:rPr>
          <w:i/>
          <w:color w:val="666666"/>
          <w:sz w:val="18"/>
        </w:rPr>
        <w:t>Chaves-Blanco L et al.  ·  Enferm Infecc Microbiol Clin (Engl Ed)  ·  Aug. 2026  ·  PMID 42542350</w:t>
      </w:r>
    </w:p>
    <w:p>
      <w:r>
        <w:t>Nationale spanische Querschnittsstudie von 91 klinisch-mikrobiologischen Laboren zur Implementierung und Praktiken von quantitativem HBsAg-Testing (qHBsAg) für das Chronic-Hepatitis-B-Management.</w:t>
      </w:r>
    </w:p>
    <w:p>
      <w:r>
        <w:rPr>
          <w:b/>
        </w:rPr>
        <w:t xml:space="preserve">Ergebnis: </w:t>
      </w:r>
      <w:r>
        <w:t>37,4 % (34/91) führten qHBsAg durch; 86 % der Nicht-Durchführer verwiesen Proben nicht wegen wahrgenommener geringer klinischer Nachfrage (57,1 %). Implementierung korrelierte mit Krankenhausgröße (p = 0,041): 0 % bei &lt;200 Betten, 23,3 % bei 200-500, 44,9 % bei 500-1000, 62,5 % bei ≥1000. Unter durchführenden Labs: 57,6 % quantifizierten nach positivem qualitativem Test, 27,3 % auf Anforderung, 15,2 % als initiales Screening. Heterogene Meldepraxis.</w:t>
      </w:r>
    </w:p>
    <w:p>
      <w:r>
        <w:rPr>
          <w:b/>
          <w:sz w:val="19"/>
        </w:rPr>
        <w:t xml:space="preserve">Übertragbarkeit: </w:t>
      </w:r>
      <w:r>
        <w:rPr>
          <w:sz w:val="19"/>
        </w:rPr>
        <w:t>Spanien, direkt auf Deutschland übertragbar für Implementierungs-Gaps</w:t>
      </w:r>
    </w:p>
    <w:p>
      <w:r>
        <w:rPr>
          <w:color w:val="5A7D3A"/>
          <w:sz w:val="18"/>
        </w:rPr>
        <w:t>https://pubmed.ncbi.nlm.nih.gov/42542350/</w:t>
      </w:r>
    </w:p>
    <w:p>
      <w:pPr>
        <w:pStyle w:val="Heading2"/>
      </w:pPr>
      <w:r>
        <w:t>Finerenone reduzierte Albuminurie bei Typ-2-Diabetes und CKD um 34,5 % in Routineversorgung</w:t>
      </w:r>
    </w:p>
    <w:p>
      <w:r>
        <w:rPr>
          <w:i/>
          <w:color w:val="666666"/>
          <w:sz w:val="18"/>
        </w:rPr>
        <w:t>Moreno-Pérez O et al.  ·  Diabetes Obes Metab  ·  30.07.2026  ·  PMID 42533276</w:t>
      </w:r>
    </w:p>
    <w:p>
      <w:r>
        <w:t>Spanische Multicenterstudie zur Effektivität und Sicherheit von Finerenon bei Patienten mit Typ-2-Diabetes und chronischer Nierenerkrankung in der Routineversorgung.</w:t>
      </w:r>
    </w:p>
    <w:p>
      <w:r>
        <w:rPr>
          <w:b/>
        </w:rPr>
        <w:t xml:space="preserve">Ergebnis: </w:t>
      </w:r>
      <w:r>
        <w:t>Bei 844 Patienten (Medianalter 72 Jahre, Median eGFR 49 mL/min/1,73 m²) reduzierte Finerenon die Albuminurie-zu-Kreatinin-Ratio (UACR) um Medianalter 34,5 % nach 6 Monaten (p &lt; 0,001), unabhängig von Hintergrundnephroprotektiva. 52,7 % erreichten die primäre Zielmarke von ≥30 % UACR-Reduktion; 89,5 % Persistenz der Therapie; Hyperkaliämie 4,8 %, Herz-Kreislauf-Ereignisse 1,1 %. Finerenon verbesserte albuminurische Marker auch bei intensiver Vormedikation.</w:t>
      </w:r>
    </w:p>
    <w:p>
      <w:r>
        <w:rPr>
          <w:b/>
          <w:sz w:val="19"/>
        </w:rPr>
        <w:t xml:space="preserve">Übertragbarkeit: </w:t>
      </w:r>
      <w:r>
        <w:rPr>
          <w:sz w:val="19"/>
        </w:rPr>
        <w:t>Spanische Routinedaten, vergleichbares Sozialversicherungssystem</w:t>
      </w:r>
    </w:p>
    <w:p>
      <w:r>
        <w:rPr>
          <w:color w:val="5A7D3A"/>
          <w:sz w:val="18"/>
        </w:rPr>
        <w:t>https://pubmed.ncbi.nlm.nih.gov/42533276/</w:t>
      </w:r>
    </w:p>
    <w:p>
      <w:pPr>
        <w:pStyle w:val="Heading2"/>
      </w:pPr>
      <w:r>
        <w:t>Integrierter Versorgungspfad bei Long COVID: alle Interventionen erzielten Fatigue-Reduktion</w:t>
      </w:r>
    </w:p>
    <w:p>
      <w:r>
        <w:rPr>
          <w:i/>
          <w:color w:val="666666"/>
          <w:sz w:val="18"/>
        </w:rPr>
        <w:t>STIMULATE-ICP Consortium  ·  Nat Med  ·  28.07.2026  ·  PMID 42521821</w:t>
      </w:r>
    </w:p>
    <w:p>
      <w:r>
        <w:t>Phase-3-Cluster-RCT mit 1.152 Teilnehmern aus 122 englischen Primary-Care-Netzwerken zum Effekt von Multi-Organ-MRI und/oder digitaler Rehabilitation im Rahmen strukturierter ICP-Interventionen auf Fatigue-Assessment-Scale nach 12 und 24 Wochen.</w:t>
      </w:r>
    </w:p>
    <w:p>
      <w:r>
        <w:rPr>
          <w:b/>
        </w:rPr>
        <w:t xml:space="preserve">Ergebnis: </w:t>
      </w:r>
      <w:r>
        <w:t>Fatigue-Assessment-Scale verbesserte sich in allen Armen um 4,5 Punkte von 35,8 auf 31,3 (nach 12 Wochen); zusätzliche Multi-Organ-MRI zeigte 0,18-Punkte-Vorteil (95%-KI -0,72 bis 1,09; p = 0,69), digitale Rehabilitation -0,53 Punkte (95%-KI -1,42 bis 0,36; p = 0,25). Multidisziplinäre holistische Versorgung allein war mit Verbesserungen verbunden. Keine schwerwiegenden unerwünschten Ereignisse.</w:t>
      </w:r>
    </w:p>
    <w:p>
      <w:r>
        <w:rPr>
          <w:b/>
          <w:sz w:val="19"/>
        </w:rPr>
        <w:t xml:space="preserve">Übertragbarkeit: </w:t>
      </w:r>
      <w:r>
        <w:rPr>
          <w:sz w:val="19"/>
        </w:rPr>
        <w:t>Englische NHS-Daten, vergleichbares Versicherungssystem und Zugangswege</w:t>
      </w:r>
    </w:p>
    <w:p>
      <w:r>
        <w:rPr>
          <w:color w:val="5A7D3A"/>
          <w:sz w:val="18"/>
        </w:rPr>
        <w:t>https://pubmed.ncbi.nlm.nih.gov/42521821/</w:t>
      </w:r>
    </w:p>
    <w:p>
      <w:pPr>
        <w:pStyle w:val="Heading1"/>
      </w:pPr>
      <w:r>
        <w:t>Aufgenommen am 03.09.2026</w:t>
      </w:r>
    </w:p>
    <w:p>
      <w:pPr>
        <w:pStyle w:val="Heading2"/>
      </w:pPr>
      <w:r>
        <w:t>Dysbiose und Obstipation bei Dialysepatienten: Mikrobiotargetierende Interventionen versprechen, aber evidenzlimitiert</w:t>
      </w:r>
    </w:p>
    <w:p>
      <w:r>
        <w:rPr>
          <w:i/>
          <w:color w:val="666666"/>
          <w:sz w:val="18"/>
        </w:rPr>
        <w:t>Shen Z et al.  ·  Front Cell Infect Microbiol  ·  18.08.2026  ·  PMID 42683184</w:t>
      </w:r>
    </w:p>
    <w:p>
      <w:r>
        <w:t>Narrativer Übersichtsartikel, der Veränderungen der Darmflora bei Patienten mit Nierenersatztherapie (ESRD) und Obstipation, ihre pathogenen Mechanismen und Therapieoptionen (Probiotika, Präbiotika, Ernährung) systematisch zusammenfasst.</w:t>
      </w:r>
    </w:p>
    <w:p>
      <w:r>
        <w:rPr>
          <w:b/>
        </w:rPr>
        <w:t xml:space="preserve">Ergebnis: </w:t>
      </w:r>
      <w:r>
        <w:t>Kernbefund: Dysbiose mit reduzierter kurzkettigen-Fettsäure-produzierenden Bakterien und erhöhten urease-positiven Spezies; bidirektionaler Mikrobiotagutkidney-Teufelskreis mit erhöhter intestinaler Permeabilität und Nierenschaden. Evidenz für Interventionen vorhanden, aber Sicherheitsaspekte und klinische Praktikabilität unklar.</w:t>
      </w:r>
    </w:p>
    <w:p>
      <w:r>
        <w:rPr>
          <w:b/>
          <w:sz w:val="19"/>
        </w:rPr>
        <w:t xml:space="preserve">Übertragbarkeit: </w:t>
      </w:r>
      <w:r>
        <w:rPr>
          <w:sz w:val="19"/>
        </w:rPr>
        <w:t>Pathophysiologie-Fokus, Interventionsevidenz zu fragmentarisch für direkte deutsche Implementierung</w:t>
      </w:r>
    </w:p>
    <w:p>
      <w:r>
        <w:rPr>
          <w:color w:val="5A7D3A"/>
          <w:sz w:val="18"/>
        </w:rPr>
        <w:t>https://pubmed.ncbi.nlm.nih.gov/42683184/</w:t>
      </w:r>
    </w:p>
    <w:p>
      <w:pPr>
        <w:pStyle w:val="Heading2"/>
      </w:pPr>
      <w:r>
        <w:t>Dapagliflozin und CKD-Progression: Effekt auf eGFR-Rückgang inkonsistent, aber Reduktion klinischer Nierenendpunkte</w:t>
      </w:r>
    </w:p>
    <w:p>
      <w:r>
        <w:rPr>
          <w:i/>
          <w:color w:val="666666"/>
          <w:sz w:val="18"/>
        </w:rPr>
        <w:t>Shadravan S et al.  ·  Iran J Kidney Dis  ·  31.07.2026  ·  PMID 42679368</w:t>
      </w:r>
    </w:p>
    <w:p>
      <w:r>
        <w:t>Systematische Übersicht von 15 Studien zur Wirkung von Dapagliflozin auf chronische Nierenerkrankung; 11 waren Sekundäranalysen der DAPA-CKD-Studie mit 4.304 Teilnehmern; nur vier unabhängige Studien nach Ausschluss von Doppeltgennung verfügbar.</w:t>
      </w:r>
    </w:p>
    <w:p>
      <w:r>
        <w:rPr>
          <w:b/>
        </w:rPr>
        <w:t xml:space="preserve">Ergebnis: </w:t>
      </w:r>
      <w:r>
        <w:t>eGFR-Effekte hochgradig heterogen (-6,6 bis +0,93 mL/min/1,73m²; I²=93,7 %); DAPA-CKD zeigte Reduktion ungünstiger klinischer renaler Ergebnisse. Heterogenität und begrenzte unabhängige Evidenz verhindern Metaanalyse; dapagliflozin erscheint nierenschützend und sicher für CKD.</w:t>
      </w:r>
    </w:p>
    <w:p>
      <w:r>
        <w:rPr>
          <w:b/>
          <w:sz w:val="19"/>
        </w:rPr>
        <w:t xml:space="preserve">Übertragbarkeit: </w:t>
      </w:r>
      <w:r>
        <w:rPr>
          <w:sz w:val="19"/>
        </w:rPr>
        <w:t>Internationale Evidenz, kardiorenales Konzept übertragbar; Datenstabilität limitiert</w:t>
      </w:r>
    </w:p>
    <w:p>
      <w:r>
        <w:rPr>
          <w:color w:val="5A7D3A"/>
          <w:sz w:val="18"/>
        </w:rPr>
        <w:t>https://pubmed.ncbi.nlm.nih.gov/42679368/</w:t>
      </w:r>
    </w:p>
    <w:p>
      <w:pPr>
        <w:pStyle w:val="Heading2"/>
      </w:pPr>
      <w:r>
        <w:t>COPD-Therapietreue: Nur 30–50 % erreichen optimale Adhärenz; COM-B-Modell identifiziert veränderbare Faktoren</w:t>
      </w:r>
    </w:p>
    <w:p>
      <w:r>
        <w:rPr>
          <w:i/>
          <w:color w:val="666666"/>
          <w:sz w:val="18"/>
        </w:rPr>
        <w:t>Zhang Y et al.  ·  Int J Chron Obstruct Pulmon Dis  ·  27.08.2026  ·  PMID 42677250</w:t>
      </w:r>
    </w:p>
    <w:p>
      <w:r>
        <w:t>Narrative Übersichtsarbeit, die Literatur zu Adhärenz-Messverfahren, Prävalenz (MPR ≥80 % bei nur 30–50 % der Patienten), Einflussfaktoren und Interventionsstrategien anhand des Capability-Opportunity-Motivation-Behaviour-Modells systematisiert.</w:t>
      </w:r>
    </w:p>
    <w:p>
      <w:r>
        <w:rPr>
          <w:b/>
        </w:rPr>
        <w:t xml:space="preserve">Ergebnis: </w:t>
      </w:r>
      <w:r>
        <w:t>Inhalationstechnikfehler 30–50 %, therapieverweigerung bei Depression/Angststörung ca. 20–25 % niedriger; Single-Inhaler-Triple-Therapie versus Multiple-Inhaler zeigte 18-Monats-Persistenz 16,5 % vs. 2,3 %. Höhere Adhärenz assoziiert mit 51 % Reduktion exazerbationsbedingter Hospitalisierung und Attenuation des FEV1-Rückgangs um ca. 21 mL/Jahr.</w:t>
      </w:r>
    </w:p>
    <w:p>
      <w:r>
        <w:rPr>
          <w:b/>
          <w:sz w:val="19"/>
        </w:rPr>
        <w:t xml:space="preserve">Übertragbarkeit: </w:t>
      </w:r>
      <w:r>
        <w:rPr>
          <w:sz w:val="19"/>
        </w:rPr>
        <w:t>Internationale Literatur, Adhärenz-Muster ähnlich wie Deutschland; länderspezifische Zahlen begrenzt</w:t>
      </w:r>
    </w:p>
    <w:p>
      <w:r>
        <w:rPr>
          <w:color w:val="5A7D3A"/>
          <w:sz w:val="18"/>
        </w:rPr>
        <w:t>https://pubmed.ncbi.nlm.nih.gov/42677250/</w:t>
      </w:r>
    </w:p>
    <w:p>
      <w:pPr>
        <w:pStyle w:val="Heading2"/>
      </w:pPr>
      <w:r>
        <w:t>COPD-Verhalten: Vier Phänotypen kombinieren Inhalationstechnik und Adhärenz; Wissenslücken zielbar</w:t>
      </w:r>
    </w:p>
    <w:p>
      <w:r>
        <w:rPr>
          <w:i/>
          <w:color w:val="666666"/>
          <w:sz w:val="18"/>
        </w:rPr>
        <w:t>Xiang J et al.  ·  Int J Chron Obstruct Pulmon Dis  ·  27.08.2026  ·  PMID 42677230</w:t>
      </w:r>
    </w:p>
    <w:p>
      <w:r>
        <w:t>Querschnittsstudie mit 700 COPD-Patienten in Peking 2025, die kombinierte Inhalationstechnik und Therapietreue zur Klassifizierung in vier Verhaltenphänotypen nutzten; Assoziationen mit Patientenmerkmalen berechnet.</w:t>
      </w:r>
    </w:p>
    <w:p>
      <w:r>
        <w:rPr>
          <w:b/>
        </w:rPr>
        <w:t xml:space="preserve">Ergebnis: </w:t>
      </w:r>
      <w:r>
        <w:t>Nur 25,3 % zeigten perfekte Inhalationstechnik, 59,0 % gute Adhärenz. Vier Phänotypen: Standard+Adhärent (20,7 %), Nicht-adhärent+Standard (4,6 %), Adhärent+Nicht-standard (38,3 %), Nicht-standard+Nicht-adhärent (36,4 %). Krankheitswissen stärkster Prädiktor: korrekte vs. fehlerhafte Technik OR 0,30–0,35 (p&lt;0,001). Krankheitsdauer assoziiert mit unterschiedlichen Adhärenzmustern.</w:t>
      </w:r>
    </w:p>
    <w:p>
      <w:r>
        <w:rPr>
          <w:b/>
          <w:sz w:val="19"/>
        </w:rPr>
        <w:t xml:space="preserve">Übertragbarkeit: </w:t>
      </w:r>
      <w:r>
        <w:rPr>
          <w:sz w:val="19"/>
        </w:rPr>
        <w:t>China, hoher Techniktransferpotential, Wissenslückenmodell auch für Deutschland prädiktiv</w:t>
      </w:r>
    </w:p>
    <w:p>
      <w:r>
        <w:rPr>
          <w:color w:val="5A7D3A"/>
          <w:sz w:val="18"/>
        </w:rPr>
        <w:t>https://pubmed.ncbi.nlm.nih.gov/42677230/</w:t>
      </w:r>
    </w:p>
    <w:p>
      <w:pPr>
        <w:pStyle w:val="Heading2"/>
      </w:pPr>
      <w:r>
        <w:t>Pädiatrische Notfallverstärkung bei komplexen Erkrankungen: Zentrale Konzentration in Seoul, Reisedistanz erhöht Mortalität</w:t>
      </w:r>
    </w:p>
    <w:p>
      <w:r>
        <w:rPr>
          <w:i/>
          <w:color w:val="666666"/>
          <w:sz w:val="18"/>
        </w:rPr>
        <w:t>Choi YY et al.  ·  J Korean Med Sci  ·  31.08.2026  ·  PMID 42676071</w:t>
      </w:r>
    </w:p>
    <w:p>
      <w:r>
        <w:t>Nationale Analyse südkoreanischer Notfallbesuche 2016–2022 (7,76 Millionen Fälle), davon 149.306 (1,9 %) mit komplexen chronischen Erkrankungen (CCCs); Reisedistanz und regionale Unterschiede in Versorgungsergebnissen untersucht.</w:t>
      </w:r>
    </w:p>
    <w:p>
      <w:r>
        <w:rPr>
          <w:b/>
        </w:rPr>
        <w:t xml:space="preserve">Ergebnis: </w:t>
      </w:r>
      <w:r>
        <w:t>CCC-Patienten: höhere Akuität (16,5 % vs. 3,1 %), längere Anfahrt (11,2 vs. 6,2 km), ICU-Admission 4,4 % vs. 0,3 %, ED-Todesfälle 0,2 % vs. 0,04 %. 47,9 % aller CCC-Fälle in Seoul; längere Reise unabhängig mit Mortalität assoziiert: OR 1,3 (15–59,9 km), 1,6 (60–99,9 km), 1,3 (≥100 km). Zentrale Konzentration (40,7 % in 5 Krankenhäusern) zeigt Gesamtfehler in Ressourcenallokation.</w:t>
      </w:r>
    </w:p>
    <w:p>
      <w:r>
        <w:rPr>
          <w:b/>
          <w:sz w:val="19"/>
        </w:rPr>
        <w:t xml:space="preserve">Übertragbarkeit: </w:t>
      </w:r>
      <w:r>
        <w:rPr>
          <w:sz w:val="19"/>
        </w:rPr>
        <w:t>Südkorea, Zentrailisierungsproblem relevant für deutsche Flächenländer; Mortalitäts-Distanz-Beziehung übertragbar</w:t>
      </w:r>
    </w:p>
    <w:p>
      <w:r>
        <w:rPr>
          <w:color w:val="5A7D3A"/>
          <w:sz w:val="18"/>
        </w:rPr>
        <w:t>https://pubmed.ncbi.nlm.nih.gov/42676071/</w:t>
      </w:r>
    </w:p>
    <w:p>
      <w:pPr>
        <w:pStyle w:val="Heading2"/>
      </w:pPr>
      <w:r>
        <w:t>Lebensbedrohliche Erkrankungen bei Kindern in Irland: Prävalenz 34,8–50,0 pro 10.000; Datendefizite erfordern sichere ID</w:t>
      </w:r>
    </w:p>
    <w:p>
      <w:r>
        <w:rPr>
          <w:i/>
          <w:color w:val="666666"/>
          <w:sz w:val="18"/>
        </w:rPr>
        <w:t>Smith S et al.  ·  BMC Pediatr  ·  28.07.2026  ·  PMID 42509542</w:t>
      </w:r>
    </w:p>
    <w:p>
      <w:r>
        <w:t>Querschnittsanalyse irischer Spitaldaten 2019 und 2024, um Prävalenz lebensbedrohlicher Zustände bei 0–19-Jährigen unter fehlender eindeutiger Patientenkennung zu schätzen; drei Schätzszenarien mit Sensitivitätsanalysen.</w:t>
      </w:r>
    </w:p>
    <w:p>
      <w:r>
        <w:rPr>
          <w:b/>
        </w:rPr>
        <w:t xml:space="preserve">Ergebnis: </w:t>
      </w:r>
      <w:r>
        <w:t>Baseline-Prävalenz 34,8–50,0 pro 10.000 (2019) und 32,3–44,5 pro 10.000 (2024); mit Adjustierung für Untererfassung: 46,4–66,6 (2019) und 43,0–59,3 pro 10.000 (2024). Höher bei Männern, größte Gruppe &lt;1 Jahr. Schätzungen konsistent mit ähnlich-wohlhabenden Ländern; Methodentransparenz ermöglicht Vergleiche trotz Datenlimitationen.</w:t>
      </w:r>
    </w:p>
    <w:p>
      <w:r>
        <w:rPr>
          <w:b/>
          <w:sz w:val="19"/>
        </w:rPr>
        <w:t xml:space="preserve">Übertragbarkeit: </w:t>
      </w:r>
      <w:r>
        <w:rPr>
          <w:sz w:val="19"/>
        </w:rPr>
        <w:t>Irland, administratives Datensystem ohne eindeutige ID vergleichbar mit Teilen deutscher Krankenhauslandschaft</w:t>
      </w:r>
    </w:p>
    <w:p>
      <w:r>
        <w:rPr>
          <w:color w:val="5A7D3A"/>
          <w:sz w:val="18"/>
        </w:rPr>
        <w:t>https://pubmed.ncbi.nlm.nih.gov/42509542/</w:t>
      </w:r>
    </w:p>
    <w:p>
      <w:pPr>
        <w:pStyle w:val="Heading2"/>
      </w:pPr>
      <w:r>
        <w:t>Sarcoidosis-Trajektorien: Chronische Erkrankung tritt bei 28,5 % auf, mit erhöhtem Infekt- und Depressionsrisiko</w:t>
      </w:r>
    </w:p>
    <w:p>
      <w:r>
        <w:rPr>
          <w:i/>
          <w:color w:val="666666"/>
          <w:sz w:val="18"/>
        </w:rPr>
        <w:t>Rossides M et al.  ·  Respir Res  ·  24.07.2026  ·  PMID 42498935</w:t>
      </w:r>
    </w:p>
    <w:p>
      <w:r>
        <w:t>Prospektive Kohortenstudie mit 9.665 Patienten, die neue Sarcoidose-Diagnosen zwischen 2006 und 2018 im schwedischen Register identifizierte und über fünf Jahre verfolgte; zwei längerfristige Verlaufsmuster wurden mittels statistischer Modellierung der Arztbesuche ermittelt.</w:t>
      </w:r>
    </w:p>
    <w:p>
      <w:r>
        <w:rPr>
          <w:b/>
        </w:rPr>
        <w:t xml:space="preserve">Ergebnis: </w:t>
      </w:r>
      <w:r>
        <w:t>71,5 % zeigten selbstlimitierten Verlauf mit Remission in zwei Jahren, 28,5 % chronischen Verlauf mit persistenten Besuchen; chronisches Sarcoidosis war assoziiert mit: eGFR Krankheit (Hoehn und Yahr ≥ 2 vs. 1), erhöhtem Infektrisiko, Herzinsuffizienz, Diabetes, Depression, Angststörung und früherem Tod. Immunosuppressive Therapie bei Diagnose erhöhte Chronizitätsrisiko um Faktor 2,18 (95%-KI 2,04–2,33).</w:t>
      </w:r>
    </w:p>
    <w:p>
      <w:r>
        <w:rPr>
          <w:b/>
          <w:sz w:val="19"/>
        </w:rPr>
        <w:t xml:space="preserve">Übertragbarkeit: </w:t>
      </w:r>
      <w:r>
        <w:rPr>
          <w:sz w:val="19"/>
        </w:rPr>
        <w:t>Schweden, nationale Patientenregister, vergleichbare Gesundheitssysteme</w:t>
      </w:r>
    </w:p>
    <w:p>
      <w:r>
        <w:rPr>
          <w:color w:val="5A7D3A"/>
          <w:sz w:val="18"/>
        </w:rPr>
        <w:t>https://pubmed.ncbi.nlm.nih.gov/42498935/</w:t>
      </w:r>
    </w:p>
    <w:p>
      <w:pPr>
        <w:pStyle w:val="Heading1"/>
      </w:pPr>
      <w:r>
        <w:t>Aufgenommen am 02.09.2026</w:t>
      </w:r>
    </w:p>
    <w:p>
      <w:pPr>
        <w:pStyle w:val="Heading2"/>
      </w:pPr>
      <w:r>
        <w:t>Albuminoxidation verzögert sich nach Nierentransplantation trotz Funktionsrestitution</w:t>
      </w:r>
    </w:p>
    <w:p>
      <w:r>
        <w:rPr>
          <w:i/>
          <w:color w:val="666666"/>
          <w:sz w:val="18"/>
        </w:rPr>
        <w:t>Berntsen LM et al.  ·  BMC Nephrol  ·  28.08.2026  ·  PMID 42665799</w:t>
      </w:r>
    </w:p>
    <w:p>
      <w:r>
        <w:t>Observationsstudie, die die Albumin-Redoxstatus (ARS) vor und nach Nierentransplantation (KTX) gemessen hat, um zu zeigen, ob die Verbesserung der Nierenfunktion die Oxidation verringert.</w:t>
      </w:r>
    </w:p>
    <w:p>
      <w:r>
        <w:rPr>
          <w:b/>
        </w:rPr>
        <w:t xml:space="preserve">Ergebnis: </w:t>
      </w:r>
      <w:r>
        <w:t>Vor KTX waren HMA-Werte reduziert (Median 63,5%), HNA-1 und HNA-2 erhöht. Eine Woche nach KTX verschlechterte sich HMA weiter (57,9%), HNA-2 stieg auf 9,2%. Trotz rascher Funktionserholung war die ARS-Normalisierung langsam und variabel; 180 Tage post-KTX zeigten 31 % der Patienten noch erhöhte Oxidationssignale, was nahelegt, dass Faktoren jenseits der Nierenfunktion die ARS beeinflussen.</w:t>
      </w:r>
    </w:p>
    <w:p>
      <w:r>
        <w:rPr>
          <w:b/>
          <w:sz w:val="19"/>
        </w:rPr>
        <w:t xml:space="preserve">Übertragbarkeit: </w:t>
      </w:r>
      <w:r>
        <w:rPr>
          <w:sz w:val="19"/>
        </w:rPr>
        <w:t>Deutschland/Österreich, vergleichbare Transplantationsverfahren und -strukturen</w:t>
      </w:r>
    </w:p>
    <w:p>
      <w:r>
        <w:rPr>
          <w:color w:val="5A7D3A"/>
          <w:sz w:val="18"/>
        </w:rPr>
        <w:t>https://pubmed.ncbi.nlm.nih.gov/42665799/</w:t>
      </w:r>
    </w:p>
    <w:p>
      <w:pPr>
        <w:pStyle w:val="Heading2"/>
      </w:pPr>
      <w:r>
        <w:t>Muskelzell-Veränderungen bei Long COVID/ME-CFS unterscheiden sich grundlegend von Bettlägerigkeit</w:t>
      </w:r>
    </w:p>
    <w:p>
      <w:r>
        <w:rPr>
          <w:i/>
          <w:color w:val="666666"/>
          <w:sz w:val="18"/>
        </w:rPr>
        <w:t>Charlton BT et al.  ·  Nat Commun  ·  28.07.2026  ·  PMID 42649155</w:t>
      </w:r>
    </w:p>
    <w:p>
      <w:r>
        <w:t>Vergleichende Myofaser-Analyse nach 60-Tage-Bettruhe bei Gesunden versus Long COVID/ME-CFS-Patienten, um zu zeigen, dass Inaktivität allein nicht die Muskeldefekte erklärt.</w:t>
      </w:r>
    </w:p>
    <w:p>
      <w:r>
        <w:rPr>
          <w:b/>
        </w:rPr>
        <w:t xml:space="preserve">Ergebnis: </w:t>
      </w:r>
      <w:r>
        <w:t>Gesunde zeigen nach Bettruhe Muskelatrophie ohne Fasetyp-Verschiebung; beide Patientengruppen haben mehr glykolytische Fasern und ME/CFS-Patienten zeigen zusätzliche Typ-I-spezifische Atrophie. Nur nach Bettruhe war oxidative Phosphorylierungskapazität mit VO₂max korreliert. Die Muskelmerkmale unterscheiden sich fundamental zwischen Patienten und Bettruhe-Kontrollen, was zeigt, dass Inaktivität nicht die metabolischen Abnormitäten erklärt.</w:t>
      </w:r>
    </w:p>
    <w:p>
      <w:r>
        <w:rPr>
          <w:b/>
          <w:sz w:val="19"/>
        </w:rPr>
        <w:t xml:space="preserve">Übertragbarkeit: </w:t>
      </w:r>
      <w:r>
        <w:rPr>
          <w:sz w:val="19"/>
        </w:rPr>
        <w:t>Niederlande, vergleichbare Versorgungsbedingungen für chronische Erkrankungen</w:t>
      </w:r>
    </w:p>
    <w:p>
      <w:r>
        <w:rPr>
          <w:color w:val="5A7D3A"/>
          <w:sz w:val="18"/>
        </w:rPr>
        <w:t>https://pubmed.ncbi.nlm.nih.gov/42649155/</w:t>
      </w:r>
    </w:p>
    <w:p>
      <w:pPr>
        <w:pStyle w:val="Heading2"/>
      </w:pPr>
      <w:r>
        <w:t>Qualitätsindikatoren für Mehrfacherkrankung in der Hausarztpraxis – Protokoll einer partizipativen Entwicklung</w:t>
      </w:r>
    </w:p>
    <w:p>
      <w:r>
        <w:rPr>
          <w:i/>
          <w:color w:val="666666"/>
          <w:sz w:val="18"/>
        </w:rPr>
        <w:t>Tavares S et al.  ·  JMIR Res Protoc  ·  07.08.2026  ·  PMID 42567680</w:t>
      </w:r>
    </w:p>
    <w:p>
      <w:r>
        <w:t>Protokoll einer modifizierten RAND/UCLA-Studie zur Co-Entwicklung von nicht-diagnose-spezifischen Qualitätsindikatoren für Patienten mit Mehrfacherkrankungen (MLTC) mit Patienten, Angehörigen und Fachpersonen in England.</w:t>
      </w:r>
    </w:p>
    <w:p>
      <w:r>
        <w:rPr>
          <w:b/>
        </w:rPr>
        <w:t xml:space="preserve">Ergebnis: </w:t>
      </w:r>
      <w:r>
        <w:t>10 Patienten/Angehörige und 12 Fachpersonen konsentierten bis Juli 2026; 54 Kandidaten-Indikatoren aus Scoping Review und qualitativen Interviews mit 21 Patienten generiert. RAMStudie mit drei Runden geplant (Completion Anfang 2027). Indikatoren in Struktur-Prozess-Ergebnis-Qualitätsrahmen gemappt. Patient und Public Involvement mit vier Community-Partnern laufend. Ziel: umsetzungsorientiertes, primär-versorgungsgerechtes Indikator-Set für Mehrfacherkrankungen.</w:t>
      </w:r>
    </w:p>
    <w:p>
      <w:r>
        <w:rPr>
          <w:b/>
          <w:sz w:val="19"/>
        </w:rPr>
        <w:t xml:space="preserve">Übertragbarkeit: </w:t>
      </w:r>
      <w:r>
        <w:rPr>
          <w:sz w:val="19"/>
        </w:rPr>
        <w:t>Großbritannien/NHS, vergleichbarer Versorgungsauftrag und Gate-Keeper-Modell</w:t>
      </w:r>
    </w:p>
    <w:p>
      <w:r>
        <w:rPr>
          <w:color w:val="5A7D3A"/>
          <w:sz w:val="18"/>
        </w:rPr>
        <w:t>https://pubmed.ncbi.nlm.nih.gov/42567680/</w:t>
      </w:r>
    </w:p>
    <w:p>
      <w:pPr>
        <w:pStyle w:val="Heading2"/>
      </w:pPr>
      <w:r>
        <w:t>Migranten-Jugendliche zeigen hohe Mehrfacherkrankung; unbegleitete haben 4-fach erhöhtes Trauma-Risiko</w:t>
      </w:r>
    </w:p>
    <w:p>
      <w:r>
        <w:rPr>
          <w:i/>
          <w:color w:val="666666"/>
          <w:sz w:val="18"/>
        </w:rPr>
        <w:t>Ngom L et al.  ·  J Adolesc Health  ·  04.08.2026  ·  PMID 42554533</w:t>
      </w:r>
    </w:p>
    <w:p>
      <w:r>
        <w:t>Observationskohort von 384 Migranten-Jugendlichen (10–17 J., Ankunft &lt;5 Jahre) in Marseille 2019–2024, die multimorbidität (CIRS) und psychisches Trauma-Risiko (Protect) misst.</w:t>
      </w:r>
    </w:p>
    <w:p>
      <w:r>
        <w:rPr>
          <w:b/>
        </w:rPr>
        <w:t xml:space="preserve">Ergebnis: </w:t>
      </w:r>
      <w:r>
        <w:t>Mittleres CIRS 3,98; 35,4 % hatten ≥3 Organ-System-Beeinträchtigungen. Häufigste: HNO/Zähne (48,7%), Muskel-Skelett (46,4%), psychische Störungen (25,3%). Multimorbidität assoziiert mit chronischer Vorgeschichte vor Migration (adj. OR 1,40; p&lt;0,0005) und während Migration (adj. OR 1,94; p=0,005). Trauma-Risiko erhöht bei unbegleiteten Jugendlichen (adj. OR 4,27; p&lt;0,05) und höherer physischer Morbidität (OR 1,18; p&lt;0,05). ED-Besuche sanken während und nach Versorgung im Unit. Vulnerable Population erfordert umfassenden Versorgungspfad.</w:t>
      </w:r>
    </w:p>
    <w:p>
      <w:r>
        <w:rPr>
          <w:b/>
          <w:sz w:val="19"/>
        </w:rPr>
        <w:t xml:space="preserve">Übertragbarkeit: </w:t>
      </w:r>
      <w:r>
        <w:rPr>
          <w:sz w:val="19"/>
        </w:rPr>
        <w:t>Frankreich, vergleichbare EU-Versorgungsstruktur; Übertragbarkeit hängt an kultursensibler Ausgestaltung</w:t>
      </w:r>
    </w:p>
    <w:p>
      <w:r>
        <w:rPr>
          <w:color w:val="5A7D3A"/>
          <w:sz w:val="18"/>
        </w:rPr>
        <w:t>https://pubmed.ncbi.nlm.nih.gov/42554533/</w:t>
      </w:r>
    </w:p>
    <w:p>
      <w:pPr>
        <w:pStyle w:val="Heading2"/>
      </w:pPr>
      <w:r>
        <w:t>Aktualisierte CIDP-Leitlinie (2021) zeigt höhere Spezifität, aber niedrigere Sensitivität</w:t>
      </w:r>
    </w:p>
    <w:p>
      <w:r>
        <w:rPr>
          <w:i/>
          <w:color w:val="666666"/>
          <w:sz w:val="18"/>
        </w:rPr>
        <w:t>van Doorn IN et al.  ·  Eur J Neurol  ·  Aug. 2026  ·  PMID 42549490</w:t>
      </w:r>
    </w:p>
    <w:p>
      <w:r>
        <w:t>Vergleich der diagnostischen Genauigkeit der 2010 EFNS/PNS und der 2021 EAN/PNS Richtlinien für CIDP anhand von 339 Patienten und 339 Kontrollen mit vermuteter chronischer Neuropathie.</w:t>
      </w:r>
    </w:p>
    <w:p>
      <w:r>
        <w:rPr>
          <w:b/>
        </w:rPr>
        <w:t xml:space="preserve">Ergebnis: </w:t>
      </w:r>
      <w:r>
        <w:t>Die 2010-Richtlinie erzielte 92 % Sensitivität und 67 % Spezifität (möglich CIDP) bzw. 91 % und 78 % (wahrscheinlich/definit). Die 2021-Richtlinie zeigte 94 % Sensitivität und 66 % Spezifität (möglich) bzw. 83 % und 86 % (CIDP). Unterschiede entstanden durch geänderte Sensory-Kriterien und Leitfähigkeits-Schwellwerte. Unilaterale NCS hätte 77 mögliche CIDP-Diagnosen übersehen.</w:t>
      </w:r>
    </w:p>
    <w:p>
      <w:r>
        <w:rPr>
          <w:b/>
          <w:sz w:val="19"/>
        </w:rPr>
        <w:t xml:space="preserve">Übertragbarkeit: </w:t>
      </w:r>
      <w:r>
        <w:rPr>
          <w:sz w:val="19"/>
        </w:rPr>
        <w:t>Niederlande, europäische Versorgungsstandards und Leitlinienimplement ierung</w:t>
      </w:r>
    </w:p>
    <w:p>
      <w:r>
        <w:rPr>
          <w:color w:val="5A7D3A"/>
          <w:sz w:val="18"/>
        </w:rPr>
        <w:t>https://pubmed.ncbi.nlm.nih.gov/42549490/</w:t>
      </w:r>
    </w:p>
    <w:p>
      <w:pPr>
        <w:pStyle w:val="Heading2"/>
      </w:pPr>
      <w:r>
        <w:t>HDV-Infektionen schwächen Lebensqualität und Fatigue mit Krankheitsprogress massiv</w:t>
      </w:r>
    </w:p>
    <w:p>
      <w:r>
        <w:rPr>
          <w:i/>
          <w:color w:val="666666"/>
          <w:sz w:val="18"/>
        </w:rPr>
        <w:t>Lampertico P et al.  ·  J Viral Hepat  ·  Sept. 2026  ·  PMID 42538645</w:t>
      </w:r>
    </w:p>
    <w:p>
      <w:r>
        <w:t>Internationale Real-World-Querschnittstudie (Deutschland, Italien, Spanien, USA) zu Lebensqualität (EQ-5D-3L, HepQoL v2) und Fatigue (FSS) in verschiedenen HDV-Erkrankungsstadien bei 211 Patienten.</w:t>
      </w:r>
    </w:p>
    <w:p>
      <w:r>
        <w:rPr>
          <w:b/>
        </w:rPr>
        <w:t xml:space="preserve">Ergebnis: </w:t>
      </w:r>
      <w:r>
        <w:t>EQ-5D-VAS-Scores sanken mit höherer Krankheitsschwere signifikant (p&lt;0,0001): von kompensiert zu dekompensiert zu HCC zeigte kontinuierliche Verschlechterung. Alle HepQoL-Domänen verschlechterten sich mit Progression (p≤0,0001). Mittlere FSS-Scores stiegen mit Krankheitsschwere (p&lt;0,0001). HDV belastet Patienten massiv, besonders in fortgeschrittenen Stadien; Therapien zur Krankheitsverzögerung sind dringend erforderlich.</w:t>
      </w:r>
    </w:p>
    <w:p>
      <w:r>
        <w:rPr>
          <w:b/>
          <w:sz w:val="19"/>
        </w:rPr>
        <w:t xml:space="preserve">Übertragbarkeit: </w:t>
      </w:r>
      <w:r>
        <w:rPr>
          <w:sz w:val="19"/>
        </w:rPr>
        <w:t>Deutschland/Italien/Spanien, vergleichbare Sozialversicherungssysteme und Versorgungsstrukturen</w:t>
      </w:r>
    </w:p>
    <w:p>
      <w:r>
        <w:rPr>
          <w:color w:val="5A7D3A"/>
          <w:sz w:val="18"/>
        </w:rPr>
        <w:t>https://pubmed.ncbi.nlm.nih.gov/42538645/</w:t>
      </w:r>
    </w:p>
    <w:p>
      <w:pPr>
        <w:pStyle w:val="Heading1"/>
      </w:pPr>
      <w:r>
        <w:t>Aufgenommen am 01.09.2026</w:t>
      </w:r>
    </w:p>
    <w:p>
      <w:pPr>
        <w:pStyle w:val="Heading2"/>
      </w:pPr>
      <w:r>
        <w:t>ICS/LAMA/LABA senkte kardiovaskuläre Ereignisse bei COPD um 52 % gegenüber LAMA/LABA</w:t>
      </w:r>
    </w:p>
    <w:p>
      <w:r>
        <w:rPr>
          <w:i/>
          <w:color w:val="666666"/>
          <w:sz w:val="18"/>
        </w:rPr>
        <w:t>Wang YQ et al.  ·  Int J Chron Obstruct Pulmon Dis  ·  26.08.2026  ·  PMID 42670477</w:t>
      </w:r>
    </w:p>
    <w:p>
      <w:r>
        <w:t>Retrospektive Kohortenstudie mit deutschen Krankenkassendaten untersuchte, ob Triple-Therapie (ICS/LAMA/LABA) gegenüber Doppel-Therapie (LAMA/LABA) bei COPD-Patienten major adverse cardiovascular events (MACEs) reduziert.</w:t>
      </w:r>
    </w:p>
    <w:p>
      <w:r>
        <w:rPr>
          <w:b/>
        </w:rPr>
        <w:t xml:space="preserve">Ergebnis: </w:t>
      </w:r>
      <w:r>
        <w:t>Über 20,5 Monate: 102 MACEs insgesamt (19,2 %); LAMA/LABA 22 % vs. ICS/LAMA/LABA 17 % (adjustierte HR 0,481; 95%-KI 0,302–0,766; p=0,002). Bei hohem kardiovaskulärem Risiko war die Risikoreduktion noch stärker (HR 0,435; p&lt;0,001). Das Ergebnis unterstreicht den kardioprotektiven Zusatzeffekt von ICS in der Erhaltungstherapie.</w:t>
      </w:r>
    </w:p>
    <w:p>
      <w:r>
        <w:rPr>
          <w:b/>
          <w:sz w:val="19"/>
        </w:rPr>
        <w:t xml:space="preserve">Übertragbarkeit: </w:t>
      </w:r>
      <w:r>
        <w:rPr>
          <w:sz w:val="19"/>
        </w:rPr>
        <w:t>Deutsche Routinedaten, Versicherungssystem und COPD-Patient:innen vergleichbar mit Gesundheitssystem</w:t>
      </w:r>
    </w:p>
    <w:p>
      <w:r>
        <w:rPr>
          <w:color w:val="5A7D3A"/>
          <w:sz w:val="18"/>
        </w:rPr>
        <w:t>https://pubmed.ncbi.nlm.nih.gov/42670477/</w:t>
      </w:r>
    </w:p>
    <w:p>
      <w:pPr>
        <w:pStyle w:val="Heading2"/>
      </w:pPr>
      <w:r>
        <w:t>GLP-1-Rezeptoragonisten senken kardiovaskuläre Ereignisse bei Dialysepatienten mit Herzinsuffizienz um 28 %</w:t>
      </w:r>
    </w:p>
    <w:p>
      <w:r>
        <w:rPr>
          <w:i/>
          <w:color w:val="666666"/>
          <w:sz w:val="18"/>
        </w:rPr>
        <w:t>Liu PY et al.  ·  Nat Commun  ·  30.07.2026  ·  PMID 42669711</w:t>
      </w:r>
    </w:p>
    <w:p>
      <w:r>
        <w:t>Emulierte Zielstudie mit US-amerikanischem elektronischem Gesundheitsaktenverbund (TriNetX) verglich GLP-1-Rezeptoragonisten (GLP-1RA) versus DPP-4-Inhibitoren (DPP-4i) bei dialysepflichtigen Diabetespatienten mit Herzinsuffizienz hinsichtlich ischämischer kardiovaskulärer Ereignisse und Herzinsuffizienzexazerbationen.</w:t>
      </w:r>
    </w:p>
    <w:p>
      <w:r>
        <w:rPr>
          <w:b/>
        </w:rPr>
        <w:t xml:space="preserve">Ergebnis: </w:t>
      </w:r>
      <w:r>
        <w:t>GLP-1RA vs. DPP-4i: Primärer kombinierter Outcome (ischämische Events + HF-Exazerbationen) 31,7 % vs. 41,4 % (HR 0,72; 95%-KI 0,64–0,82; p&lt;0,0001). Konsistente Reduktionen bei ischämischen Events (HR 0,74), HF-Exazerbationen (HR 0,76), Gesamtmortalität (HR 0,68). Ergebnis in Sensitivitätsanalysen und Subgruppen stabil.</w:t>
      </w:r>
    </w:p>
    <w:p>
      <w:r>
        <w:rPr>
          <w:b/>
          <w:sz w:val="19"/>
        </w:rPr>
        <w:t xml:space="preserve">Übertragbarkeit: </w:t>
      </w:r>
      <w:r>
        <w:rPr>
          <w:sz w:val="19"/>
        </w:rPr>
        <w:t>USA-Daten aus elektronischen Akten; Übertragbarkeit auf Deutschland begrenzt durch andere Versorgungsstrukturen</w:t>
      </w:r>
    </w:p>
    <w:p>
      <w:r>
        <w:rPr>
          <w:color w:val="5A7D3A"/>
          <w:sz w:val="18"/>
        </w:rPr>
        <w:t>https://pubmed.ncbi.nlm.nih.gov/42669711/</w:t>
      </w:r>
    </w:p>
    <w:p>
      <w:pPr>
        <w:pStyle w:val="Heading2"/>
      </w:pPr>
      <w:r>
        <w:t>FGF-23 als Prognosemarker für CKD-Progression und kardiovaskuläre Ereignisse validiert</w:t>
      </w:r>
    </w:p>
    <w:p>
      <w:r>
        <w:rPr>
          <w:i/>
          <w:color w:val="666666"/>
          <w:sz w:val="18"/>
        </w:rPr>
        <w:t>Hsu JW et al.  ·  PeerJ  ·  24.08.2026  ·  PMID 42668972</w:t>
      </w:r>
    </w:p>
    <w:p>
      <w:r>
        <w:t>Systematische Übersichtsarbeit und Metaanalyse von 12 prospektiven Kohortenstudien (21.042 Patienten mit CKD Stadium 1–5) untersuchte die Vorhersagekraft von Fibroblast-Growth-Factor-23 (FGF-23) für Nierenfunktionsverschlechterung, Nierenversagen, kardiovaskuläre Ereignisse und Sterblichkeit.</w:t>
      </w:r>
    </w:p>
    <w:p>
      <w:r>
        <w:rPr>
          <w:b/>
        </w:rPr>
        <w:t xml:space="preserve">Ergebnis: </w:t>
      </w:r>
      <w:r>
        <w:t>Erhöhte FGF-23-Spiegel assoziiert mit eGFR-Rückgang (Mittelwertdifferenz −17,83 mL/min/1,73m²). Bei leichter bis mittelschwerer CKD: Jede 10 RU/mL FGF-23-Steigerung erhöhte Nierenversagensrisiko um 1,7 % (HR 1,01; 95%-KI 1,01–1,02). Bei fortgeschrittener CKD (höchstes vs. niedrigstes Quartil): 2,32-fach erhöhtes Nierenversagensrisiko (95%-KI 1,80–2,98). Kardiovaskuläre Events (HR 1,72), Herzinsuffizienz (HR 2,14), Gesamtmortalität (HR 1,61) signifikant erhöht.</w:t>
      </w:r>
    </w:p>
    <w:p>
      <w:r>
        <w:rPr>
          <w:b/>
          <w:sz w:val="19"/>
        </w:rPr>
        <w:t xml:space="preserve">Übertragbarkeit: </w:t>
      </w:r>
      <w:r>
        <w:rPr>
          <w:sz w:val="19"/>
        </w:rPr>
        <w:t>Metaanalyse mit internationalen Studien; Biomarker-Stratifizierung ist international anwendbar</w:t>
      </w:r>
    </w:p>
    <w:p>
      <w:r>
        <w:rPr>
          <w:color w:val="5A7D3A"/>
          <w:sz w:val="18"/>
        </w:rPr>
        <w:t>https://pubmed.ncbi.nlm.nih.gov/42668972/</w:t>
      </w:r>
    </w:p>
    <w:p>
      <w:pPr>
        <w:pStyle w:val="Heading2"/>
      </w:pPr>
      <w:r>
        <w:t>Bessere Schlafqualität assoziiert mit 36 % weniger Müdigkeit bei Hämodialysepatienten</w:t>
      </w:r>
    </w:p>
    <w:p>
      <w:r>
        <w:rPr>
          <w:i/>
          <w:color w:val="666666"/>
          <w:sz w:val="18"/>
        </w:rPr>
        <w:t>Chen G et al.  ·  Sleep Breath  ·  29.08.2026  ·  PMID 42667469</w:t>
      </w:r>
    </w:p>
    <w:p>
      <w:r>
        <w:t>Querschnittstudie bei 249 Hämodialysepatienten in China untersuchte die Assoziation multidimensionaler Schlafgesundheit (RU_SATED 2.0) mit Müdigkeit (Fatigue Scale-14) unter Adjustierung für Alter, Lebensstil und laborchemische Marker.</w:t>
      </w:r>
    </w:p>
    <w:p>
      <w:r>
        <w:rPr>
          <w:b/>
        </w:rPr>
        <w:t xml:space="preserve">Ergebnis: </w:t>
      </w:r>
      <w:r>
        <w:t>Multidimensionale Schlafgesundheit signifikant assoziiert mit Gesamtmüdigkeit (B = −0,36; 95%-KI −0,50 bis −0,21; p&lt;0,001), körperliche Müdigkeit (B = −0,22; p&lt;0,001), mentale Müdigkeit (B = −0,13; p&lt;0,001). Altersmoderation signifikant (B = 0,02; p=0,017). Bessere Schlafgesundheit war mit niedrigeren Müdigkeitswerten assoziiert; älter Patienten zeigten schwächere Assoziationen.</w:t>
      </w:r>
    </w:p>
    <w:p>
      <w:r>
        <w:rPr>
          <w:b/>
          <w:sz w:val="19"/>
        </w:rPr>
        <w:t xml:space="preserve">Übertragbarkeit: </w:t>
      </w:r>
      <w:r>
        <w:rPr>
          <w:sz w:val="19"/>
        </w:rPr>
        <w:t>China-Daten; Schlaf-Müdigkeit-Assoziation dialysepflicht-spezifisch, international relevant für Patient:innen-zentierte Ergebnisse</w:t>
      </w:r>
    </w:p>
    <w:p>
      <w:r>
        <w:rPr>
          <w:color w:val="5A7D3A"/>
          <w:sz w:val="18"/>
        </w:rPr>
        <w:t>https://pubmed.ncbi.nlm.nih.gov/42667469/</w:t>
      </w:r>
    </w:p>
    <w:p>
      <w:pPr>
        <w:pStyle w:val="Heading2"/>
      </w:pPr>
      <w:r>
        <w:t>Pharmakogenetisches Tacrolimus-Dosierungsmanagement bei Nierenhochrisikopatienten im Spanienverfügbar (TRANSPGx-Studie)</w:t>
      </w:r>
    </w:p>
    <w:p>
      <w:r>
        <w:rPr>
          <w:i/>
          <w:color w:val="666666"/>
          <w:sz w:val="18"/>
        </w:rPr>
        <w:t>Seco-Meseguer E et al.  ·  BMJ Open  ·  03.08.2026  ·  PMID 42547238</w:t>
      </w:r>
    </w:p>
    <w:p>
      <w:r>
        <w:t>Multizentrisches, adaptives Phase-IV-Protokoll in Spanien prüft, ob präemptive Genotypisierung für Tacrolimus-Dosierung versus Standardversorgung bei Patienten mit chronischer Nierenerkrankung vor Nierentransplantation die Erreichung von Tacrolimus-Zielplasmakonzentrationen verbessert.</w:t>
      </w:r>
    </w:p>
    <w:p>
      <w:r>
        <w:rPr>
          <w:b/>
        </w:rPr>
        <w:t xml:space="preserve">Ergebnis: </w:t>
      </w:r>
      <w:r>
        <w:t>Laufendes RCT mit Zielgröße 114 Patienten; Primärer Endpunkt: Erreichen von Tacrolimus-Zielkonzentrationen nach Transplantation. Rekrutierung geplant über 12 Monate mit 6-monatiger Nachverfolgung. Studie ist ethisch genehmigt (La Paz 2024.740) und registriert (EU CT 2024-516596-32-00).</w:t>
      </w:r>
    </w:p>
    <w:p>
      <w:r>
        <w:rPr>
          <w:b/>
          <w:sz w:val="19"/>
        </w:rPr>
        <w:t xml:space="preserve">Übertragbarkeit: </w:t>
      </w:r>
      <w:r>
        <w:rPr>
          <w:sz w:val="19"/>
        </w:rPr>
        <w:t>Spanisches Gesundheitssystem, vergleichbar mit Deutschland in Koordination und sozialer Krankenversicherung</w:t>
      </w:r>
    </w:p>
    <w:p>
      <w:r>
        <w:rPr>
          <w:color w:val="5A7D3A"/>
          <w:sz w:val="18"/>
        </w:rPr>
        <w:t>https://pubmed.ncbi.nlm.nih.gov/42547238/</w:t>
      </w:r>
    </w:p>
    <w:p>
      <w:pPr>
        <w:pStyle w:val="Heading2"/>
      </w:pPr>
      <w:r>
        <w:t>ME/CFS zeigt geschlechtsspezifische Unterschiede in Immun- und Darmsymptomen, Menopause moduliert Immunantwort</w:t>
      </w:r>
    </w:p>
    <w:p>
      <w:r>
        <w:rPr>
          <w:i/>
          <w:color w:val="666666"/>
          <w:sz w:val="18"/>
        </w:rPr>
        <w:t>Habermann-Horstmeier L et al.  ·  J Transl Med  ·  27.07.2026  ·  PMID 42522006</w:t>
      </w:r>
    </w:p>
    <w:p>
      <w:r>
        <w:t>Querschnittsstudie mit 748 Erwachsenen (608 Frauen, 137 Männer) mit medizinischer ME/CFS-Diagnose untersuchte mittels Faktorenanalyse und Strukturgleichungsmodellierung die Latentstruktur von Immun- und Darmsymptomen nach Geschlecht und Menopausenstatus.</w:t>
      </w:r>
    </w:p>
    <w:p>
      <w:r>
        <w:rPr>
          <w:b/>
        </w:rPr>
        <w:t xml:space="preserve">Ergebnis: </w:t>
      </w:r>
      <w:r>
        <w:t>Frauen: Immun- und Darmsymptome bilden zwei distinkte aber korrelierte Cluster (tetrachorische ρ = 0,47–0,60), EFA unterstützt Zwei-Faktor-Lösung. Männer: Alle vier Symptome laden auf einen integrierten Gut/Immun-Faktor (ρ = 0,43–0,68; one-factor-Modell CFI = 0,981, RMSEA = 0,074). Frauen: Prämenopausale berichten häufiger Grippesymptome als postmenopausale (Unterschied signifikant); Darmsymptome und Lebensmittelintoleranzen bleiben stabil. Empfinden von Infektionsanfälligkeit dominantester Prädiktor.</w:t>
      </w:r>
    </w:p>
    <w:p>
      <w:r>
        <w:rPr>
          <w:b/>
          <w:sz w:val="19"/>
        </w:rPr>
        <w:t xml:space="preserve">Übertragbarkeit: </w:t>
      </w:r>
      <w:r>
        <w:rPr>
          <w:sz w:val="19"/>
        </w:rPr>
        <w:t>Deutsche und internationale Patient:innen; Geschlechtsabhängige Phänotypisierung relevant für ME/CFS-Management</w:t>
      </w:r>
    </w:p>
    <w:p>
      <w:r>
        <w:rPr>
          <w:color w:val="5A7D3A"/>
          <w:sz w:val="18"/>
        </w:rPr>
        <w:t>https://pubmed.ncbi.nlm.nih.gov/42522006/</w:t>
      </w:r>
    </w:p>
    <w:p>
      <w:pPr>
        <w:pStyle w:val="Heading1"/>
      </w:pPr>
      <w:r>
        <w:t>Aufgenommen am 31.08.2026</w:t>
      </w:r>
    </w:p>
    <w:p>
      <w:pPr>
        <w:pStyle w:val="Heading2"/>
      </w:pPr>
      <w:r>
        <w:t>Inhalationstechnik bei COPD: 96% der Patienten könnten DPIs nutzen</w:t>
      </w:r>
    </w:p>
    <w:p>
      <w:r>
        <w:rPr>
          <w:i/>
          <w:color w:val="666666"/>
          <w:sz w:val="18"/>
        </w:rPr>
        <w:t>Bravo Quiroga L et al.  ·  Int J Chron Obstruct Pulmon Dis  ·  25.08.2026  ·  PMID 42668822</w:t>
      </w:r>
    </w:p>
    <w:p>
      <w:r>
        <w:t>Querschnittstudie an 273 stabilen COPD-Patienten mit pMDI+Spacer in 70 spanischen Zentren zur Messung der Inspirationskraft und Eignung für Pulvertrockner.</w:t>
      </w:r>
    </w:p>
    <w:p>
      <w:r>
        <w:rPr>
          <w:b/>
        </w:rPr>
        <w:t xml:space="preserve">Ergebnis: </w:t>
      </w:r>
      <w:r>
        <w:t>96% erreichten PIF ≥30 L/min bei mittlerer-hoher Resistance, 61,9% ≥60 L/min. Unvollständige Exhalation hatte nur begrenzte Auswirkungen. Spacer-Verschreibung erfolgte selten auf Basis objektiver PIF-Messung.</w:t>
      </w:r>
    </w:p>
    <w:p>
      <w:r>
        <w:rPr>
          <w:b/>
          <w:sz w:val="19"/>
        </w:rPr>
        <w:t xml:space="preserve">Übertragbarkeit: </w:t>
      </w:r>
      <w:r>
        <w:rPr>
          <w:sz w:val="19"/>
        </w:rPr>
        <w:t>Spanien, vergleichbares Gesundheitssystem, direkt anwendbar für deutsche COPD-Versorgung.</w:t>
      </w:r>
    </w:p>
    <w:p>
      <w:r>
        <w:rPr>
          <w:color w:val="5A7D3A"/>
          <w:sz w:val="18"/>
        </w:rPr>
        <w:t>https://pubmed.ncbi.nlm.nih.gov/42668822/</w:t>
      </w:r>
    </w:p>
    <w:p>
      <w:pPr>
        <w:pStyle w:val="Heading2"/>
      </w:pPr>
      <w:r>
        <w:t>Soziales Kapital und Selbstwirksamkeit verbessern Lebensqualität älterer chronisch Kranker</w:t>
      </w:r>
    </w:p>
    <w:p>
      <w:r>
        <w:rPr>
          <w:i/>
          <w:color w:val="666666"/>
          <w:sz w:val="18"/>
        </w:rPr>
        <w:t>Wang Y et al.  ·  Front Public Health  ·  21.08.2026  ·  PMID 42666637</w:t>
      </w:r>
    </w:p>
    <w:p>
      <w:r>
        <w:t>Latente Profilanalyse an 425 ländlichen älteren Erwachsenen mit chronischen Erkrankungen (Ningxia, China) zu Effekt von Sozialkapital auf Lebensqualität via Selbstwirksamkeit.</w:t>
      </w:r>
    </w:p>
    <w:p>
      <w:r>
        <w:rPr>
          <w:b/>
        </w:rPr>
        <w:t xml:space="preserve">Ergebnis: </w:t>
      </w:r>
      <w:r>
        <w:t>Drei Profile: niedrig (29,9%), moderat (49,4%), hoch (20,7%). Lebensqualität und Selbstwirksamkeit unterschieden sich signifikant (p&lt;0,001). Indirekter Effekt via Selbstwirksamkeit nur im hohen Profil signifikant (21,2% des Gesamteffekts), nicht im moderaten.</w:t>
      </w:r>
    </w:p>
    <w:p>
      <w:r>
        <w:rPr>
          <w:b/>
          <w:sz w:val="19"/>
        </w:rPr>
        <w:t xml:space="preserve">Übertragbarkeit: </w:t>
      </w:r>
      <w:r>
        <w:rPr>
          <w:sz w:val="19"/>
        </w:rPr>
        <w:t>China, aber Mehrfacherkrankung und psycho-soziale Mechanismen generalisierbar auf deutsche vulnerable Populationen.</w:t>
      </w:r>
    </w:p>
    <w:p>
      <w:r>
        <w:rPr>
          <w:color w:val="5A7D3A"/>
          <w:sz w:val="18"/>
        </w:rPr>
        <w:t>https://pubmed.ncbi.nlm.nih.gov/42666637/</w:t>
      </w:r>
    </w:p>
    <w:p>
      <w:pPr>
        <w:pStyle w:val="Heading2"/>
      </w:pPr>
      <w:r>
        <w:t>Kombinierte Inflammations- und Adipositäts-Indizes zeigen erhöhtes Multimorbidität-Risiko</w:t>
      </w:r>
    </w:p>
    <w:p>
      <w:r>
        <w:rPr>
          <w:i/>
          <w:color w:val="666666"/>
          <w:sz w:val="18"/>
        </w:rPr>
        <w:t>Chen J et al.  ·  Cardiovasc Diabetol  ·  26.08.2026  ·  PMID 42665793</w:t>
      </w:r>
    </w:p>
    <w:p>
      <w:r>
        <w:t>Prospektive Kohorte (n=6534, China Health and Retirement Longitudinal Study) zu Assoziation von CTI-Adipositäts-Indizes mit kardiovaskulär-hepatischen-metabolischen Multimorbidität über 4 Jahre.</w:t>
      </w:r>
    </w:p>
    <w:p>
      <w:r>
        <w:rPr>
          <w:b/>
        </w:rPr>
        <w:t xml:space="preserve">Ergebnis: </w:t>
      </w:r>
      <w:r>
        <w:t>CTI-BMI zeigte stärkste Assoziation (OR 3,46 in Quartil 4, p&lt;0,001), aber nur modest Diskriminationsfähigkeit (AUC 0,638). Effekt modifiziert durch Geschlecht und Raucherstatus, keine signifikante Interaktion zwischen CTI und BMI.</w:t>
      </w:r>
    </w:p>
    <w:p>
      <w:r>
        <w:rPr>
          <w:b/>
          <w:sz w:val="19"/>
        </w:rPr>
        <w:t xml:space="preserve">Übertragbarkeit: </w:t>
      </w:r>
      <w:r>
        <w:rPr>
          <w:sz w:val="19"/>
        </w:rPr>
        <w:t>China, aber Multimorbidität-Fokus und Methodologie relevant für deutsches Versorgungssetting mit mehreren Erkrankungen.</w:t>
      </w:r>
    </w:p>
    <w:p>
      <w:r>
        <w:rPr>
          <w:color w:val="5A7D3A"/>
          <w:sz w:val="18"/>
        </w:rPr>
        <w:t>https://pubmed.ncbi.nlm.nih.gov/42665793/</w:t>
      </w:r>
    </w:p>
    <w:p>
      <w:pPr>
        <w:pStyle w:val="Heading2"/>
      </w:pPr>
      <w:r>
        <w:t>CKD-assoziierter Pruritus bei 60,3% der Dialysepatienten, wenig Behandlung</w:t>
      </w:r>
    </w:p>
    <w:p>
      <w:r>
        <w:rPr>
          <w:i/>
          <w:color w:val="666666"/>
          <w:sz w:val="18"/>
        </w:rPr>
        <w:t>Yao X et al.  ·  Ren Fail  ·  27.08.2026  ·  PMID 42661327</w:t>
      </w:r>
    </w:p>
    <w:p>
      <w:r>
        <w:t>Multizentrisches Cross-sectional-Screening an 9.589 chinesischen Dialysepatienten (Mai–Dezember 2022) zur Prävalenz und Risikofaktoren von CKD-Pruritus.</w:t>
      </w:r>
    </w:p>
    <w:p>
      <w:r>
        <w:rPr>
          <w:b/>
        </w:rPr>
        <w:t xml:space="preserve">Ergebnis: </w:t>
      </w:r>
      <w:r>
        <w:t>Pruritus-Prävalenz 60,3% (mild 44,4%, moderat 12,5%, schwer 3,3%), HD vs. PD ähnlich (59,9% vs. 61,8%). Nur 2,9% erhielten potenziell wirksame Therapie (Gabapentinoide 2,8%). Assoziierte Faktoren: Rauchen, diabetische Nephropathie, kardiovaskuläre Erkrankung, Dialysedauer, Eosinophile, Kalzium, Phosphor.</w:t>
      </w:r>
    </w:p>
    <w:p>
      <w:r>
        <w:rPr>
          <w:b/>
          <w:sz w:val="19"/>
        </w:rPr>
        <w:t xml:space="preserve">Übertragbarkeit: </w:t>
      </w:r>
      <w:r>
        <w:rPr>
          <w:sz w:val="19"/>
        </w:rPr>
        <w:t>China, aber großes Problem auch in Deutschland; Versorgungsqualität und Symptommanagement messbar.</w:t>
      </w:r>
    </w:p>
    <w:p>
      <w:r>
        <w:rPr>
          <w:color w:val="5A7D3A"/>
          <w:sz w:val="18"/>
        </w:rPr>
        <w:t>https://pubmed.ncbi.nlm.nih.gov/42661327/</w:t>
      </w:r>
    </w:p>
    <w:p>
      <w:pPr>
        <w:pStyle w:val="Heading2"/>
      </w:pPr>
      <w:r>
        <w:t>Rauchen vor Alter 24 verdoppelt COPD-Risiko und Multimorbidität</w:t>
      </w:r>
    </w:p>
    <w:p>
      <w:r>
        <w:rPr>
          <w:i/>
          <w:color w:val="666666"/>
          <w:sz w:val="18"/>
        </w:rPr>
        <w:t>Liu Z et al.  ·  J Glob Health  ·  28.08.2026  ·  PMID 42659031</w:t>
      </w:r>
    </w:p>
    <w:p>
      <w:r>
        <w:t>Analyse von 15.077 US-Teilnehmern und zwei UK Biobank-Kohorten (n=258.380) zu Effekt des Rauchbeginns während Alveolus-Reifung (≤24 Jahre) auf Cardiopulmonal-Erkrankung.</w:t>
      </w:r>
    </w:p>
    <w:p>
      <w:r>
        <w:rPr>
          <w:b/>
        </w:rPr>
        <w:t xml:space="preserve">Ergebnis: </w:t>
      </w:r>
      <w:r>
        <w:t>Frühe Raucher mit hohem Konsum: COPD HR 3,45 (95% KI 3,29–3,62) vs. spät Raucher 2,33 (1,91–2,83, p&lt;0,001). Multimorbidität-freie Wahrscheinlichkeit 0,55 vs. 0,65. Rauchentwöhnung zeigte stärkere relative Risikoreduktion bei frühen Rauchern.</w:t>
      </w:r>
    </w:p>
    <w:p>
      <w:r>
        <w:rPr>
          <w:b/>
          <w:sz w:val="19"/>
        </w:rPr>
        <w:t xml:space="preserve">Übertragbarkeit: </w:t>
      </w:r>
      <w:r>
        <w:rPr>
          <w:sz w:val="19"/>
        </w:rPr>
        <w:t>USA und UK, Präventions-fokussiert; Altersabhängigkeit relevant für deutsches Screening und Aufklärung.</w:t>
      </w:r>
    </w:p>
    <w:p>
      <w:r>
        <w:rPr>
          <w:color w:val="5A7D3A"/>
          <w:sz w:val="18"/>
        </w:rPr>
        <w:t>https://pubmed.ncbi.nlm.nih.gov/42659031/</w:t>
      </w:r>
    </w:p>
    <w:p>
      <w:pPr>
        <w:pStyle w:val="Heading2"/>
      </w:pPr>
      <w:r>
        <w:t>Neue Risikogene für Emphysem in Rauchern identifiziert</w:t>
      </w:r>
    </w:p>
    <w:p>
      <w:r>
        <w:rPr>
          <w:i/>
          <w:color w:val="666666"/>
          <w:sz w:val="18"/>
        </w:rPr>
        <w:t>Nyberg F et al.  ·  Respir Res  ·  08.08.2026  ·  PMID 42634071</w:t>
      </w:r>
    </w:p>
    <w:p>
      <w:r>
        <w:t>Genomweite Assoziationsstudie an 25.639 schwedischen Erwachsenen zur Identifikation genetischer Faktoren für Emphysem.</w:t>
      </w:r>
    </w:p>
    <w:p>
      <w:r>
        <w:rPr>
          <w:b/>
        </w:rPr>
        <w:t xml:space="preserve">Ergebnis: </w:t>
      </w:r>
      <w:r>
        <w:t>Bei Rauchern wurden drei unabhängige genetische Loci identifiziert (CHRNA5-A3-B4, DYSF, Chromosom 3), bei Nichtrauchern trotz großer Stichprobe keine Signale (niedriges Emphysemprävalenz 2,0% vs. 18,2% bei aktiven Rauchern).</w:t>
      </w:r>
    </w:p>
    <w:p>
      <w:r>
        <w:rPr>
          <w:b/>
          <w:sz w:val="19"/>
        </w:rPr>
        <w:t xml:space="preserve">Übertragbarkeit: </w:t>
      </w:r>
      <w:r>
        <w:rPr>
          <w:sz w:val="19"/>
        </w:rPr>
        <w:t>Schweden, populationsbasierte Studie, vergleichbar mit deutschem Versorgungskontext für Risikoidentifikation.</w:t>
      </w:r>
    </w:p>
    <w:p>
      <w:r>
        <w:rPr>
          <w:color w:val="5A7D3A"/>
          <w:sz w:val="18"/>
        </w:rPr>
        <w:t>https://pubmed.ncbi.nlm.nih.gov/42634071/</w:t>
      </w:r>
    </w:p>
    <w:p>
      <w:pPr>
        <w:pStyle w:val="Heading1"/>
      </w:pPr>
      <w:r>
        <w:t>Aufgenommen am 30.08.2026</w:t>
      </w:r>
    </w:p>
    <w:p>
      <w:pPr>
        <w:pStyle w:val="Heading2"/>
      </w:pPr>
      <w:r>
        <w:t>Eosinophil-gesteuerte COPD-Therapie: Guideline-Adherence fehlt bei 86% der Patienten</w:t>
      </w:r>
    </w:p>
    <w:p>
      <w:r>
        <w:rPr>
          <w:i/>
          <w:color w:val="666666"/>
          <w:sz w:val="18"/>
        </w:rPr>
        <w:t>Hester J et al.  ·  Lung  ·  29.08.2026  ·  PMID 42667442</w:t>
      </w:r>
    </w:p>
    <w:p>
      <w:r>
        <w:t>Retrospektive Kohortenstudie mit 688 COPD-Patienten in Cleveland-Kliniken evaluierte die Einhaltung GOLD-basierter Eosinophil-Kriterien für Inhalative Steroide (ICS) und klinische Ergebnisse.</w:t>
      </w:r>
    </w:p>
    <w:p>
      <w:r>
        <w:rPr>
          <w:b/>
        </w:rPr>
        <w:t xml:space="preserve">Ergebnis: </w:t>
      </w:r>
      <w:r>
        <w:t>589 von 688 Patienten (86%) erhielten ICS außerhalb von GOLD-Empfehlungen. Baseline-Eosinophil-Testing wurde nur in 15% durchgeführt. Pneumonie-Inzidenz war identisch (15% vs. 16%, p=0,686); ICS-Deeskalation erfolgte selten (7%) und gleichmäßig in beiden Gruppen. Exazerbation-Anamnese assoziiert mit guideline-konformer Verordnung.</w:t>
      </w:r>
    </w:p>
    <w:p>
      <w:r>
        <w:rPr>
          <w:b/>
          <w:sz w:val="19"/>
        </w:rPr>
        <w:t xml:space="preserve">Übertragbarkeit: </w:t>
      </w:r>
      <w:r>
        <w:rPr>
          <w:sz w:val="19"/>
        </w:rPr>
        <w:t>USA-basiert; Befund zur Guideline-Adherence ist übertragbar unabhängig vom Finanzierungssystem</w:t>
      </w:r>
    </w:p>
    <w:p>
      <w:r>
        <w:rPr>
          <w:color w:val="5A7D3A"/>
          <w:sz w:val="18"/>
        </w:rPr>
        <w:t>https://pubmed.ncbi.nlm.nih.gov/42667442/</w:t>
      </w:r>
    </w:p>
    <w:p>
      <w:pPr>
        <w:pStyle w:val="Heading2"/>
      </w:pPr>
      <w:r>
        <w:t>Triple-Therapie bei COPD: minimale Lebensqualitäts-Verbesserung, erhöhtes Pneumonie-Risiko</w:t>
      </w:r>
    </w:p>
    <w:p>
      <w:r>
        <w:rPr>
          <w:i/>
          <w:color w:val="666666"/>
          <w:sz w:val="18"/>
        </w:rPr>
        <w:t>Jiang J et al.  ·  Int J Chron Obstruct Pulmon Dis  ·  24.08.2026  ·  PMID 42666989</w:t>
      </w:r>
    </w:p>
    <w:p>
      <w:r>
        <w:t>Bayesian Network Meta-Analyse von 14 randomisierten Studien zu inhalativen Erhaltungstherapien und Auswirkungen auf St. George's Respiratory Questionnaire (SGRQ)-Scores bei stabiler COPD.</w:t>
      </w:r>
    </w:p>
    <w:p>
      <w:r>
        <w:rPr>
          <w:b/>
        </w:rPr>
        <w:t xml:space="preserve">Ergebnis: </w:t>
      </w:r>
      <w:r>
        <w:t>Triple-Therapie zeigte größte SGRQ-Verbesserung vs. Placebo (MD -3,99; 95% CrI -5,86 bis -2,16). Verglichen mit LABA+LAMA war triple Therapie marginal besser (MD -1,42; CrI -2,62 bis -0,16), unter minimaler klinisch bedeutsamer Differenz. Pneumonie-Risiko erhöht (OR 1,50; 95% CI 1,16-1,93). Andere aktive Regime unterschieden sich gering voneinander.</w:t>
      </w:r>
    </w:p>
    <w:p>
      <w:r>
        <w:rPr>
          <w:b/>
          <w:sz w:val="19"/>
        </w:rPr>
        <w:t xml:space="preserve">Übertragbarkeit: </w:t>
      </w:r>
      <w:r>
        <w:rPr>
          <w:sz w:val="19"/>
        </w:rPr>
        <w:t>Internationale RCT-Daten, Ergebnisse gelten für COPD-Management in Deutschland unabhängig vom System</w:t>
      </w:r>
    </w:p>
    <w:p>
      <w:r>
        <w:rPr>
          <w:color w:val="5A7D3A"/>
          <w:sz w:val="18"/>
        </w:rPr>
        <w:t>https://pubmed.ncbi.nlm.nih.gov/42666989/</w:t>
      </w:r>
    </w:p>
    <w:p>
      <w:pPr>
        <w:pStyle w:val="Heading2"/>
      </w:pPr>
      <w:r>
        <w:t>Geschlechts-Disparitäten in der Nierenkranken-Versorgung: Frauen unterdiagnostiziert und unterbehandelt</w:t>
      </w:r>
    </w:p>
    <w:p>
      <w:r>
        <w:rPr>
          <w:i/>
          <w:color w:val="666666"/>
          <w:sz w:val="18"/>
        </w:rPr>
        <w:t>Vidanapathirana M et al.  ·  BMC Nephrol  ·  19.08.2026  ·  PMID 42665802</w:t>
      </w:r>
    </w:p>
    <w:p>
      <w:r>
        <w:t>Systematische Übersichtsarbeit von 35 Studien (2000-Juli 2026) zu geschlechtsspezifischen Ungleichheiten im Versorgungszugang entlang der gesamten CKD-Betreuungskontinuum.</w:t>
      </w:r>
    </w:p>
    <w:p>
      <w:r>
        <w:rPr>
          <w:b/>
        </w:rPr>
        <w:t xml:space="preserve">Ergebnis: </w:t>
      </w:r>
      <w:r>
        <w:t>Frauen hatten niedrigere Chancen für CKD-Diagnose und Nephologie-Überweisung, weniger häufige Nierenfunktions-Kontrollen und niedrigere Verschreibungsraten guideline-empfohlener Medikamente. Unter Dialysepatienten: Frauen 38-41% Anteil mit späterem eGFR-Start (8,1-10,1 vs. 10,6 mL/min/1,73m²). Weniger Hämodialyse mit arteriovenöser Fistel; weniger Transplantationsreferral/-Evaluation/-Wartelisting. Systemische und sozioökonomische Mechanismen identifiziert.</w:t>
      </w:r>
    </w:p>
    <w:p>
      <w:r>
        <w:rPr>
          <w:b/>
          <w:sz w:val="19"/>
        </w:rPr>
        <w:t xml:space="preserve">Übertragbarkeit: </w:t>
      </w:r>
      <w:r>
        <w:rPr>
          <w:sz w:val="19"/>
        </w:rPr>
        <w:t>Globale Evidenz; Muster geschlechtsbasierter Ungleichheit ist kontextübergreifend relevant</w:t>
      </w:r>
    </w:p>
    <w:p>
      <w:r>
        <w:rPr>
          <w:color w:val="5A7D3A"/>
          <w:sz w:val="18"/>
        </w:rPr>
        <w:t>https://pubmed.ncbi.nlm.nih.gov/42665802/</w:t>
      </w:r>
    </w:p>
    <w:p>
      <w:pPr>
        <w:pStyle w:val="Heading2"/>
      </w:pPr>
      <w:r>
        <w:t>Hemodiafiltration versus Hemodialysis: Mortalität und Hospitalisierungsrisiko</w:t>
      </w:r>
    </w:p>
    <w:p>
      <w:r>
        <w:rPr>
          <w:i/>
          <w:color w:val="666666"/>
          <w:sz w:val="18"/>
        </w:rPr>
        <w:t>Roos S et al.  ·  BMC Nephrol  ·  28.08.2026  ·  PMID 42665796</w:t>
      </w:r>
    </w:p>
    <w:p>
      <w:r>
        <w:t>Zielgerichtete Studienprotokolle analysieren Routinedaten von über 1000 Dialysepatienten in Europa, um Unterschiede in Mortalität und Krankenhausaufenthalten zwischen Hemodiafiltration und konventionellem Hemodialysis zu untersuchen.</w:t>
      </w:r>
    </w:p>
    <w:p>
      <w:r>
        <w:rPr>
          <w:b/>
        </w:rPr>
        <w:t xml:space="preserve">Ergebnis: </w:t>
      </w:r>
      <w:r>
        <w:t>Geplante Erhebung mit Fokus auf Gesamtsterblichkeit und ursachenspezifische Hospitalisierungen; Hochvolumen-Hemodiafiltration (≥23 L Konvektionsvolumen) wird analysiert als primärer Vergleich. Randomisierte Studien zeigten bereits Mortalitätsvorteil; diese Realweltdaten sollen Generalisierbarkeit klären.</w:t>
      </w:r>
    </w:p>
    <w:p>
      <w:r>
        <w:rPr>
          <w:b/>
          <w:sz w:val="19"/>
        </w:rPr>
        <w:t xml:space="preserve">Übertragbarkeit: </w:t>
      </w:r>
      <w:r>
        <w:rPr>
          <w:sz w:val="19"/>
        </w:rPr>
        <w:t>Europäische Kohorte, deutsche Zentren beteiligt, vergleichbar mit deutschem Versorgungssystem</w:t>
      </w:r>
    </w:p>
    <w:p>
      <w:r>
        <w:rPr>
          <w:color w:val="5A7D3A"/>
          <w:sz w:val="18"/>
        </w:rPr>
        <w:t>https://pubmed.ncbi.nlm.nih.gov/42665796/</w:t>
      </w:r>
    </w:p>
    <w:p>
      <w:pPr>
        <w:pStyle w:val="Heading2"/>
      </w:pPr>
      <w:r>
        <w:t>Cardiometabolic Profile bei Diabetes und BMI: Adipositas erhöht Herzinsuffizienz und CKD-Risiko</w:t>
      </w:r>
    </w:p>
    <w:p>
      <w:r>
        <w:rPr>
          <w:i/>
          <w:color w:val="666666"/>
          <w:sz w:val="18"/>
        </w:rPr>
        <w:t>Ponzani P et al.  ·  Diabetes Res Clin Pract  ·  29.07.2026  ·  PMID 42526840</w:t>
      </w:r>
    </w:p>
    <w:p>
      <w:r>
        <w:t>Querschnittsanalyse von über 500.000 Patienten mit Typ-2-Diabetes aus 296 italienischen Diabeteszentren untersuchte Cardiometabolische Profile und Komplikationen über BMI-Kategorien.</w:t>
      </w:r>
    </w:p>
    <w:p>
      <w:r>
        <w:rPr>
          <w:b/>
        </w:rPr>
        <w:t xml:space="preserve">Ergebnis: </w:t>
      </w:r>
      <w:r>
        <w:t>Herzinsuffizienz-Prävalenzrate: PR 1,41 (p&lt;0,001) bei Adipositas vs. Normalgewicht; CKD: PR 1,13 (p&lt;0,001). Trotz ähnlicher HbA1c-Werte verschlechterten sich Risikofaktoren progressiv mit BMI. Adipöse Patienten waren jünger, mit kürzerer Diabetesdauer und niedrigeren Atherosklerose-Raten.</w:t>
      </w:r>
    </w:p>
    <w:p>
      <w:r>
        <w:rPr>
          <w:b/>
          <w:sz w:val="19"/>
        </w:rPr>
        <w:t xml:space="preserve">Übertragbarkeit: </w:t>
      </w:r>
      <w:r>
        <w:rPr>
          <w:sz w:val="19"/>
        </w:rPr>
        <w:t>Italienische Routinedaten vergleichbar mit deutschem ambulanten Diabetesmanagement in der Primärversorgung</w:t>
      </w:r>
    </w:p>
    <w:p>
      <w:r>
        <w:rPr>
          <w:color w:val="5A7D3A"/>
          <w:sz w:val="18"/>
        </w:rPr>
        <w:t>https://pubmed.ncbi.nlm.nih.gov/42526840/</w:t>
      </w:r>
    </w:p>
    <w:p>
      <w:pPr>
        <w:pStyle w:val="Heading2"/>
      </w:pPr>
      <w:r>
        <w:t>Inhalative Steroide bei COPD senken Lungenkrebsrisiko um 23-39% trotz Immortal-Time-Bias</w:t>
      </w:r>
    </w:p>
    <w:p>
      <w:r>
        <w:rPr>
          <w:i/>
          <w:color w:val="666666"/>
          <w:sz w:val="18"/>
        </w:rPr>
        <w:t>Santa B et al.  ·  Int J Chron Obstruct Pulmon Dis  ·  14.07.2026  ·  PMID 42518632</w:t>
      </w:r>
    </w:p>
    <w:p>
      <w:r>
        <w:t>Retrospektive Analyse von 96.686 bis 196.560 COPD-Patienten aus der ungarischen Nationalen Krankenversicherungsdatenbank (2009-2019) reproduzierte widersprechende frühere Studien zu ICS und Lungenkrebsinzidenz.</w:t>
      </w:r>
    </w:p>
    <w:p>
      <w:r>
        <w:rPr>
          <w:b/>
        </w:rPr>
        <w:t xml:space="preserve">Ergebnis: </w:t>
      </w:r>
      <w:r>
        <w:t>ICS-Nutzer &gt;1 Jahr: 26,2-60,8% der Population. Lungenkrebsfälle: 4.941-8.969 Fälle. Adjustierte Cox-Modelle zeigten konsistent protective effect: HR 0,77 (0,63-0,94) bzw. 0,61 (0,53-0,70). Trend trotz beider methodologischer Ansätze konsistent. Limitation: Rauchen nicht im Datensatz enthalten; höherer Asthma-Code-Anteil in ICS-Gruppe Cohort 2.</w:t>
      </w:r>
    </w:p>
    <w:p>
      <w:r>
        <w:rPr>
          <w:b/>
          <w:sz w:val="19"/>
        </w:rPr>
        <w:t xml:space="preserve">Übertragbarkeit: </w:t>
      </w:r>
      <w:r>
        <w:rPr>
          <w:sz w:val="19"/>
        </w:rPr>
        <w:t>Ungarische Routinedaten mit vergleichbarem Sozialversicherungssystem wie Deutschland</w:t>
      </w:r>
    </w:p>
    <w:p>
      <w:r>
        <w:rPr>
          <w:color w:val="5A7D3A"/>
          <w:sz w:val="18"/>
        </w:rPr>
        <w:t>https://pubmed.ncbi.nlm.nih.gov/42518632/</w:t>
      </w:r>
    </w:p>
    <w:p>
      <w:pPr>
        <w:pStyle w:val="Heading1"/>
      </w:pPr>
      <w:r>
        <w:t>Aufgenommen am 29.08.2026</w:t>
      </w:r>
    </w:p>
    <w:p>
      <w:pPr>
        <w:pStyle w:val="Heading2"/>
      </w:pPr>
      <w:r>
        <w:t>Rassen-freie Nierenfunktionsformel ändert Risikostratifizierung nicht</w:t>
      </w:r>
    </w:p>
    <w:p>
      <w:r>
        <w:rPr>
          <w:i/>
          <w:color w:val="666666"/>
          <w:sz w:val="18"/>
        </w:rPr>
        <w:t>Huisman BJMV et al.  ·  Glob Heart  ·  21.08.2026  ·  PMID 42631246</w:t>
      </w:r>
    </w:p>
    <w:p>
      <w:r>
        <w:t>HELIUS-Studie mit 21.617 Erwachsenen aus Amsterdam vergleicht alte (2009) und neue rassen-freie (2021) CKD-EPI-Formeln zur Nierenfunktion und kardiovaskulärem Risiko.</w:t>
      </w:r>
    </w:p>
    <w:p>
      <w:r>
        <w:rPr>
          <w:b/>
        </w:rPr>
        <w:t xml:space="preserve">Ergebnis: </w:t>
      </w:r>
      <w:r>
        <w:t>Die neue Formel zeigte bei Afrikanern leicht niedrigere eGFR-Werte, aber CKD-Klassifikation (κ=0,94-0,99) und kardiovaskuläre Risikostratifizierung waren nahezu identisch; Befund bestätigt klinische Austauschbarkeit.</w:t>
      </w:r>
    </w:p>
    <w:p>
      <w:r>
        <w:rPr>
          <w:b/>
          <w:sz w:val="19"/>
        </w:rPr>
        <w:t xml:space="preserve">Übertragbarkeit: </w:t>
      </w:r>
      <w:r>
        <w:rPr>
          <w:sz w:val="19"/>
        </w:rPr>
        <w:t>Niederlande, vergleichbares europäisches Sozialversicherungssystem</w:t>
      </w:r>
    </w:p>
    <w:p>
      <w:r>
        <w:rPr>
          <w:color w:val="5A7D3A"/>
          <w:sz w:val="18"/>
        </w:rPr>
        <w:t>https://pubmed.ncbi.nlm.nih.gov/42631246/</w:t>
      </w:r>
    </w:p>
    <w:p>
      <w:pPr>
        <w:pStyle w:val="Heading2"/>
      </w:pPr>
      <w:r>
        <w:t>Chronisches Pruritus bei Dialysepatienten: Häufigkeit und Belastung deutlich unterschätzt</w:t>
      </w:r>
    </w:p>
    <w:p>
      <w:r>
        <w:rPr>
          <w:i/>
          <w:color w:val="666666"/>
          <w:sz w:val="18"/>
        </w:rPr>
        <w:t>Downey C et al.  ·  J Ren Care  ·  Sept. 2026  ·  PMID 42554232</w:t>
      </w:r>
    </w:p>
    <w:p>
      <w:r>
        <w:t>Nationale Umfrage an 689 irischen Dialysepatienten zur Häufigkeit, Schweregrad und Erlebnis von dialyse-assoziiertem Juckreiz.</w:t>
      </w:r>
    </w:p>
    <w:p>
      <w:r>
        <w:rPr>
          <w:b/>
        </w:rPr>
        <w:t xml:space="preserve">Ergebnis: </w:t>
      </w:r>
      <w:r>
        <w:t>62% erlebten Pruritus, 66% davon moderat-schwer; Kopf/Gesicht am stärksten assoziiert mit Schweregrad (OR 2,08). Psychische Belastung erheblich: Schlafstörungen, Infektionsrisiko. Nur wenig Behandlung.</w:t>
      </w:r>
    </w:p>
    <w:p>
      <w:r>
        <w:rPr>
          <w:b/>
          <w:sz w:val="19"/>
        </w:rPr>
        <w:t xml:space="preserve">Übertragbarkeit: </w:t>
      </w:r>
      <w:r>
        <w:rPr>
          <w:sz w:val="19"/>
        </w:rPr>
        <w:t>Irland, NHS-Dialysezentren, europäische Strukturen</w:t>
      </w:r>
    </w:p>
    <w:p>
      <w:r>
        <w:rPr>
          <w:color w:val="5A7D3A"/>
          <w:sz w:val="18"/>
        </w:rPr>
        <w:t>https://pubmed.ncbi.nlm.nih.gov/42554232/</w:t>
      </w:r>
    </w:p>
    <w:p>
      <w:pPr>
        <w:pStyle w:val="Heading2"/>
      </w:pPr>
      <w:r>
        <w:t>Aminosäure-Dialysatlösungen verbessern Ernährungsstatus bei Peritonealdialyse</w:t>
      </w:r>
    </w:p>
    <w:p>
      <w:r>
        <w:rPr>
          <w:i/>
          <w:color w:val="666666"/>
          <w:sz w:val="18"/>
        </w:rPr>
        <w:t>Lindholm B et al.  ·  BMC Nephrol  ·  30.07.2026  ·  PMID 42538540</w:t>
      </w:r>
    </w:p>
    <w:p>
      <w:r>
        <w:t>Systematischer Review zu klinischen Studien mit 1,1%-Aminosäure-basierten Peritonealdialysatlösungen statt Glucose zur Reduktion der Glukoseexposition.</w:t>
      </w:r>
    </w:p>
    <w:p>
      <w:r>
        <w:rPr>
          <w:b/>
        </w:rPr>
        <w:t xml:space="preserve">Ergebnis: </w:t>
      </w:r>
      <w:r>
        <w:t>Aminosäure-Lösungen verbessern Serumalbumin und Stickstoffbilanz bei tolerabler Verträglichkeit; reduzieren Glukosebelastung. Langzeitdaten zu Technik-Überleben und Mortalität fehlen noch, aber Evidenz unterstützt gezielten Einsatz bei mangelernährten Hochrisikopatienten.</w:t>
      </w:r>
    </w:p>
    <w:p>
      <w:r>
        <w:rPr>
          <w:b/>
          <w:sz w:val="19"/>
        </w:rPr>
        <w:t xml:space="preserve">Übertragbarkeit: </w:t>
      </w:r>
      <w:r>
        <w:rPr>
          <w:sz w:val="19"/>
        </w:rPr>
        <w:t>Schweden, Europa, Peritonealdialyse-Standard</w:t>
      </w:r>
    </w:p>
    <w:p>
      <w:r>
        <w:rPr>
          <w:color w:val="5A7D3A"/>
          <w:sz w:val="18"/>
        </w:rPr>
        <w:t>https://pubmed.ncbi.nlm.nih.gov/42538540/</w:t>
      </w:r>
    </w:p>
    <w:p>
      <w:pPr>
        <w:pStyle w:val="Heading2"/>
      </w:pPr>
      <w:r>
        <w:t>Long COVID erhöht Risiko für neue chronische Erkrankungen deutlich</w:t>
      </w:r>
    </w:p>
    <w:p>
      <w:r>
        <w:rPr>
          <w:i/>
          <w:color w:val="666666"/>
          <w:sz w:val="18"/>
        </w:rPr>
        <w:t>Sõnajalg H et al.  ·  Front Public Health  ·  16.07.2026  ·  PMID 42534966</w:t>
      </w:r>
    </w:p>
    <w:p>
      <w:r>
        <w:t>Bevölkerungsbasierte estnische Kohorte (N=2.639 Long-COVID-Patienten, 199.171 Kontrollen) zur Assoziation zwischen Long COVID und Neuauftreten chronischer Erkrankungen.</w:t>
      </w:r>
    </w:p>
    <w:p>
      <w:r>
        <w:rPr>
          <w:b/>
        </w:rPr>
        <w:t xml:space="preserve">Ergebnis: </w:t>
      </w:r>
      <w:r>
        <w:t>Long COVID assoziiert mit erhöhtem Risiko für Asthma (OR 5,12), COPD (OR 4,08), Schlafapnoe (OR 3,05). Type-2-Diabetes-Inzidenz stieg nach März 2020 über erwartete Trends (p=1,84×10-80).</w:t>
      </w:r>
    </w:p>
    <w:p>
      <w:r>
        <w:rPr>
          <w:b/>
          <w:sz w:val="19"/>
        </w:rPr>
        <w:t xml:space="preserve">Übertragbarkeit: </w:t>
      </w:r>
      <w:r>
        <w:rPr>
          <w:sz w:val="19"/>
        </w:rPr>
        <w:t>Estland, nationale Gesundheitsdaten, europäisches System</w:t>
      </w:r>
    </w:p>
    <w:p>
      <w:r>
        <w:rPr>
          <w:color w:val="5A7D3A"/>
          <w:sz w:val="18"/>
        </w:rPr>
        <w:t>https://pubmed.ncbi.nlm.nih.gov/42534966/</w:t>
      </w:r>
    </w:p>
    <w:p>
      <w:pPr>
        <w:pStyle w:val="Heading2"/>
      </w:pPr>
      <w:r>
        <w:t>Endostatin zeigt Anämierisiko bei älteren Nierenpatienten an</w:t>
      </w:r>
    </w:p>
    <w:p>
      <w:r>
        <w:rPr>
          <w:i/>
          <w:color w:val="666666"/>
          <w:sz w:val="18"/>
        </w:rPr>
        <w:t>Corsonello A et al.  ·  J Transl Med  ·  24.07.2026  ·  PMID 42533353</w:t>
      </w:r>
    </w:p>
    <w:p>
      <w:r>
        <w:t>SCOPE-Studie (2.008 Erwachsene ≥75 Jahre) zur Assoziation zwischen zirkulierendem Endostatin und prävalenter/inzidenter Anämie bei CKD.</w:t>
      </w:r>
    </w:p>
    <w:p>
      <w:r>
        <w:rPr>
          <w:b/>
        </w:rPr>
        <w:t xml:space="preserve">Ergebnis: </w:t>
      </w:r>
      <w:r>
        <w:t>Höhere Endostatin-Level unabhängig assoziiert mit niedrigerem Hämoglobin (β -0,21) und prävalenter Anämie (OR 1,38). Bei Zwei-Jahres-Nachverfolgung: 11,4% Neuauftreten von Anämie, höhere Endostatin-Level erhöhten Risiko (sHR 1,40); Assoziation stärker bei CKD.</w:t>
      </w:r>
    </w:p>
    <w:p>
      <w:r>
        <w:rPr>
          <w:b/>
          <w:sz w:val="19"/>
        </w:rPr>
        <w:t xml:space="preserve">Übertragbarkeit: </w:t>
      </w:r>
      <w:r>
        <w:rPr>
          <w:sz w:val="19"/>
        </w:rPr>
        <w:t>Europäische Multizenterstudie (Schweden, Österreich, Niederlande, Spanien, Polen)</w:t>
      </w:r>
    </w:p>
    <w:p>
      <w:r>
        <w:rPr>
          <w:color w:val="5A7D3A"/>
          <w:sz w:val="18"/>
        </w:rPr>
        <w:t>https://pubmed.ncbi.nlm.nih.gov/42533353/</w:t>
      </w:r>
    </w:p>
    <w:p>
      <w:pPr>
        <w:pStyle w:val="Heading2"/>
      </w:pPr>
      <w:r>
        <w:t>Inhaled corticosteroids senken kardiovaskuläres Risiko bei COPD nicht</w:t>
      </w:r>
    </w:p>
    <w:p>
      <w:r>
        <w:rPr>
          <w:i/>
          <w:color w:val="666666"/>
          <w:sz w:val="18"/>
        </w:rPr>
        <w:t>Nielsen MRI et al.  ·  BMJ Open  ·  29.07.2026  ·  PMID 42526931</w:t>
      </w:r>
    </w:p>
    <w:p>
      <w:r>
        <w:t>Registerbasierte Kohortenstudie mit 82.327 COPD-Patienten in Dänemark zu kardiovaskulären Ereignissen unter ICS-Therapie in verschiedenen Dosen.</w:t>
      </w:r>
    </w:p>
    <w:p>
      <w:r>
        <w:rPr>
          <w:b/>
        </w:rPr>
        <w:t xml:space="preserve">Ergebnis: </w:t>
      </w:r>
      <w:r>
        <w:t>ICS waren bei keiner Dosis mit erhöhtem kardiovaskulärem Risiko assoziiert; moderate Dosen zeigten sogar modeste Risikoreduktion (HR 0,89, p&lt;0,05). Befund widerlegt Safety-Bedenken gegen ICS.</w:t>
      </w:r>
    </w:p>
    <w:p>
      <w:r>
        <w:rPr>
          <w:b/>
          <w:sz w:val="19"/>
        </w:rPr>
        <w:t xml:space="preserve">Übertragbarkeit: </w:t>
      </w:r>
      <w:r>
        <w:rPr>
          <w:sz w:val="19"/>
        </w:rPr>
        <w:t>Dänemark, nationale Registerdaten, vergleichbares Nordeuropa-System</w:t>
      </w:r>
    </w:p>
    <w:p>
      <w:r>
        <w:rPr>
          <w:color w:val="5A7D3A"/>
          <w:sz w:val="18"/>
        </w:rPr>
        <w:t>https://pubmed.ncbi.nlm.nih.gov/42526931/</w:t>
      </w:r>
    </w:p>
    <w:p>
      <w:pPr>
        <w:pStyle w:val="Heading1"/>
      </w:pPr>
      <w:r>
        <w:t>Aufgenommen am 28.08.2026</w:t>
      </w:r>
    </w:p>
    <w:p>
      <w:pPr>
        <w:pStyle w:val="Heading2"/>
      </w:pPr>
      <w:r>
        <w:t>Berufliche Expositionen und COPD-Neuerkrankungen: Exposom-Analyse in zwei europäischen Kohorten</w:t>
      </w:r>
    </w:p>
    <w:p>
      <w:r>
        <w:rPr>
          <w:i/>
          <w:color w:val="666666"/>
          <w:sz w:val="18"/>
        </w:rPr>
        <w:t>Kynde T et al.  ·  Ann Work Expo Health  ·  26.08.2026  ·  PMID 42658646</w:t>
      </w:r>
    </w:p>
    <w:p>
      <w:r>
        <w:t>Die Studie untersuchte in zwei europäischen Bevölkerungskohorten (ECRHS, CONSTANCES), welche beruflichen Expositionen mit Neuauftreten von COPD assoziiert sind – über Job-Expositions-Matrizen und moderne statistische Methoden (ExWAS, LASSO, Boruta Random Forest).</w:t>
      </w:r>
    </w:p>
    <w:p>
      <w:r>
        <w:rPr>
          <w:b/>
        </w:rPr>
        <w:t xml:space="preserve">Ergebnis: </w:t>
      </w:r>
      <w:r>
        <w:t>Wichtigste Risiko-Expositionen variieren zwischen Kohorten: In ECRHS waren Heben, Vorneigebewegungen, Gase/Dämpfe und Mineralstaub prädiktiv; in CONSTANCES Dieselabgase, kristallines Quarzmehl und Lösungsmittel. Beide Kohorten bestätigen bekannte chemische Gefahrstoffe und identifizieren neue Assoziationen zwischen ergonomischen/physischen Belastungen und COPD-Risiko.</w:t>
      </w:r>
    </w:p>
    <w:p>
      <w:r>
        <w:rPr>
          <w:b/>
          <w:sz w:val="19"/>
        </w:rPr>
        <w:t xml:space="preserve">Übertragbarkeit: </w:t>
      </w:r>
      <w:r>
        <w:rPr>
          <w:sz w:val="19"/>
        </w:rPr>
        <w:t>Europäische Kohorten mit strukturierter Expositionserfassung; Ergebnisse direkt auf deutsche Berufsgruppen übertragbar.</w:t>
      </w:r>
    </w:p>
    <w:p>
      <w:r>
        <w:rPr>
          <w:color w:val="5A7D3A"/>
          <w:sz w:val="18"/>
        </w:rPr>
        <w:t>https://pubmed.ncbi.nlm.nih.gov/42658646/</w:t>
      </w:r>
    </w:p>
    <w:p>
      <w:pPr>
        <w:pStyle w:val="Heading2"/>
      </w:pPr>
      <w:r>
        <w:t>Transdisziplinäres Rahmenwerk für chronische Erkrankung und chronischen Schmerz aus qualitativer Synthese</w:t>
      </w:r>
    </w:p>
    <w:p>
      <w:r>
        <w:rPr>
          <w:i/>
          <w:color w:val="666666"/>
          <w:sz w:val="18"/>
        </w:rPr>
        <w:t>Safavi-Abbasi S et al.  ·  Front Public Health  ·  12.08.2026  ·  PMID 42656526</w:t>
      </w:r>
    </w:p>
    <w:p>
      <w:r>
        <w:t>Systematische qualitative Metasynopse von 104 Primärstudien (2009–2025) zu Patientenerfahrungen chronischer Erkrankung und Schmerz; Integration von 52 weiteren Studien zu transdisziplinären Prinzipien zur Entwicklung eines klinisch anwendbaren Rahmenwerks.</w:t>
      </w:r>
    </w:p>
    <w:p>
      <w:r>
        <w:rPr>
          <w:b/>
        </w:rPr>
        <w:t xml:space="preserve">Ergebnis: </w:t>
      </w:r>
      <w:r>
        <w:t>Identifiziert sieben zentrale Erfahrungsdomänen (soziale Isolation, Identitätsverlust, körperliche Debilitation, emotionale Belastung, kognitive Überlastung, Unsicherheit, Kampf um Legitimität im System) und verknüpft sie mit fünf transdisziplinären Prinzipien (Kommunikation, Zusammenarbeit, Partizipation, Reflexivität, Systemdenken). Das Rahmenwerk strukturiert personenzentrierte Versorgung, interdisziplinäre Kooperation und koordiniertes Management.</w:t>
      </w:r>
    </w:p>
    <w:p>
      <w:r>
        <w:rPr>
          <w:b/>
          <w:sz w:val="19"/>
        </w:rPr>
        <w:t xml:space="preserve">Übertragbarkeit: </w:t>
      </w:r>
      <w:r>
        <w:rPr>
          <w:sz w:val="19"/>
        </w:rPr>
        <w:t>Qualitative Synthese aus international vergleichbaren Studien; Versorgungsansätze gelten über Grenzen hinweg.</w:t>
      </w:r>
    </w:p>
    <w:p>
      <w:r>
        <w:rPr>
          <w:color w:val="5A7D3A"/>
          <w:sz w:val="18"/>
        </w:rPr>
        <w:t>https://pubmed.ncbi.nlm.nih.gov/42656526/</w:t>
      </w:r>
    </w:p>
    <w:p>
      <w:pPr>
        <w:pStyle w:val="Heading2"/>
      </w:pPr>
      <w:r>
        <w:t>Ländliche Versorgung chronischer Erkrankungen: Von Gesundheitssystem zu gesellschaftlichen Determinanten</w:t>
      </w:r>
    </w:p>
    <w:p>
      <w:r>
        <w:rPr>
          <w:i/>
          <w:color w:val="666666"/>
          <w:sz w:val="18"/>
        </w:rPr>
        <w:t>Kuwayama T et al.  ·  Int J Environ Res Public Health  ·  27.07.2026  ·  PMID 42652287</w:t>
      </w:r>
    </w:p>
    <w:p>
      <w:r>
        <w:t>Scoping Review (23 Studien: 12 vor, 11 nach COVID-19) zu Themen ländlicher Versorgungsprobleme bei chronischen Krankheiten; thematischer Vergleich prä- und post-pandemisch.</w:t>
      </w:r>
    </w:p>
    <w:p>
      <w:r>
        <w:rPr>
          <w:b/>
        </w:rPr>
        <w:t xml:space="preserve">Ergebnis: </w:t>
      </w:r>
      <w:r>
        <w:t>Vor Pandemie dominierten Themen: niedrige Managementraten (Hypertonie, Diabetes), Arzneimittelversorgung, unzureichendes Fachpersonal (Thema: Gesundheitssystem). Nach Pandemie zusätzlich: psychische Gesundheit, Ernährung, Mehrfacherkrankung, sozioökonomische Disparitäten (Thema: Gesellschaft). Verschiebung zeigt: Pandemie hat Debatte von technischen auf ganzheitliche Determinanten ausgeweitet.</w:t>
      </w:r>
    </w:p>
    <w:p>
      <w:r>
        <w:rPr>
          <w:b/>
          <w:sz w:val="19"/>
        </w:rPr>
        <w:t xml:space="preserve">Übertragbarkeit: </w:t>
      </w:r>
      <w:r>
        <w:rPr>
          <w:sz w:val="19"/>
        </w:rPr>
        <w:t>Japan/Ländervergleich; Systematik der ländlichen Versorgungshürden auch für deutsche Flächenländer relevant.</w:t>
      </w:r>
    </w:p>
    <w:p>
      <w:r>
        <w:rPr>
          <w:color w:val="5A7D3A"/>
          <w:sz w:val="18"/>
        </w:rPr>
        <w:t>https://pubmed.ncbi.nlm.nih.gov/42652287/</w:t>
      </w:r>
    </w:p>
    <w:p>
      <w:pPr>
        <w:pStyle w:val="Heading2"/>
      </w:pPr>
      <w:r>
        <w:t>Funktionale Lungen-MRT zeigt Verbesserung der Hyperinflation nach Doppel-Bronchodilator bei COPD</w:t>
      </w:r>
    </w:p>
    <w:p>
      <w:r>
        <w:rPr>
          <w:i/>
          <w:color w:val="666666"/>
          <w:sz w:val="18"/>
        </w:rPr>
        <w:t>Müller RA et al.  ·  COPD  ·  12.08.2026  ·  PMID 42584170</w:t>
      </w:r>
    </w:p>
    <w:p>
      <w:r>
        <w:t>Randomisierte Crossover-Studie (n=29 COPD-Patienten) zur Wirkung einer Einzeldosis Doppel-Bronchodilator auf ventilationsdynamische Parameter mittels funktioneller Lungen-MRT während kontrollierter schneller Atmung (Metronom-gesteuert).</w:t>
      </w:r>
    </w:p>
    <w:p>
      <w:r>
        <w:rPr>
          <w:b/>
        </w:rPr>
        <w:t xml:space="preserve">Ergebnis: </w:t>
      </w:r>
      <w:r>
        <w:t>In Ruhe keine signifikanten FEV1-Verbesserungen; unter beschleunigter Atmung jedoch signifikante Reduktion der Funktionalen Residualkapazität (FRC: Kontrollgruppe −0,1 L vs. Interventionsgruppe −0,4 L, p&lt;0,05), verbesserte Ventilationshomogenität und Durchfluss-Volumen-Korrelation. Nach Mehrfach-Dosierung zeigten 5 von 6 Parametern Besserungen (alle p&lt;0,03).</w:t>
      </w:r>
    </w:p>
    <w:p>
      <w:r>
        <w:rPr>
          <w:b/>
          <w:sz w:val="19"/>
        </w:rPr>
        <w:t xml:space="preserve">Übertragbarkeit: </w:t>
      </w:r>
      <w:r>
        <w:rPr>
          <w:sz w:val="19"/>
        </w:rPr>
        <w:t>Deutsche Klinikdaten verfügbar; Methode für Monitoring strukturierter COPD-Programme geeignet.</w:t>
      </w:r>
    </w:p>
    <w:p>
      <w:r>
        <w:rPr>
          <w:color w:val="5A7D3A"/>
          <w:sz w:val="18"/>
        </w:rPr>
        <w:t>https://pubmed.ncbi.nlm.nih.gov/42584170/</w:t>
      </w:r>
    </w:p>
    <w:p>
      <w:pPr>
        <w:pStyle w:val="Heading2"/>
      </w:pPr>
      <w:r>
        <w:t>Nicht-Teilnahme an Hepatitis-B-Versorgung: Barrieren und Interventionen in UK-Sekundärversorgung</w:t>
      </w:r>
    </w:p>
    <w:p>
      <w:r>
        <w:rPr>
          <w:i/>
          <w:color w:val="666666"/>
          <w:sz w:val="18"/>
        </w:rPr>
        <w:t>Shiel EV et al.  ·  J Viral Hepat  ·  Sept. 2026  ·  PMID 42583956</w:t>
      </w:r>
    </w:p>
    <w:p>
      <w:r>
        <w:t>Scoping Review von 11 Studien zu Faktoren, die Nicht-Teilnahme an Sekundärversorgung-Terminen bei chronischer Hepatitis B in Großbritannien erklären, und identifizierten Strategien zur Verbesserung der Adhärenz.</w:t>
      </w:r>
    </w:p>
    <w:p>
      <w:r>
        <w:rPr>
          <w:b/>
        </w:rPr>
        <w:t xml:space="preserve">Ergebnis: </w:t>
      </w:r>
      <w:r>
        <w:t>Barrieren: patientenseitig (Gesundheitskompetenz, Stigma, konkurrierende Prioritäten), systemisch (Terminvergabe, Erreichbarkeit), psychologisch (Angst vor Diagnose, Nebenwirkungen); kulturelle und Sprachbarrieren. Wirksame Interventionen: Patienten-Edukation, kulturell angepasste Ansätze, Erinnerungssysteme (SMS, Telefon), integrierte Care-Modelle mit Community Outreach.</w:t>
      </w:r>
    </w:p>
    <w:p>
      <w:r>
        <w:rPr>
          <w:b/>
          <w:sz w:val="19"/>
        </w:rPr>
        <w:t xml:space="preserve">Übertragbarkeit: </w:t>
      </w:r>
      <w:r>
        <w:rPr>
          <w:sz w:val="19"/>
        </w:rPr>
        <w:t>Britisches Versorgungssystem mit vergleichbarem NHS-Zugang; Interventionsdesign auf deutsche Sprechstunden-Logistik adaptierbar.</w:t>
      </w:r>
    </w:p>
    <w:p>
      <w:r>
        <w:rPr>
          <w:color w:val="5A7D3A"/>
          <w:sz w:val="18"/>
        </w:rPr>
        <w:t>https://pubmed.ncbi.nlm.nih.gov/42583956/</w:t>
      </w:r>
    </w:p>
    <w:p>
      <w:pPr>
        <w:pStyle w:val="Heading2"/>
      </w:pPr>
      <w:r>
        <w:t>Vegetarische Ernährung reduziert CKD-Risiko: Prospektive UK-Biobank-Kohorte</w:t>
      </w:r>
    </w:p>
    <w:p>
      <w:r>
        <w:rPr>
          <w:i/>
          <w:color w:val="666666"/>
          <w:sz w:val="18"/>
        </w:rPr>
        <w:t>Candussi CJ et al.  ·  Sci Rep  ·  03.08.2026  ·  PMID 42547796</w:t>
      </w:r>
    </w:p>
    <w:p>
      <w:r>
        <w:t>Prospektive Kohortenstudie (n=416.584, Alter 40–69 Jahre) zur Assoziation fünf verschiedener Ernährungsmuster (hochfleischreich bis vegetarisch) mit chronischer Nierenerkrankung (CKD) über 12,9 Jahre Follow-up.</w:t>
      </w:r>
    </w:p>
    <w:p>
      <w:r>
        <w:rPr>
          <w:b/>
        </w:rPr>
        <w:t xml:space="preserve">Ergebnis: </w:t>
      </w:r>
      <w:r>
        <w:t>Bei 23.084 CKD-Neuerkrankungen zeigte sich: Vegetarier hatten das niedrigste Risiko im Vergleich zu hochfleischessern (HR=0,81, 95%-KI 0,71–0,93). Risikoreduktion war statistisch signifikant und konsistent über verschiedene Analysen; die Effektstärke ist klinisch bedeutsam für Prävention.</w:t>
      </w:r>
    </w:p>
    <w:p>
      <w:r>
        <w:rPr>
          <w:b/>
          <w:sz w:val="19"/>
        </w:rPr>
        <w:t xml:space="preserve">Übertragbarkeit: </w:t>
      </w:r>
      <w:r>
        <w:rPr>
          <w:sz w:val="19"/>
        </w:rPr>
        <w:t>UK-Biobank mit vergleichbarer Dokumentation; Präventionsempfehlung auf Deutschland übertragbar.</w:t>
      </w:r>
    </w:p>
    <w:p>
      <w:r>
        <w:rPr>
          <w:color w:val="5A7D3A"/>
          <w:sz w:val="18"/>
        </w:rPr>
        <w:t>https://pubmed.ncbi.nlm.nih.gov/42547796/</w:t>
      </w:r>
    </w:p>
    <w:p>
      <w:pPr>
        <w:pStyle w:val="Heading1"/>
      </w:pPr>
      <w:r>
        <w:t>Aufgenommen am 27.08.2026</w:t>
      </w:r>
    </w:p>
    <w:p>
      <w:pPr>
        <w:pStyle w:val="Heading2"/>
      </w:pPr>
      <w:r>
        <w:t>Mehrfacherkrankung und Krankenhausaufenthalt bei Herzinsuffizienz in Indonesien</w:t>
      </w:r>
    </w:p>
    <w:p>
      <w:r>
        <w:rPr>
          <w:i/>
          <w:color w:val="666666"/>
          <w:sz w:val="18"/>
        </w:rPr>
        <w:t>Yolanda G et al.  ·  Open Heart  ·  26.08.2026  ·  PMID 42648742</w:t>
      </w:r>
    </w:p>
    <w:p>
      <w:r>
        <w:t>Bevölkerungsbasierte retrospektive Kohorte von 9.018 Patienten (12.461 Aufenthalte) mit Herzinsuffizienz aus indonesischer Krankenversicherung zu Einfluss von Mehrfacherkrankung auf Liegedauer und Wiederaufnahme.</w:t>
      </w:r>
    </w:p>
    <w:p>
      <w:r>
        <w:rPr>
          <w:b/>
        </w:rPr>
        <w:t xml:space="preserve">Ergebnis: </w:t>
      </w:r>
      <w:r>
        <w:t>Mehrfacherkrankung in 72,4%, jede zusätzliche Komorbidität assoziiert mit: längerer Liegedauer (+0,13 Tage), höherer 30-Tage-Wiederaufnahmequote (OR 1,22) und höherer 90-Tage-Wiederaufnahme (OR 1,27). Spezifische Muster: Anämie stärkste Assoziation mit Liegedauer, ischämische Herzerkrankung, CKD, COPD und Klappenvitium mit Wiederaufnahme.</w:t>
      </w:r>
    </w:p>
    <w:p>
      <w:r>
        <w:rPr>
          <w:b/>
          <w:sz w:val="19"/>
        </w:rPr>
        <w:t xml:space="preserve">Übertragbarkeit: </w:t>
      </w:r>
      <w:r>
        <w:rPr>
          <w:sz w:val="19"/>
        </w:rPr>
        <w:t>Indonesien mit universeller Krankenversicherung, begrenzte Ressourcen, Mehrfacherkrankungslast auch in deutschem System relevant.</w:t>
      </w:r>
    </w:p>
    <w:p>
      <w:r>
        <w:rPr>
          <w:color w:val="5A7D3A"/>
          <w:sz w:val="18"/>
        </w:rPr>
        <w:t>https://pubmed.ncbi.nlm.nih.gov/42648742/</w:t>
      </w:r>
    </w:p>
    <w:p>
      <w:pPr>
        <w:pStyle w:val="Heading2"/>
      </w:pPr>
      <w:r>
        <w:t>Ungleiche Versorgung nach Transplantatversagen: Ethnizität und Deprivation beeinflussen Retransplantation</w:t>
      </w:r>
    </w:p>
    <w:p>
      <w:r>
        <w:rPr>
          <w:i/>
          <w:color w:val="666666"/>
          <w:sz w:val="18"/>
        </w:rPr>
        <w:t>Westaway S et al.  ·  PLoS One  ·  26.08.2026  ·  PMID 42647538</w:t>
      </w:r>
    </w:p>
    <w:p>
      <w:r>
        <w:t>Analyse von 5.447 Patienten mit Transplantatversagen in Großbritannien zum Zusammenhang von Patientenmerkmalen mit Versorgungsergebnissen (Retransplantation, Dialyseverfahren, Mortalität).</w:t>
      </w:r>
    </w:p>
    <w:p>
      <w:r>
        <w:rPr>
          <w:b/>
        </w:rPr>
        <w:t xml:space="preserve">Ergebnis: </w:t>
      </w:r>
      <w:r>
        <w:t>Schwarze und asiatische Patienten erhielten deutlich seltener Retransplantationen (RRR 0,41 bzw. 0,57), ebenso Personen in deprivierteren Gegenden (RRR 0,78 pro Deprivationsquintil). Männer wurden häufiger retransplantiert und an Hämodialyse angeschlossen. Diese Ungleichheiten sind versorgungsrelevant und beeinflussen das Überleben.</w:t>
      </w:r>
    </w:p>
    <w:p>
      <w:r>
        <w:rPr>
          <w:b/>
          <w:sz w:val="19"/>
        </w:rPr>
        <w:t xml:space="preserve">Übertragbarkeit: </w:t>
      </w:r>
      <w:r>
        <w:rPr>
          <w:sz w:val="19"/>
        </w:rPr>
        <w:t>Britisches Gesundheitssystem mit elektronischen Registerdaten, teilweise vergleichbar mit deutschem Organtransplantationssystem.</w:t>
      </w:r>
    </w:p>
    <w:p>
      <w:r>
        <w:rPr>
          <w:color w:val="5A7D3A"/>
          <w:sz w:val="18"/>
        </w:rPr>
        <w:t>https://pubmed.ncbi.nlm.nih.gov/42647538/</w:t>
      </w:r>
    </w:p>
    <w:p>
      <w:pPr>
        <w:pStyle w:val="Heading2"/>
      </w:pPr>
      <w:r>
        <w:t>Kompetenzen für personenzentrierte Versorgung bei Mehrfacherkrankung: Fokusgruppen mit Patienten und Fachkräften</w:t>
      </w:r>
    </w:p>
    <w:p>
      <w:r>
        <w:rPr>
          <w:i/>
          <w:color w:val="666666"/>
          <w:sz w:val="18"/>
        </w:rPr>
        <w:t>Michielsen LJ et al.  ·  Eur J Gen Pract  ·  26.08.2026  ·  PMID 42647104</w:t>
      </w:r>
    </w:p>
    <w:p>
      <w:r>
        <w:t>Qualitative Fokusgruppenstudie mit 14 Hausarztfachkräften und 10 Patienten mit chronischen Erkrankungen zu essentiellen Kompetenzen für personenzentrierte integrierte Versorgung.</w:t>
      </w:r>
    </w:p>
    <w:p>
      <w:r>
        <w:rPr>
          <w:b/>
        </w:rPr>
        <w:t xml:space="preserve">Ergebnis: </w:t>
      </w:r>
      <w:r>
        <w:t>Fachkräfte benannten: personenzentrierte Einstellung, Kommunikationsfähigkeiten, Interprofessionelles Zusammenarbeiten. Patienten werteten zusätzlich Kontinuität und designierten Ansprechpartner. Fachkräfte nannten Schulung, Reflektionszirkel und Fallbesprechungen als nötig. Kernaussage: Erfolgreiche Versorgung erfordert neben individuellen Kompetenzen Organisationsbedingungen für koordinierte, kontinuierliche Pflege.</w:t>
      </w:r>
    </w:p>
    <w:p>
      <w:r>
        <w:rPr>
          <w:b/>
          <w:sz w:val="19"/>
        </w:rPr>
        <w:t xml:space="preserve">Übertragbarkeit: </w:t>
      </w:r>
      <w:r>
        <w:rPr>
          <w:sz w:val="19"/>
        </w:rPr>
        <w:t>Niederlande, vergleichbare Primärversorgungsstrukturen und DMPs wie Deutschland.</w:t>
      </w:r>
    </w:p>
    <w:p>
      <w:r>
        <w:rPr>
          <w:color w:val="5A7D3A"/>
          <w:sz w:val="18"/>
        </w:rPr>
        <w:t>https://pubmed.ncbi.nlm.nih.gov/42647104/</w:t>
      </w:r>
    </w:p>
    <w:p>
      <w:pPr>
        <w:pStyle w:val="Heading2"/>
      </w:pPr>
      <w:r>
        <w:t>Soziale Risikofaktoren verbessern Vorhersage von kardiometabolischer Mehrfacherkrankung</w:t>
      </w:r>
    </w:p>
    <w:p>
      <w:r>
        <w:rPr>
          <w:i/>
          <w:color w:val="666666"/>
          <w:sz w:val="18"/>
        </w:rPr>
        <w:t>Anindya K et al.  ·  Sci Rep  ·  25.08.2026  ·  PMID 42642546</w:t>
      </w:r>
    </w:p>
    <w:p>
      <w:r>
        <w:t>Entwicklung eines Bayesianischen Vorhersagemodells für kardiometabolische Mehrfacherkrankung unter Einbeziehung sozialer Determinanten in 11.964 schwedischen Erwachsenen ohne Vorerkrankungen.</w:t>
      </w:r>
    </w:p>
    <w:p>
      <w:r>
        <w:rPr>
          <w:b/>
        </w:rPr>
        <w:t xml:space="preserve">Ergebnis: </w:t>
      </w:r>
      <w:r>
        <w:t>Während die Vorhersage für mindestens eine kardiometabolische Erkrankung fair war (AUC 0,76), zeigte sich für Mehrfacherkrankung (≥2 Erkrankungen) gute Diskriminanz (AUC 0,89). Höchste Risiken bei älteren Migranten mit Hypertonie und niedriger HDL (34,7% für beliebige Erkrankung, 4,4% für Mehrfacherkrankung).</w:t>
      </w:r>
    </w:p>
    <w:p>
      <w:r>
        <w:rPr>
          <w:b/>
          <w:sz w:val="19"/>
        </w:rPr>
        <w:t xml:space="preserve">Übertragbarkeit: </w:t>
      </w:r>
      <w:r>
        <w:rPr>
          <w:sz w:val="19"/>
        </w:rPr>
        <w:t>Schweden, vergleichbare Sozialversicherung und Präventionsstrukturen wie Deutschland.</w:t>
      </w:r>
    </w:p>
    <w:p>
      <w:r>
        <w:rPr>
          <w:color w:val="5A7D3A"/>
          <w:sz w:val="18"/>
        </w:rPr>
        <w:t>https://pubmed.ncbi.nlm.nih.gov/42642546/</w:t>
      </w:r>
    </w:p>
    <w:p>
      <w:pPr>
        <w:pStyle w:val="Heading2"/>
      </w:pPr>
      <w:r>
        <w:t>Schluckstörungen bei COPD – zwei Jahre Stabilität und Symptombelastung</w:t>
      </w:r>
    </w:p>
    <w:p>
      <w:r>
        <w:rPr>
          <w:i/>
          <w:color w:val="666666"/>
          <w:sz w:val="18"/>
        </w:rPr>
        <w:t>Gonzalez Lindh M et al.  ·  COPD  ·  28.07.2026  ·  PMID 42557931</w:t>
      </w:r>
    </w:p>
    <w:p>
      <w:r>
        <w:t>Prospektive Kohortenstudie mit 438 COPD-Patienten zu Stabilitätsmuster selbstberichteter Schluckstörungen über zwei Jahre und Assoziationen mit klinischen Ergebnissen.</w:t>
      </w:r>
    </w:p>
    <w:p>
      <w:r>
        <w:rPr>
          <w:b/>
        </w:rPr>
        <w:t xml:space="preserve">Ergebnis: </w:t>
      </w:r>
      <w:r>
        <w:t>Schluckstörungsprävalenz blieb stabil (32% auf 33%), vier Verlaufsmuster identifiziert: keine (59%), neu aufgetreten (8%), remittiert (8%), persistent (25%). Persistente Schluckstörung assoziiert mit höherer Dyspnoe, schlechterer körperlicher Leistung und häufigeren Exazerbationen. CAT-Wert ≥10 unabhängig mit Schluckstörung verbunden.</w:t>
      </w:r>
    </w:p>
    <w:p>
      <w:r>
        <w:rPr>
          <w:b/>
          <w:sz w:val="19"/>
        </w:rPr>
        <w:t xml:space="preserve">Übertragbarkeit: </w:t>
      </w:r>
      <w:r>
        <w:rPr>
          <w:sz w:val="19"/>
        </w:rPr>
        <w:t>Schweden, vergleichbare Primärversorgungsstrukturen, Screening in COPD-Routinefolge übertragbar.</w:t>
      </w:r>
    </w:p>
    <w:p>
      <w:r>
        <w:rPr>
          <w:color w:val="5A7D3A"/>
          <w:sz w:val="18"/>
        </w:rPr>
        <w:t>https://pubmed.ncbi.nlm.nih.gov/42557931/</w:t>
      </w:r>
    </w:p>
    <w:p>
      <w:pPr>
        <w:pStyle w:val="Heading2"/>
      </w:pPr>
      <w:r>
        <w:t>Hyperkaliämie-Management: Ärzte bevorzugen RAASi-Erhalt trotz Barrieren</w:t>
      </w:r>
    </w:p>
    <w:p>
      <w:r>
        <w:rPr>
          <w:i/>
          <w:color w:val="666666"/>
          <w:sz w:val="18"/>
        </w:rPr>
        <w:t>Gimenez-Stamminger N et al.  ·  PLoS One  ·  30.07.2026  ·  PMID 42531230</w:t>
      </w:r>
    </w:p>
    <w:p>
      <w:r>
        <w:t>Qualitative Studie mit 12 spanischen Nephrologen zu Strategien der Hyperkaliämie-Behandlung unter Beibehaltung von Renin-Angiotensin-Aldosteron-Inhibitor-Therapie bei CKD-Stadien 3-5.</w:t>
      </w:r>
    </w:p>
    <w:p>
      <w:r>
        <w:rPr>
          <w:b/>
        </w:rPr>
        <w:t xml:space="preserve">Ergebnis: </w:t>
      </w:r>
      <w:r>
        <w:t>Fünf Themen identifiziert: (1) strukturierter Behandlungsalgorithmus für RAASi-Erhalt, (2) neue Kaliumbinder (Patiromer, Natriumzirkonium-Zykliosilikat) als effektiv und besser verträglich, (3) Systembarrieren (Visado-Anforderungen, regionale Formularvarianz) limitieren Zugang, (4) Patientenengagement durch Kommunikation und Pflege-Edukation fördert Adhärenz, (5) Lebensqualität wird selten formal erfasst. Kernempfehlung: Vereinfachte Zugangsswege und verbesserte Multidisziplinarität nötig.</w:t>
      </w:r>
    </w:p>
    <w:p>
      <w:r>
        <w:rPr>
          <w:b/>
          <w:sz w:val="19"/>
        </w:rPr>
        <w:t xml:space="preserve">Übertragbarkeit: </w:t>
      </w:r>
      <w:r>
        <w:rPr>
          <w:sz w:val="19"/>
        </w:rPr>
        <w:t>Spanien, vergleichbares öffentliches Gesundheitssystem, direkt übertragbar für deutsches CKD-Management.</w:t>
      </w:r>
    </w:p>
    <w:p>
      <w:r>
        <w:rPr>
          <w:color w:val="5A7D3A"/>
          <w:sz w:val="18"/>
        </w:rPr>
        <w:t>https://pubmed.ncbi.nlm.nih.gov/42531230/</w:t>
      </w:r>
    </w:p>
    <w:p>
      <w:pPr>
        <w:pStyle w:val="Heading1"/>
      </w:pPr>
      <w:r>
        <w:t>Aufgenommen am 26.08.2026</w:t>
      </w:r>
    </w:p>
    <w:p>
      <w:pPr>
        <w:pStyle w:val="Heading2"/>
      </w:pPr>
      <w:r>
        <w:t>Geschlechtsspezifische Trajectories bei Typ-2-Diabetes: Psychische Erkrankungen bei Frauen häufiger</w:t>
      </w:r>
    </w:p>
    <w:p>
      <w:r>
        <w:rPr>
          <w:i/>
          <w:color w:val="666666"/>
          <w:sz w:val="18"/>
        </w:rPr>
        <w:t>Eto F et al.  ·  PLoS Med  ·  25.08.2026  ·  PMID 42640878</w:t>
      </w:r>
    </w:p>
    <w:p>
      <w:r>
        <w:t>Kohortenstudie mit 28.720 Personen in Großbritannien untersucht unterschiedliche Krankheitsverlaufsmuster nach Typ-2-Diabetes-Diagnose, unterschieden nach Geschlecht.</w:t>
      </w:r>
    </w:p>
    <w:p>
      <w:r>
        <w:rPr>
          <w:b/>
        </w:rPr>
        <w:t xml:space="preserve">Ergebnis: </w:t>
      </w:r>
      <w:r>
        <w:t>Bei Frauen traten psychische Erkrankungen post-Diabetes signifikant häufiger auf als bei Männern (8,1% vs. 5,3%), während Männer höhere Raten für Herz-Kreislauf- und Nierenerkrankungen zeigten (8,4% vs. 5,3%). Beide Geschlechter mit kombiniertem Diabetes und psychischer Erkrankung erlebten vorzeitige Sterblichkeit.</w:t>
      </w:r>
    </w:p>
    <w:p>
      <w:r>
        <w:rPr>
          <w:b/>
          <w:sz w:val="19"/>
        </w:rPr>
        <w:t xml:space="preserve">Übertragbarkeit: </w:t>
      </w:r>
      <w:r>
        <w:rPr>
          <w:sz w:val="19"/>
        </w:rPr>
        <w:t>UK-Register-Daten, vergleichbar mit deutschen Disease-Management-Strukturen zur geschlechtsspezifischen Therapieplanung.</w:t>
      </w:r>
    </w:p>
    <w:p>
      <w:r>
        <w:rPr>
          <w:color w:val="5A7D3A"/>
          <w:sz w:val="18"/>
        </w:rPr>
        <w:t>https://pubmed.ncbi.nlm.nih.gov/42640878/</w:t>
      </w:r>
    </w:p>
    <w:p>
      <w:pPr>
        <w:pStyle w:val="Heading2"/>
      </w:pPr>
      <w:r>
        <w:t>Post-COVID-Endotheldysfunktion verschärft sich bei Patienten mit ME/CFS-Kriterien: Retinale Gefäßanalyse zeigt Arteriolenkatheteropathie</w:t>
      </w:r>
    </w:p>
    <w:p>
      <w:r>
        <w:rPr>
          <w:i/>
          <w:color w:val="666666"/>
          <w:sz w:val="18"/>
        </w:rPr>
        <w:t>Wallraven T et al.  ·  BMC Med  ·  19.08.2026  ·  PMID 42625188</w:t>
      </w:r>
    </w:p>
    <w:p>
      <w:r>
        <w:t>Prospektive Beobachtungsstudie mit 300 Teilnehmern (96 nie infiziert, 102 genesen, 102 mit Post-COVID-Syndrom, davon 62 mit ME/CFS-Kriterien) untersucht Mikrozirkulation mittels retinaler Gefäßanalyse.</w:t>
      </w:r>
    </w:p>
    <w:p>
      <w:r>
        <w:rPr>
          <w:b/>
        </w:rPr>
        <w:t xml:space="preserve">Ergebnis: </w:t>
      </w:r>
      <w:r>
        <w:t>Patienten mit Post-COVID zeigten reduzierte Venendilation (3,7% ± 2,2 vs. 4,8% ± 3,0, p=0,006), engere retinale Arteriolen (CRAE: 178,3 ± 15,5 vs. 186,1 ± 15,7 μm, p=0,001) und niedrigere Arteriol-Venol-Verhältnisse als Genesene (0,83 ± 0,06 vs. 0,86 ± 0,07, p&lt;0,001). Patienten mit ME/CFS-Kriterien zeigten stärkste Veränderungen (AUC 0,79).</w:t>
      </w:r>
    </w:p>
    <w:p>
      <w:r>
        <w:rPr>
          <w:b/>
          <w:sz w:val="19"/>
        </w:rPr>
        <w:t xml:space="preserve">Übertragbarkeit: </w:t>
      </w:r>
      <w:r>
        <w:rPr>
          <w:sz w:val="19"/>
        </w:rPr>
        <w:t>Multinationale Studie (Deutschland, Schweiz); relevanter für Versorgungsfragen zu Post-COVID-Rehabilitationsbedarfen.</w:t>
      </w:r>
    </w:p>
    <w:p>
      <w:r>
        <w:rPr>
          <w:color w:val="5A7D3A"/>
          <w:sz w:val="18"/>
        </w:rPr>
        <w:t>https://pubmed.ncbi.nlm.nih.gov/42625188/</w:t>
      </w:r>
    </w:p>
    <w:p>
      <w:pPr>
        <w:pStyle w:val="Heading1"/>
      </w:pPr>
      <w:r>
        <w:t>Aufgenommen am 24.08.2026</w:t>
      </w:r>
    </w:p>
    <w:p>
      <w:pPr>
        <w:pStyle w:val="Heading2"/>
      </w:pPr>
      <w:r>
        <w:t>Kontinuität der Versorgung senkt Krankenhauseinweisungen und Sterblichkeit bei COPD um 25–63 %</w:t>
      </w:r>
    </w:p>
    <w:p>
      <w:r>
        <w:rPr>
          <w:i/>
          <w:color w:val="666666"/>
          <w:sz w:val="18"/>
        </w:rPr>
        <w:t>Ko J et al.  ·  Int J Chron Obstruct Pulmon Dis  ·  18.08.2026  ·  PMID 42633418</w:t>
      </w:r>
    </w:p>
    <w:p>
      <w:r>
        <w:t>Retrospektive südkoreanische Kohortenstudie mit 29.316 neu diagnostizierten COPD-Patienten aus nationalen Versicherungsdaten 2002–2019 zur Wirkung der Versorgungskontinuität (CoC) auf Krankenhauseinweisungen und Sterblichkeit.</w:t>
      </w:r>
    </w:p>
    <w:p>
      <w:r>
        <w:rPr>
          <w:b/>
        </w:rPr>
        <w:t xml:space="preserve">Ergebnis: </w:t>
      </w:r>
      <w:r>
        <w:t>Niedrige CoC-Werte (&lt;0,7) assoziiert mit erhöhtem Risiko für 3-Jahres-Exazerbations-Krankenhauseinweisung (HR 1,63, 95% CI 1,45–1,83) und allgemeine Mortalität (HR 1,25, 95% CI 1,11–1,40) vs. hohe CoC. Progressiv: Intermediate CoC (0,4–0,7) HR 1,61 für Einweisungen und 1,24 für Mortalität; sehr niedrig (&lt;0,4) HR 1,65 und 1,26. Notaufnahmen HR 1,48, allgemeine Hospitalisierungen HR 1,70 bei niedriger CoC. Befunde konsistent über alternative Kontinuitäts-Indizes. Fragmentierte ambulante Versorgung erhöht vermeidbare Krankenhaus-Kontakte und Todesfälle erheblich.</w:t>
      </w:r>
    </w:p>
    <w:p>
      <w:r>
        <w:rPr>
          <w:b/>
          <w:sz w:val="19"/>
        </w:rPr>
        <w:t xml:space="preserve">Übertragbarkeit: </w:t>
      </w:r>
      <w:r>
        <w:rPr>
          <w:sz w:val="19"/>
        </w:rPr>
        <w:t>Südkorea, nationale Versicherungsdaten, zeigt Bedeutung von Kontinuität unabhängig vom Finanzsystem</w:t>
      </w:r>
    </w:p>
    <w:p>
      <w:r>
        <w:rPr>
          <w:color w:val="5A7D3A"/>
          <w:sz w:val="18"/>
        </w:rPr>
        <w:t>https://pubmed.ncbi.nlm.nih.gov/42633418/</w:t>
      </w:r>
    </w:p>
    <w:p>
      <w:pPr>
        <w:pStyle w:val="Heading1"/>
      </w:pPr>
      <w:r>
        <w:t>Aufgenommen am 23.08.2026</w:t>
      </w:r>
    </w:p>
    <w:p>
      <w:pPr>
        <w:pStyle w:val="Heading2"/>
      </w:pPr>
      <w:r>
        <w:t>Mehrfacherkrankung bei Vorhofflimmern nimmt zu: Gepräge und Verlauf stark heterogen</w:t>
      </w:r>
    </w:p>
    <w:p>
      <w:r>
        <w:rPr>
          <w:i/>
          <w:color w:val="666666"/>
          <w:sz w:val="18"/>
        </w:rPr>
        <w:t>Reinilä S et al.  ·  Eur J Clin Invest  ·  Aug. 2026  ·  PMID 42629441</w:t>
      </w:r>
    </w:p>
    <w:p>
      <w:r>
        <w:t>Finnische Kohorte aller Patienten mit neu diagnostiziertem Vorhofflimmern 2009–2018 (n=196.536); Erfassung von Begleiterkrankungen über nationale Register mit 5-Jahres-Lookback.</w:t>
      </w:r>
    </w:p>
    <w:p>
      <w:r>
        <w:rPr>
          <w:b/>
        </w:rPr>
        <w:t xml:space="preserve">Ergebnis: </w:t>
      </w:r>
      <w:r>
        <w:t>85% hatten ≥2 Begleiterkrankungsgruppen, 28% ≥6 Gruppen. Mittlere Anzahl von Diagnosegruppen stieg von 3,9 auf 4,2 Gruppen (2009–2018); nach Adjustment für Alter signifikant. Mehrfacherkrankung war bei Frauen häufiger (4,2 vs. 3,9 Gruppen) und nahm mit dem Alter zu. Häufigste Begleiterkrankungen: Hypertonie, Stoffwechselerkrankungen, Diabetes, andere kardiovaskuläre Erkrankungen. Eine bedeutende Versorgungsherausforderung mit wachsendem Bedarf für ganzheitliche Behandlung.</w:t>
      </w:r>
    </w:p>
    <w:p>
      <w:r>
        <w:rPr>
          <w:b/>
          <w:sz w:val="19"/>
        </w:rPr>
        <w:t xml:space="preserve">Übertragbarkeit: </w:t>
      </w:r>
      <w:r>
        <w:rPr>
          <w:sz w:val="19"/>
        </w:rPr>
        <w:t>Finnland, vergleichbares nordisches Gesundheitssystem, nationale Registerdaten</w:t>
      </w:r>
    </w:p>
    <w:p>
      <w:r>
        <w:rPr>
          <w:color w:val="5A7D3A"/>
          <w:sz w:val="18"/>
        </w:rPr>
        <w:t>https://pubmed.ncbi.nlm.nih.gov/42629441/</w:t>
      </w:r>
    </w:p>
    <w:p>
      <w:pPr>
        <w:pStyle w:val="Heading1"/>
      </w:pPr>
      <w:r>
        <w:t>Aufgenommen am 22.08.2026</w:t>
      </w:r>
    </w:p>
    <w:p>
      <w:pPr>
        <w:pStyle w:val="Heading2"/>
      </w:pPr>
      <w:r>
        <w:t>HAQ-DI-basierte Screening identifiziert Hochrisiko-Phänotyp mit funktioneller Behinderung in COPD</w:t>
      </w:r>
    </w:p>
    <w:p>
      <w:r>
        <w:rPr>
          <w:i/>
          <w:color w:val="666666"/>
          <w:sz w:val="18"/>
        </w:rPr>
        <w:t>Rogier J et al.  ·  Int J Chron Obstruct Pulmon Dis  ·  15.08.2026  ·  PMID 42621973</w:t>
      </w:r>
    </w:p>
    <w:p>
      <w:r>
        <w:t>Französische Kohortenstudie (n=117) der funktionalen Behinderung bei COPD-Patienten mittels Health Assessment Questionnaire – Disability Index (HAQ-DI) in Relation zu Krankheitsschwere und Krankheitslast.</w:t>
      </w:r>
    </w:p>
    <w:p>
      <w:r>
        <w:rPr>
          <w:b/>
        </w:rPr>
        <w:t xml:space="preserve">Ergebnis: </w:t>
      </w:r>
      <w:r>
        <w:t>Patienten mit COPD GOLD 3–4 zeigten höhere HAQ-DI-Werte als GOLD 1–2 (0,50 vs. 0,25, p=0,015); 20 Patienten (17,1%) erfüllten Kriterien für "Hochfunktionelle Behinderung" (HAQ-DI ≥1) mit ungünstigeren Prognose-Markern; HAQ-DI korrelierte mit Exazerbationen, Dyspnoe und Krankheitslast (alle p&lt;0,001). HAQ-DI ist ein praktisches Screening-Instrument zur Identifizierung von Patienten mit hohem funktionellem Risiko, die von Rehabilitations- und psychologischem Support profitieren könnten.</w:t>
      </w:r>
    </w:p>
    <w:p>
      <w:r>
        <w:rPr>
          <w:b/>
          <w:sz w:val="19"/>
        </w:rPr>
        <w:t xml:space="preserve">Übertragbarkeit: </w:t>
      </w:r>
      <w:r>
        <w:rPr>
          <w:sz w:val="19"/>
        </w:rPr>
        <w:t>Frankreich, vergleichbare Dokumentation von Komorbiditäten und Funktionalität</w:t>
      </w:r>
    </w:p>
    <w:p>
      <w:r>
        <w:rPr>
          <w:color w:val="5A7D3A"/>
          <w:sz w:val="18"/>
        </w:rPr>
        <w:t>https://pubmed.ncbi.nlm.nih.gov/42621973/</w:t>
      </w:r>
    </w:p>
    <w:p>
      <w:pPr>
        <w:pStyle w:val="Heading2"/>
      </w:pPr>
      <w:r>
        <w:t>SMART-Youth: Longitudinale Kohortenstudie zu kardiovaskulären Risikofaktoren für subklinische Atherosklerose bei Kindern mit chronischen Erkrankungen</w:t>
      </w:r>
    </w:p>
    <w:p>
      <w:r>
        <w:rPr>
          <w:i/>
          <w:color w:val="666666"/>
          <w:sz w:val="18"/>
        </w:rPr>
        <w:t>van der Linden IA et al.  ·  BMJ Open  ·  13.08.2026  ·  PMID 42595358</w:t>
      </w:r>
    </w:p>
    <w:p>
      <w:r>
        <w:t>Prospektive longitudinale Kohortenstudie in niederländischem Universitätskrankenhaus (geplant n&gt;2000, 8–18 Jahre) zu krankheits- und lebensstilassoziierten kardiovaskulären Risikofaktoren für subklinische Atherosklerose bei Kindern mit diversen chronischen Erkrankungen (CF, JIA, CKD, IBD, angeborene Herzerkrankung etc.); Rekrutierung seit August 2024.</w:t>
      </w:r>
    </w:p>
    <w:p>
      <w:r>
        <w:rPr>
          <w:b/>
        </w:rPr>
        <w:t xml:space="preserve">Ergebnis: </w:t>
      </w:r>
      <w:r>
        <w:t>Baseline-Charakterisierung: Erfassung von Blutdruck, BMI, Lipiden, HbA1c, CRP; Messung von Karotis-Intima-Media-Dicke, Karotis-Distension und Karotis-Femoral-Pulswellen-Geschwindigkeit bei Baseline, 2-Jahr-Follow-up und Alter 17–18 Jahren. Primärer Fokus: langfristige Assoziationen zwischen kardiovaskulären Risikofaktoren und früher subklinischer Atherosklerose bei chronisch erkrankten Kindern zur Risikostratifizierung und Früherkennung.</w:t>
      </w:r>
    </w:p>
    <w:p>
      <w:r>
        <w:rPr>
          <w:b/>
          <w:sz w:val="19"/>
        </w:rPr>
        <w:t xml:space="preserve">Übertragbarkeit: </w:t>
      </w:r>
      <w:r>
        <w:rPr>
          <w:sz w:val="19"/>
        </w:rPr>
        <w:t>Niederlande, Universitätskrankenhaus in vergleichbarem System; Mehrfacherkrankungen-Fokus bei Kindern</w:t>
      </w:r>
    </w:p>
    <w:p>
      <w:r>
        <w:rPr>
          <w:color w:val="5A7D3A"/>
          <w:sz w:val="18"/>
        </w:rPr>
        <w:t>https://pubmed.ncbi.nlm.nih.gov/42595358/</w:t>
      </w:r>
    </w:p>
    <w:p>
      <w:pPr>
        <w:pStyle w:val="Heading1"/>
      </w:pPr>
      <w:r>
        <w:t>Aufgenommen am 21.08.2026</w:t>
      </w:r>
    </w:p>
    <w:p>
      <w:pPr>
        <w:pStyle w:val="Heading2"/>
      </w:pPr>
      <w:r>
        <w:t>Self-Management-Interventionen zeigen Verbesserung in Verhalten, aber nicht in Lebensqualität bei Mehrfacherkrankung</w:t>
      </w:r>
    </w:p>
    <w:p>
      <w:r>
        <w:rPr>
          <w:i/>
          <w:color w:val="666666"/>
          <w:sz w:val="18"/>
        </w:rPr>
        <w:t>Hopwood E et al.  ·  J Eval Clin Pract  ·  Aug. 2026  ·  PMID 42623506</w:t>
      </w:r>
    </w:p>
    <w:p>
      <w:r>
        <w:t>Systematische Übersicht von 28 Studien zu Wirksamkeit und Erfahrungen mit Self-Management-Interventionen für Erwachsene mit Mehrfacherkrankung (quantitativ und qualitativ).</w:t>
      </w:r>
    </w:p>
    <w:p>
      <w:r>
        <w:rPr>
          <w:b/>
        </w:rPr>
        <w:t xml:space="preserve">Ergebnis: </w:t>
      </w:r>
      <w:r>
        <w:t>Quantitative Evidenz zeigte bescheidene Verbesserungen in spezifischen Self-Management-Verhaltensweisen (gesundheitsorientierte Aktivitäten, Selbstmonitoring), aber wenig bis kein Effekt auf Lebensqualität oder psychologische Outcomes. Qualitative Befunde deuteten auf subjektive Verbesserungen in Lebensqualität und psychischer Gesundheit hin – Diskrepanz unterstreicht Bedarf nach validierten Mehrfacherkrankungs-spezifischen Outcome-Maßen.</w:t>
      </w:r>
    </w:p>
    <w:p>
      <w:r>
        <w:rPr>
          <w:b/>
          <w:sz w:val="19"/>
        </w:rPr>
        <w:t xml:space="preserve">Übertragbarkeit: </w:t>
      </w:r>
      <w:r>
        <w:rPr>
          <w:sz w:val="19"/>
        </w:rPr>
        <w:t>Internationale Evidenz, vorwiegend europäisch, direkt auf Primärversorgung übertragbar</w:t>
      </w:r>
    </w:p>
    <w:p>
      <w:r>
        <w:rPr>
          <w:color w:val="5A7D3A"/>
          <w:sz w:val="18"/>
        </w:rPr>
        <w:t>https://pubmed.ncbi.nlm.nih.gov/42623506/</w:t>
      </w:r>
    </w:p>
    <w:p>
      <w:pPr>
        <w:pStyle w:val="Heading2"/>
      </w:pPr>
      <w:r>
        <w:t>Digitales Multikomponent-Programm reduziert Angst und Depression bei Mehrfacherkrankung um 2,6–2,9 Punkte auf HADS</w:t>
      </w:r>
    </w:p>
    <w:p>
      <w:r>
        <w:rPr>
          <w:i/>
          <w:color w:val="666666"/>
          <w:sz w:val="18"/>
        </w:rPr>
        <w:t>Johnson E et al.  ·  PLoS Med  ·  20.08.2026  ·  PMID 42623335</w:t>
      </w:r>
    </w:p>
    <w:p>
      <w:r>
        <w:t>Dreiarmige randomisierte Studie (825 Patienten über 13 Länder, online durchgeführt 2023–2024) zu Effekt eines digitalen Programms mit oder ohne menschliche Unterstützung versus Warteliste bei Angst und Depression bei chronischen Erkrankungen.</w:t>
      </w:r>
    </w:p>
    <w:p>
      <w:r>
        <w:rPr>
          <w:b/>
        </w:rPr>
        <w:t xml:space="preserve">Ergebnis: </w:t>
      </w:r>
      <w:r>
        <w:t>Primärer Vergleich (eMPower + Human Support vs. Kontrolle): HADS-Gesamtscore verbesserte sich um 2,9 Punkte (95%-KI 2,0–3,8; p&lt;0,001). Self-directed eMPower zeigte ähnliche Verbesserung (2,6 Punkte; 95%-KI 1,8–3,5; p&lt;0,001); kein signifikanter Unterschied zwischen Interventionen. Verbesserungen auch bei Müdigkeit (MFIS) und Lebensqualität (SF-12, EQ-5D-5L). Keine unerwünschten Ereignisse berichtet.</w:t>
      </w:r>
    </w:p>
    <w:p>
      <w:r>
        <w:rPr>
          <w:b/>
          <w:sz w:val="19"/>
        </w:rPr>
        <w:t xml:space="preserve">Übertragbarkeit: </w:t>
      </w:r>
      <w:r>
        <w:rPr>
          <w:sz w:val="19"/>
        </w:rPr>
        <w:t>Internetbasiert, international, aber auf Mehrfacherkrankung generell bezogen, gute Übertragbarkeit</w:t>
      </w:r>
    </w:p>
    <w:p>
      <w:r>
        <w:rPr>
          <w:color w:val="5A7D3A"/>
          <w:sz w:val="18"/>
        </w:rPr>
        <w:t>https://pubmed.ncbi.nlm.nih.gov/42623335/</w:t>
      </w:r>
    </w:p>
    <w:p>
      <w:pPr>
        <w:pStyle w:val="Heading2"/>
      </w:pPr>
      <w:r>
        <w:t>Psychische Erkrankungen mit 1,85- bis 3,16-fach erhöhtem Risiko für systemische Mehrfacherkrankung bei jungen Frauen</w:t>
      </w:r>
    </w:p>
    <w:p>
      <w:r>
        <w:rPr>
          <w:i/>
          <w:color w:val="666666"/>
          <w:sz w:val="18"/>
        </w:rPr>
        <w:t>Halstead S et al.  ·  Lancet Psychiatry  ·  Sept. 2026  ·  PMID 42586082</w:t>
      </w:r>
    </w:p>
    <w:p>
      <w:r>
        <w:t>Kohortenstudie mit 30.189 Patienten mit Schizophrenie-Spektrum/bipolaren Störungen und 148.476 Kontrollen (Queensland, Australien, 2000–2023) zu Inzidenz und absoluten Unterschieden in systemischer Mehrfacherkrankung (Multiple Systeme betroffen).</w:t>
      </w:r>
    </w:p>
    <w:p>
      <w:r>
        <w:rPr>
          <w:b/>
        </w:rPr>
        <w:t xml:space="preserve">Ergebnis: </w:t>
      </w:r>
      <w:r>
        <w:t>Relative Inzidenz der Mehrfacherkrankung signifikant erhöht: mindestens ein System HR=1,85 (95%-KI 1,81–1,88), fünf Systeme HR=3,16 (95%-KI 3,01–3,30). Bei 20 Jahren absolute Cumulative-Incidence-Unterschiede: 9,79 zusätzliche Fälle pro 100 Personen (≥1 System), höchste Effekte bei Frauen &lt;25 Jahren (HR=9,24 für ≥5 Systeme; 95%-KI 7,30–11,71).</w:t>
      </w:r>
    </w:p>
    <w:p>
      <w:r>
        <w:rPr>
          <w:b/>
          <w:sz w:val="19"/>
        </w:rPr>
        <w:t xml:space="preserve">Übertragbarkeit: </w:t>
      </w:r>
      <w:r>
        <w:rPr>
          <w:sz w:val="19"/>
        </w:rPr>
        <w:t>Australien (vergleichbar mit Mittelsystemländern), großes Register, aber klinisches Risikoprofil generell übertragbar</w:t>
      </w:r>
    </w:p>
    <w:p>
      <w:r>
        <w:rPr>
          <w:color w:val="5A7D3A"/>
          <w:sz w:val="18"/>
        </w:rPr>
        <w:t>https://pubmed.ncbi.nlm.nih.gov/42586082/</w:t>
      </w:r>
    </w:p>
    <w:p>
      <w:pPr>
        <w:pStyle w:val="Heading1"/>
      </w:pPr>
      <w:r>
        <w:t>Aufgenommen am 20.08.2026</w:t>
      </w:r>
    </w:p>
    <w:p>
      <w:pPr>
        <w:pStyle w:val="Heading2"/>
      </w:pPr>
      <w:r>
        <w:t>COPD mit Typ-2-Entzündung und Exazerbationen trotz Dreifachtherapie – 3-fach höhere Kosten und Hospitalisierungsrate</w:t>
      </w:r>
    </w:p>
    <w:p>
      <w:r>
        <w:rPr>
          <w:i/>
          <w:color w:val="666666"/>
          <w:sz w:val="18"/>
        </w:rPr>
        <w:t>Narendra DK et al.  ·  Int J Chron Obstruct Pulmon Dis  ·  13.08.2026  ·  PMID 42609821</w:t>
      </w:r>
    </w:p>
    <w:p>
      <w:r>
        <w:t>Retrospektive Analyse der Optum-Datenbank (über 28 Millionen Versicherte, USA) zu Exazerbationen und Versorgungslast bei COPD-Patienten mit Typ-2-Entzündung (erhöhte Eosinophile) und Exazerbationshistorie trotz Dreifachtherapie.</w:t>
      </w:r>
    </w:p>
    <w:p>
      <w:r>
        <w:rPr>
          <w:b/>
        </w:rPr>
        <w:t xml:space="preserve">Ergebnis: </w:t>
      </w:r>
      <w:r>
        <w:t>Bei 13.840 Patienten (6.389 mit Exazerbationen und Eosinophile ≥150 Zellen/μL): durchschnittlich 1,58 COPD-Exazerbationen/Jahr vs. 0,52 in der Kontrollgruppe; um ~6.700 USD höhere jährliche Kosten; höhere Notaufnahme- und Hospitalisierungsraten trotz optimierter medikamentöser Therapie. Ungedeckter Versorgungsbedarf.</w:t>
      </w:r>
    </w:p>
    <w:p>
      <w:r>
        <w:rPr>
          <w:b/>
          <w:sz w:val="19"/>
        </w:rPr>
        <w:t xml:space="preserve">Übertragbarkeit: </w:t>
      </w:r>
      <w:r>
        <w:rPr>
          <w:sz w:val="19"/>
        </w:rPr>
        <w:t>USA-Daten; Effektivitätsbefund (Exazerbationslast trotz optimaler medikamentöser Versorgung) übertragbar auf Deutschland.</w:t>
      </w:r>
    </w:p>
    <w:p>
      <w:r>
        <w:rPr>
          <w:color w:val="5A7D3A"/>
          <w:sz w:val="18"/>
        </w:rPr>
        <w:t>https://pubmed.ncbi.nlm.nih.gov/42609821/</w:t>
      </w:r>
    </w:p>
    <w:p>
      <w:pPr>
        <w:pStyle w:val="Heading2"/>
      </w:pPr>
      <w:r>
        <w:t>Cluster-Analyse identifiziert sechs Subtypen hochgradig multimorbider Patienten für gezielte Interventionen im englischen Gesundheitssystem</w:t>
      </w:r>
    </w:p>
    <w:p>
      <w:r>
        <w:rPr>
          <w:i/>
          <w:color w:val="666666"/>
          <w:sz w:val="18"/>
        </w:rPr>
        <w:t>Wood RM et al.  ·  Health Care Manag Sci  ·  07.08.2026  ·  PMID 42566017</w:t>
      </w:r>
    </w:p>
    <w:p>
      <w:r>
        <w:t>Clusteranalyse von 19.520 Hochmorbidität-Patienten (top 3% von 1 Million Versicherten, &gt;1/5 der Kosten) in Bristol, um heterogene Subgruppen und entsprechende Versorgungsziele zu definieren.</w:t>
      </w:r>
    </w:p>
    <w:p>
      <w:r>
        <w:rPr>
          <w:b/>
        </w:rPr>
        <w:t xml:space="preserve">Ergebnis: </w:t>
      </w:r>
      <w:r>
        <w:t>Sechs Cluster identifiziert: Ältere ohne Demenz (n=1.243); Krebs (n=1.055); Jünger/komplex (n=2.199); Atemwege (n=4.743); Kardiovaskulär (n=6.140); Demenz (n=4.579). Jeder Cluster erhielt wertbasierte Versorgungsziele und spezifische klinische Managemententscheidungen. Heterogenität innerhalb der Hochmorbidität erfordert maßgeschneiderte Interventionen.</w:t>
      </w:r>
    </w:p>
    <w:p>
      <w:r>
        <w:rPr>
          <w:b/>
          <w:sz w:val="19"/>
        </w:rPr>
        <w:t xml:space="preserve">Übertragbarkeit: </w:t>
      </w:r>
      <w:r>
        <w:rPr>
          <w:sz w:val="19"/>
        </w:rPr>
        <w:t>Vereinigtes Königreich, NHS-Struktur, ähnliche Versorgungsmotivation.</w:t>
      </w:r>
    </w:p>
    <w:p>
      <w:r>
        <w:rPr>
          <w:color w:val="5A7D3A"/>
          <w:sz w:val="18"/>
        </w:rPr>
        <w:t>https://pubmed.ncbi.nlm.nih.gov/42566017/</w:t>
      </w:r>
    </w:p>
    <w:p>
      <w:pPr>
        <w:pStyle w:val="Heading2"/>
      </w:pPr>
      <w:r>
        <w:t>Capability Cards unterstützen personzentrierte Gespräche bei Mehrfacherkrankungen in spanischer Primärversorgung – validiert</w:t>
      </w:r>
    </w:p>
    <w:p>
      <w:r>
        <w:rPr>
          <w:i/>
          <w:color w:val="666666"/>
          <w:sz w:val="18"/>
        </w:rPr>
        <w:t>Llubes-Arrià L et al.  ·  Prim Health Care Res Dev  ·  06.08.2026  ·  PMID 42559972</w:t>
      </w:r>
    </w:p>
    <w:p>
      <w:r>
        <w:t>Methodische Validierungsstudie der spanischen Übersetzung und kulturellen Anpassung der Capability Cards als Werkzeug für Patienten mit Mehrfacherkrankung in spanischen Gemeinschaftspraxen.</w:t>
      </w:r>
    </w:p>
    <w:p>
      <w:r>
        <w:rPr>
          <w:b/>
        </w:rPr>
        <w:t xml:space="preserve">Ergebnis: </w:t>
      </w:r>
      <w:r>
        <w:t>Hohe inhaltsliche Validität in allen Gruppen (Content Validity Index: Experten 0,88; Fachkräfte 0,96; Zielpopulation 0,98); ausgezeichnete Usability (System Usability Scale). Capability Cards zeigten starke kulturelle Angemessenheit und Eignung für strukturierte, personzentrierte Gespräche zur Förderung von Empowerment und partizipatorischer Versorgung bei Mehrfacherkrankung.</w:t>
      </w:r>
    </w:p>
    <w:p>
      <w:r>
        <w:rPr>
          <w:b/>
          <w:sz w:val="19"/>
        </w:rPr>
        <w:t xml:space="preserve">Übertragbarkeit: </w:t>
      </w:r>
      <w:r>
        <w:rPr>
          <w:sz w:val="19"/>
        </w:rPr>
        <w:t>Spanien, ambulante Primärversorgung ähnlich Deutschland.</w:t>
      </w:r>
    </w:p>
    <w:p>
      <w:r>
        <w:rPr>
          <w:color w:val="5A7D3A"/>
          <w:sz w:val="18"/>
        </w:rPr>
        <w:t>https://pubmed.ncbi.nlm.nih.gov/42559972/</w:t>
      </w:r>
    </w:p>
    <w:p>
      <w:pPr>
        <w:pStyle w:val="Heading1"/>
      </w:pPr>
      <w:r>
        <w:t>Aufgenommen am 19.08.2026</w:t>
      </w:r>
    </w:p>
    <w:p>
      <w:pPr>
        <w:pStyle w:val="Heading2"/>
      </w:pPr>
      <w:r>
        <w:t>Hybrid-Versorgung für COPD-Patienten mit hohem Risiko: Pflegeleitung, Personalisierung und digitale Unterstützung zeigen Machbarkeit</w:t>
      </w:r>
    </w:p>
    <w:p>
      <w:r>
        <w:rPr>
          <w:i/>
          <w:color w:val="666666"/>
          <w:sz w:val="18"/>
        </w:rPr>
        <w:t>Gómez-López A et al.  ·  J Med Internet Res  ·  18.08.2026  ·  PMID 42612086</w:t>
      </w:r>
    </w:p>
    <w:p>
      <w:r>
        <w:t>Co-Design-Studie in Barcelona mit vier PDSA-Zyklen zur Operationalisierung einer Hybrid-Care-Intervention (Pflege vor Ort, Personalisierung, digitale Unterstützung) für Patienten mit COPD, Asthma und Bronchiektasen bei exazerbierter und stabiler Erkrankung.</w:t>
      </w:r>
    </w:p>
    <w:p>
      <w:r>
        <w:rPr>
          <w:b/>
        </w:rPr>
        <w:t xml:space="preserve">Ergebnis: </w:t>
      </w:r>
      <w:r>
        <w:t>Am Ende PDSA-3 (August 2025) wurde Operationalisierung dreier Kernkomponenten erreicht: (1) Nurse-Led-Versorgung vor Ort, (2) Personalisierung der Intervention, (3) fortgeschrittene digitale Unterstützung. Konsens unter allen Stakeholdern zu Anwendbarkeit im klinisch stabilen und exazerbiertem Zustand sowie zu kurzfristiger Implementierungs- und nachhaltiger Übernahmestrategie.</w:t>
      </w:r>
    </w:p>
    <w:p>
      <w:r>
        <w:rPr>
          <w:b/>
          <w:sz w:val="19"/>
        </w:rPr>
        <w:t xml:space="preserve">Übertragbarkeit: </w:t>
      </w:r>
      <w:r>
        <w:rPr>
          <w:sz w:val="19"/>
        </w:rPr>
        <w:t>Spanien, katalanisches Gesundheitssystem – Erkenntnisse zur Integration digitaler Tools in koordinierte Versorgung relevant</w:t>
      </w:r>
    </w:p>
    <w:p>
      <w:r>
        <w:rPr>
          <w:color w:val="5A7D3A"/>
          <w:sz w:val="18"/>
        </w:rPr>
        <w:t>https://pubmed.ncbi.nlm.nih.gov/42612086/</w:t>
      </w:r>
    </w:p>
    <w:p>
      <w:pPr>
        <w:pStyle w:val="Heading2"/>
      </w:pPr>
      <w:r>
        <w:t>Patienten mit eosinophiler COPD und Exazerbationen haben hohes Hospitalisierungs- und Kostenrisiko trotz Dreifachtherapie</w:t>
      </w:r>
    </w:p>
    <w:p>
      <w:r>
        <w:rPr>
          <w:i/>
          <w:color w:val="666666"/>
          <w:sz w:val="18"/>
        </w:rPr>
        <w:t>Di Giorgi N et al.  ·  Int J Chron Obstruct Pulmon Dis  ·  13.08.2026  ·  PMID 42609817</w:t>
      </w:r>
    </w:p>
    <w:p>
      <w:r>
        <w:t>Reale-Welt-Datenanalyse von 3.279 COPD-Patienten in einem italienischen Tertiärkrankenhaus zur Identifikation von Patienten mit erhöhten Eosinophilen, die für zielgerichtete biologische Therapien (Dupilumab) infrage kommen.</w:t>
      </w:r>
    </w:p>
    <w:p>
      <w:r>
        <w:rPr>
          <w:b/>
        </w:rPr>
        <w:t xml:space="preserve">Ergebnis: </w:t>
      </w:r>
      <w:r>
        <w:t>Unter 224 Patienten mit Exazerbationen unter Dreifachtherapie hatten 87 (38,8 %) mindestens eine Eosinophilenzahl ≥300 Zellen/µL (Median-Messwerte 210 [IQR 130–335] Zellen/µL). Patienten mit EOS ≥300 gegenüber &lt;300: höhere Krankenhausaufnahmen (23,0 % vs. 12,2 %; p=0,005), größere Komorbiditätslast (71,3 % kardiovaskulär, 59,8 % metabolisch), numerisch höhere Gesamtsterblichkeit (19,5 % vs. 13,0 %, nicht signifikant), mehr jährliche Kontakte (4,5 vs. 3,0; p&lt;0,001).</w:t>
      </w:r>
    </w:p>
    <w:p>
      <w:r>
        <w:rPr>
          <w:b/>
          <w:sz w:val="19"/>
        </w:rPr>
        <w:t xml:space="preserve">Übertragbarkeit: </w:t>
      </w:r>
      <w:r>
        <w:rPr>
          <w:sz w:val="19"/>
        </w:rPr>
        <w:t>Italien, vergleichbares europäisches Krankenversicherungssystem; Eosinophil-Monitoring zur Therapiesteuerung</w:t>
      </w:r>
    </w:p>
    <w:p>
      <w:r>
        <w:rPr>
          <w:color w:val="5A7D3A"/>
          <w:sz w:val="18"/>
        </w:rPr>
        <w:t>https://pubmed.ncbi.nlm.nih.gov/42609817/</w:t>
      </w:r>
    </w:p>
    <w:p>
      <w:pPr>
        <w:pStyle w:val="Heading2"/>
      </w:pPr>
      <w:r>
        <w:t>Strukturierte Transitionsversorgung erhöht Übergangsbereitschaft junger Erwachsener mit chronischen Erkrankungen (COCCOS-Protokoll)</w:t>
      </w:r>
    </w:p>
    <w:p>
      <w:r>
        <w:rPr>
          <w:i/>
          <w:color w:val="666666"/>
          <w:sz w:val="18"/>
        </w:rPr>
        <w:t>Van Wilder L et al.  ·  PLoS One  ·  17.08.2026  ·  PMID 42607051</w:t>
      </w:r>
    </w:p>
    <w:p>
      <w:r>
        <w:t>Protokoll einer quasi-experimentellen Studie zur Evaluation eines co-gestalteten Übergangsprogramms von Kindermedizin zu Erwachsenenmedizin bei Patienten mit Typ-1-Diabetes, Asthma oder Adipositas in Belgien.</w:t>
      </w:r>
    </w:p>
    <w:p>
      <w:r>
        <w:rPr>
          <w:b/>
        </w:rPr>
        <w:t xml:space="preserve">Ergebnis: </w:t>
      </w:r>
      <w:r>
        <w:t>Ziel ist Test von vier strukturierten Konsultationen über 13–16 Monate. Primäres Outcome: Transition Readiness Assessment Questionnaire. Sekundäroutcomes: Patient Empowerment, Therapietreue, gesundheitsbezogene Lebensqualität, psychische Gesundheit. Kosteneffektivität aus Payer-Perspektive mit Quality-Adjusted Life Years gemessen. Mixed-Methods-Prozessevaluationen geplant. Im Stadium PDSA-3 (August 2025); Ergebnisse erwartet 2027.</w:t>
      </w:r>
    </w:p>
    <w:p>
      <w:r>
        <w:rPr>
          <w:b/>
          <w:sz w:val="19"/>
        </w:rPr>
        <w:t xml:space="preserve">Übertragbarkeit: </w:t>
      </w:r>
      <w:r>
        <w:rPr>
          <w:sz w:val="19"/>
        </w:rPr>
        <w:t>Belgien, ähnliche Versicherungssysteme und Versorgungspfade wie deutschsprachiger Raum</w:t>
      </w:r>
    </w:p>
    <w:p>
      <w:r>
        <w:rPr>
          <w:color w:val="5A7D3A"/>
          <w:sz w:val="18"/>
        </w:rPr>
        <w:t>https://pubmed.ncbi.nlm.nih.gov/42607051/</w:t>
      </w:r>
    </w:p>
    <w:p>
      <w:pPr>
        <w:pStyle w:val="Heading2"/>
      </w:pPr>
      <w:r>
        <w:t>Mehrfacherkrankung im Alter erhöht Gesamt-Versorgungsausgaben um 11,6 %; sozioökonomische Ungleichheiten verstärken den Effekt</w:t>
      </w:r>
    </w:p>
    <w:p>
      <w:r>
        <w:rPr>
          <w:i/>
          <w:color w:val="666666"/>
          <w:sz w:val="18"/>
        </w:rPr>
        <w:t>Doheny M et al.  ·  BMJ Open  ·  14.08.2026  ·  PMID 42601104</w:t>
      </w:r>
    </w:p>
    <w:p>
      <w:r>
        <w:t>Querschnittsuntersuchung von 371.583 Personen ≥65 Jahre in Region Stockholm zur Prävalenz und Kostenfolgen von Mehrfacherkrankung.</w:t>
      </w:r>
    </w:p>
    <w:p>
      <w:r>
        <w:rPr>
          <w:b/>
        </w:rPr>
        <w:t xml:space="preserve">Ergebnis: </w:t>
      </w:r>
      <w:r>
        <w:t>Mehrfacherkrankung bei 62,6 % der älteren Erwachsenen. Mit ≥4 Erkrankungen stiegen die Durchschnittsausgaben auf 143.063 SEK (gegenüber 34.346 SEK ohne Erkrankung). Multimorbidität assoziiert mit 11,6 % höheren Gesamtausgaben (Cost Ratio 1,116, KI 1,114–1,118). Tiefste Einkommensgruppe zeigte 3,8 % höhere Ausgaben als höchste Gruppe. Soziale Pflegeausgaben überstiegen ab Alter 80 Jahren die Gesundheitsausgaben.</w:t>
      </w:r>
    </w:p>
    <w:p>
      <w:r>
        <w:rPr>
          <w:b/>
          <w:sz w:val="19"/>
        </w:rPr>
        <w:t xml:space="preserve">Übertragbarkeit: </w:t>
      </w:r>
      <w:r>
        <w:rPr>
          <w:sz w:val="19"/>
        </w:rPr>
        <w:t>Schweden, vergleichbares öffentliches Versicherungssystem und Dokumentation wie Deutschland</w:t>
      </w:r>
    </w:p>
    <w:p>
      <w:r>
        <w:rPr>
          <w:color w:val="5A7D3A"/>
          <w:sz w:val="18"/>
        </w:rPr>
        <w:t>https://pubmed.ncbi.nlm.nih.gov/42601104/</w:t>
      </w:r>
    </w:p>
    <w:p>
      <w:pPr>
        <w:pStyle w:val="Heading2"/>
      </w:pPr>
      <w:r>
        <w:t>Pertussis-Hospitalisierungen bei chronischen Erkrankungen: Hochrisiko-Gruppen und Präventionsbedarf in Frankreich</w:t>
      </w:r>
    </w:p>
    <w:p>
      <w:r>
        <w:rPr>
          <w:i/>
          <w:color w:val="666666"/>
          <w:sz w:val="18"/>
        </w:rPr>
        <w:t>Vargas-Zambrano JC et al.  ·  Euro Surveill  ·  Aug. 2026  ·  PMID 42596896</w:t>
      </w:r>
    </w:p>
    <w:p>
      <w:r>
        <w:t>Retrospektive Analyse von 10.893 Patienten mit Keuchhusten-Hospitalisierungen 2008–2020 in Frankreich nach Präsenz chronischer Grunderkrankungen (Asthma, COPD, Diabetes, Immunsuppression).</w:t>
      </w:r>
    </w:p>
    <w:p>
      <w:r>
        <w:rPr>
          <w:b/>
        </w:rPr>
        <w:t xml:space="preserve">Ergebnis: </w:t>
      </w:r>
      <w:r>
        <w:t>Bei Kindern/Jugendlichen (n=7.212): 17,5 % mit Asthma, 0,9 % mit Immunsuppression. Höchste kumulierte Inzidenzrate bei Immunsuppression (adjustiert CIR 3,6; KI 2,8–4,6). Bei Erwachsenen (n=3.681): 62,4 % mit Asthma/COPD, 16,1 % immunsupprimiert, 12,3 % mit Diabetes. Höchste CIR bei Asthma/COPD (18,6; KI 17,4–19,9). Medianhosp.-kosten für Immunsupprimierte 4.401 EUR. Keine signifikanten Änderungen der Ressourcennutzung vor/nach Hospitalisierung bei Erwachsenen.</w:t>
      </w:r>
    </w:p>
    <w:p>
      <w:r>
        <w:rPr>
          <w:b/>
          <w:sz w:val="19"/>
        </w:rPr>
        <w:t xml:space="preserve">Übertragbarkeit: </w:t>
      </w:r>
      <w:r>
        <w:rPr>
          <w:sz w:val="19"/>
        </w:rPr>
        <w:t>Frankreich, französisches Gesundheitssystem und Krankenversicherungsdaten wie Deutschland</w:t>
      </w:r>
    </w:p>
    <w:p>
      <w:r>
        <w:rPr>
          <w:color w:val="5A7D3A"/>
          <w:sz w:val="18"/>
        </w:rPr>
        <w:t>https://pubmed.ncbi.nlm.nih.gov/42596896/</w:t>
      </w:r>
    </w:p>
    <w:p>
      <w:pPr>
        <w:pStyle w:val="Heading2"/>
      </w:pPr>
      <w:r>
        <w:t>Verzögerte Palliativversorgung in Primärversorgung treibt vermeidbare Notfallabteilungsbesuche bei älteren Menschen mit Mehrfacherkrankung</w:t>
      </w:r>
    </w:p>
    <w:p>
      <w:r>
        <w:rPr>
          <w:i/>
          <w:color w:val="666666"/>
          <w:sz w:val="18"/>
        </w:rPr>
        <w:t>Bring H et al.  ·  Scand J Prim Health Care  ·  12.08.2026  ·  PMID 42583708</w:t>
      </w:r>
    </w:p>
    <w:p>
      <w:r>
        <w:t>Qualitative Befragung von 100 Fachleuten (Ärzte, Pflegekräfte) über Gründe für Notfallabteilungsbesuche bei älteren Patienten mit Mehrfacherkrankung und Palliativbedarf in Stockholm.</w:t>
      </w:r>
    </w:p>
    <w:p>
      <w:r>
        <w:rPr>
          <w:b/>
        </w:rPr>
        <w:t xml:space="preserve">Ergebnis: </w:t>
      </w:r>
      <w:r>
        <w:t>Übergeordnetes Thema: ‚Verzögerte, fragmentierte Palliativversorgung trägt zu ED-Besuchen bei'. Zwei Kategorien identifiziert: (1) Palliativbeschlüsse in Primärversorgung (Erkennen von Bedarf, Initiierung, Einbeziehung von Patienten/Familien); (2) Versorgung zu Hause (Planung, Symptommanagement, Informationstransfer). Fachleute berichteten, dass fehlende Vorlaufplanung zu krisenhaften ED-Besuchen führt, die Patientenwünschen widersprechen.</w:t>
      </w:r>
    </w:p>
    <w:p>
      <w:r>
        <w:rPr>
          <w:b/>
          <w:sz w:val="19"/>
        </w:rPr>
        <w:t xml:space="preserve">Übertragbarkeit: </w:t>
      </w:r>
      <w:r>
        <w:rPr>
          <w:sz w:val="19"/>
        </w:rPr>
        <w:t>Schweden, vergleichbare Primärversorgungsstruktur und Palliativstandards mit Deutschland/DACH</w:t>
      </w:r>
    </w:p>
    <w:p>
      <w:r>
        <w:rPr>
          <w:color w:val="5A7D3A"/>
          <w:sz w:val="18"/>
        </w:rPr>
        <w:t>https://pubmed.ncbi.nlm.nih.gov/42583708/</w:t>
      </w:r>
    </w:p>
    <w:p>
      <w:pPr>
        <w:pStyle w:val="Heading2"/>
      </w:pPr>
      <w:r>
        <w:t>Polypharmazie konzentriert sich auf ältere, multimorbide und sozioökonomisch benachteiligte Personen – Versorgungsmuster in Spanien</w:t>
      </w:r>
    </w:p>
    <w:p>
      <w:r>
        <w:rPr>
          <w:i/>
          <w:color w:val="666666"/>
          <w:sz w:val="18"/>
        </w:rPr>
        <w:t>Aparicio-Rodriguez G et al.  ·  Front Public Health  ·  16.07.2026  ·  PMID 42535037</w:t>
      </w:r>
    </w:p>
    <w:p>
      <w:r>
        <w:t>Querschnittsstudie von 33.534 Personen mit Polypharmazie (≥5 verschiedene ATC4-Medikamentengruppen) in La Rioja, Spanien, zu Verteilung nach Alter, Geschlecht und sozioökonomischem Status.</w:t>
      </w:r>
    </w:p>
    <w:p>
      <w:r>
        <w:rPr>
          <w:b/>
        </w:rPr>
        <w:t xml:space="preserve">Ergebnis: </w:t>
      </w:r>
      <w:r>
        <w:t>Mittlere Medikamentenbelastung 7,07 Gruppen (SD 2,17); 58,4 % erhielten 6–9 Gruppen. 71,8 % gehörten zur unteren Einkommensgruppe, die höchsten Belastungen (≥10 Gruppen) zeigten 14,9 % der Armen gegen 8,0–9,2 % der mittleren und höheren Gruppen. Chronische Grunderkrankungen (Herzinsuffizienz, Nierenkrankheit, Gefäßerkrankung) stark assoziiert mit höherer Medikamentenbelastung.</w:t>
      </w:r>
    </w:p>
    <w:p>
      <w:r>
        <w:rPr>
          <w:b/>
          <w:sz w:val="19"/>
        </w:rPr>
        <w:t xml:space="preserve">Übertragbarkeit: </w:t>
      </w:r>
      <w:r>
        <w:rPr>
          <w:sz w:val="19"/>
        </w:rPr>
        <w:t>Spanien, deutschsprachiger Raum – Datenquellen aus öffentlich finanzierter Versorgung</w:t>
      </w:r>
    </w:p>
    <w:p>
      <w:r>
        <w:rPr>
          <w:color w:val="5A7D3A"/>
          <w:sz w:val="18"/>
        </w:rPr>
        <w:t>https://pubmed.ncbi.nlm.nih.gov/42535037/</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Studienarchiv - Nicht uebertragbare Krankheiten</dc:title>
  <dc:subject/>
  <dc:creator>Monitor Versorgungsforschung</dc:creator>
  <cp:keywords/>
  <dc:description>generated by python-docx</dc:description>
  <cp:lastModifiedBy/>
  <cp:revision>1</cp:revision>
  <dcterms:created xsi:type="dcterms:W3CDTF">2026-09-23T06:00:00Z</dcterms:created>
  <dcterms:modified xsi:type="dcterms:W3CDTF">2026-09-23T06:00:00Z</dcterms:modified>
  <cp:category/>
</cp:coreProperties>
</file>