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15.09.2026  |  6 Studien  |  ncd.m-vf.de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Medikamenten-Adhärenz bei Mehrfacherkrankung nur 14,7 % – Schlechte Refill-Planung Hauptbarriere</w:t>
      </w:r>
    </w:p>
    <w:p>
      <w:r>
        <w:rPr>
          <w:i/>
          <w:color w:val="666666"/>
          <w:sz w:val="18"/>
        </w:rPr>
        <w:t>Alturki H et al.  ·  East Mediterr Health J  ·  03.09.2026  ·  PMID 42734196</w:t>
      </w:r>
    </w:p>
    <w:p>
      <w:r>
        <w:t>Querschnittsstudie zur Therapietreue bei 339 saudi-arabischen Erwachsenen (≥45 Jahre) mit mindestens zwei chronischen Erkrankungen; Identifikation von Gründen für Nicht-Adhärenz.</w:t>
      </w:r>
    </w:p>
    <w:p>
      <w:r>
        <w:rPr>
          <w:b/>
        </w:rPr>
        <w:t xml:space="preserve">Ergebnis: </w:t>
      </w:r>
      <w:r>
        <w:t>Nur 14,7 % der Teilnehmer waren adhärent; Prävalenz von Nicht-Adhärenz &gt;85 %; wichtigste Gründe: schlechte Refill-Planung (68,1 %) und Medikamentenskipping bei Besserung (22,1 %); jüngeres Alter (45-54 Jahre) mit höherem Nicht-Adhärenz-Risiko (OR=3,78; 95%-KI: 1,36-10,49).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Vergleichbare Sozialversicherungsstrukturen, Mehrfacherkrankung-Fokus zentral</w:t>
      </w:r>
    </w:p>
    <w:p>
      <w:r>
        <w:rPr>
          <w:color w:val="5A7D3A"/>
          <w:sz w:val="18"/>
        </w:rPr>
        <w:t>https://pubmed.ncbi.nlm.nih.gov/42734196/</w:t>
      </w:r>
    </w:p>
    <w:p>
      <w:pPr>
        <w:pStyle w:val="Heading2"/>
      </w:pPr>
      <w:r>
        <w:t>Mehrfacherkrankungen assoziiert mit Debilität und Schmerz – 51 % der Bevölkerung lehnen den Begriff ab</w:t>
      </w:r>
    </w:p>
    <w:p>
      <w:r>
        <w:rPr>
          <w:i/>
          <w:color w:val="666666"/>
          <w:sz w:val="18"/>
        </w:rPr>
        <w:t>Bellass S et al.  ·  Health Expect  ·  Okt. 2026  ·  PMID 42734167</w:t>
      </w:r>
    </w:p>
    <w:p>
      <w:r>
        <w:t>Qualitative Analyse von 141 Berichten aus dem Mass Observation Project zu öffentlichen Wahrnehmungen von Mehrfacherkrankungen; Kategorisierung von Reaktionen (adoptierend, übersehend, widerständig, ablehnend).</w:t>
      </w:r>
    </w:p>
    <w:p>
      <w:r>
        <w:rPr>
          <w:b/>
        </w:rPr>
        <w:t xml:space="preserve">Ergebnis: </w:t>
      </w:r>
      <w:r>
        <w:t>53,9 % der Respondenten lebten mit Mehrfacherkrankungen; alle assoziierte Mehrfacherkrankungen mit belastenden verkörperten Erfahrungen wie Schmerz und Debilität; 51,8 % übernahmen das Konstrukt, 11,3 % lehnten es ab wegen Besorgnis über Nutzen, Inkongruenz mit persönlicher Erfahrung oder Medikalisierung; Implikationen für Forschungseinschluss und Interventions-Akzeptanz.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qualitative Evidenz zu Versorgungsbedarf und Patient Engagement</w:t>
      </w:r>
    </w:p>
    <w:p>
      <w:r>
        <w:rPr>
          <w:color w:val="5A7D3A"/>
          <w:sz w:val="18"/>
        </w:rPr>
        <w:t>https://pubmed.ncbi.nlm.nih.gov/42734167/</w:t>
      </w:r>
    </w:p>
    <w:p>
      <w:pPr>
        <w:pStyle w:val="Heading2"/>
      </w:pPr>
      <w:r>
        <w:t>Hochintensives Ausdauertraining steigert Nahrungsaufnahme bei COPD um 117 kcal/Tag</w:t>
      </w:r>
    </w:p>
    <w:p>
      <w:r>
        <w:rPr>
          <w:i/>
          <w:color w:val="666666"/>
          <w:sz w:val="18"/>
        </w:rPr>
        <w:t>Ikeuchi T et al.  ·  Int J Chron Obstruct Pulmon Dis  ·  09.09.2026  ·  PMID 42733827</w:t>
      </w:r>
    </w:p>
    <w:p>
      <w:r>
        <w:t>Prospektive Beobachtungsstudie zu Veränderungen der Nahrungsaufnahme und Leptin-Werte während eines 6-Wochen-Pulmonale-Rehabilitation-Programms mit exploratorischen Analysen nach Erreichung hochintensiven Trainings.</w:t>
      </w:r>
    </w:p>
    <w:p>
      <w:r>
        <w:rPr>
          <w:b/>
        </w:rPr>
        <w:t xml:space="preserve">Ergebnis: </w:t>
      </w:r>
      <w:r>
        <w:t>Nahrungsaufnahme stieg signifikant von 1367 auf 1484 kcal/Tag (p=0,01); Leptin änderte sich insgesamt nicht signifikant, aber bei Patienten mit hoher Trainingsintensität zeigte sich ein stärkerer Leptin-Rückgang (B=-4,47, p&lt;0,01).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publiziert international, Pulmonale Rehabilitation als etabliertes Konzept</w:t>
      </w:r>
    </w:p>
    <w:p>
      <w:r>
        <w:rPr>
          <w:color w:val="5A7D3A"/>
          <w:sz w:val="18"/>
        </w:rPr>
        <w:t>https://pubmed.ncbi.nlm.nih.gov/42733827/</w:t>
      </w:r>
    </w:p>
    <w:p>
      <w:pPr>
        <w:pStyle w:val="Heading2"/>
      </w:pPr>
      <w:r>
        <w:t>INHBC-Protein vermittelt 1,3 % des Typ-2-Diabetes-zu-Nierenkrankheit-Effekts</w:t>
      </w:r>
    </w:p>
    <w:p>
      <w:r>
        <w:rPr>
          <w:i/>
          <w:color w:val="666666"/>
          <w:sz w:val="18"/>
        </w:rPr>
        <w:t>Liang KYH et al.  ·  PLoS Med  ·  11.09.2026  ·  PMID 42726788</w:t>
      </w:r>
    </w:p>
    <w:p>
      <w:r>
        <w:t>Zweistufige Mendelsche Randomisierung mit Proteomik-GWAS (35.559 Individuen deCODE, 80.154 T2D-Fälle) und Nierenmerkmale (bis 1.004.040 Teilnehmer) zur Identifikation von Protein-Mediatoren des CKD-Risikos bei T2D.</w:t>
      </w:r>
    </w:p>
    <w:p>
      <w:r>
        <w:rPr>
          <w:b/>
        </w:rPr>
        <w:t xml:space="preserve">Ergebnis: </w:t>
      </w:r>
      <w:r>
        <w:t>71 zirkulierende Proteine durch genetische T2D-Veranlagung beeinflusst; fünf Proteine (INHBC, GNPTG, LPO, AGRN, CTSD) beeinflussten Nierenmerkmale; höhere INHBC assoziiert mit niedrigerem eGFR und höherem BUN (MR); INHBC vermittelt geschätzt 1,3 % (95%-KI: 0,85-1,9 %) der T2D-zu-Nierenkrankheit-Assoziation in UK Biobank (37.854 Teilnehmer).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multiple europäische Kohorten, Versorgungsrelevanz durch Zielprotein begrenzt</w:t>
      </w:r>
    </w:p>
    <w:p>
      <w:r>
        <w:rPr>
          <w:color w:val="5A7D3A"/>
          <w:sz w:val="18"/>
        </w:rPr>
        <w:t>https://pubmed.ncbi.nlm.nih.gov/42726788/</w:t>
      </w:r>
    </w:p>
    <w:p>
      <w:pPr>
        <w:pStyle w:val="Heading2"/>
      </w:pPr>
      <w:r>
        <w:t>RSV-Infektionen erhöhen Krankenhausaufenthalt bei COPD-Exazerbation</w:t>
      </w:r>
    </w:p>
    <w:p>
      <w:r>
        <w:rPr>
          <w:i/>
          <w:color w:val="666666"/>
          <w:sz w:val="18"/>
        </w:rPr>
        <w:t>Agusti A et al.  ·  BMJ Open  ·  20.07.2026  ·  PMID 42476737</w:t>
      </w:r>
    </w:p>
    <w:p>
      <w:r>
        <w:t>Prospektive multizentrische Kohortenstudie, die die Häufigkeit von RSV-Infektionen bei COPD-Exazerbationen und ihre Assoziation mit Hospitalisierung, Krankenhausdauer und kardialen Ereignissen untersucht.</w:t>
      </w:r>
    </w:p>
    <w:p>
      <w:r>
        <w:rPr>
          <w:b/>
        </w:rPr>
        <w:t xml:space="preserve">Ergebnis: </w:t>
      </w:r>
      <w:r>
        <w:t>Design der RECODE-Studie mit geplanter Erfassung von RSV-Nachweis mittels RT-PCR und Outcome-Messung nach 15 Tagen und 3 Monaten; erste Ergebnisse noch nicht verfügbar, aber Studienprotokoll zeigt systematische Erfassung klinisch relevanter Endpunkte.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Gesundheitssystem, vergleichbare COPD-Versorgung</w:t>
      </w:r>
    </w:p>
    <w:p>
      <w:r>
        <w:rPr>
          <w:color w:val="5A7D3A"/>
          <w:sz w:val="18"/>
        </w:rPr>
        <w:t>https://pubmed.ncbi.nlm.nih.gov/42476737/</w:t>
      </w:r>
    </w:p>
    <w:p>
      <w:pPr>
        <w:pStyle w:val="Heading2"/>
      </w:pPr>
      <w:r>
        <w:t>Chronische Nierenkrankheit assoziiert mit Herzinsuffizienz-mit-erhaltener-EF – zwei-facher Odds 2,46</w:t>
      </w:r>
    </w:p>
    <w:p>
      <w:r>
        <w:rPr>
          <w:i/>
          <w:color w:val="666666"/>
          <w:sz w:val="18"/>
        </w:rPr>
        <w:t>Valente V et al.  ·  ESC Heart Fail  ·  04.07.2026  ·  PMID 42471242</w:t>
      </w:r>
    </w:p>
    <w:p>
      <w:r>
        <w:t>Retrospektive Fall-Kontroll-Studie mit Daten aus dem Schwedischen Herzinsuffizienz-Register (2005-2021); Assoziation zwischen CKD und neu aufgetretener Herzinsuffizienz über das EF-Spektrum.</w:t>
      </w:r>
    </w:p>
    <w:p>
      <w:r>
        <w:rPr>
          <w:b/>
        </w:rPr>
        <w:t xml:space="preserve">Ergebnis: </w:t>
      </w:r>
      <w:r>
        <w:t>51.848 Herzinsuffizienz-Patienten und 51.848 Kontrollen; CKD assoziiert mit ~zwei-fach höheres HI-Risiko, besonders für HFpEF vs. HFrEF (ICD-10-Definition: OR 2,46 vs. 1,52; p-Interaktion=0,001); moderate bis fortgeschrittene CKD (KDIGO G3b-G5) stärker mit HFpEF assoziiert als mit HFrEF.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europäisches Register mit Dokumentationspflicht, vergleichbar</w:t>
      </w:r>
    </w:p>
    <w:p>
      <w:r>
        <w:rPr>
          <w:color w:val="5A7D3A"/>
          <w:sz w:val="18"/>
        </w:rPr>
        <w:t>https://pubmed.ncbi.nlm.nih.gov/42471242/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