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05.10.2026  |  6 Studien  |  ncd.m-vf.de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Glucose Disposal Rate assoziiert mit chronischer Nierenkrankheit bei älteren Diabetikern</w:t>
      </w:r>
    </w:p>
    <w:p>
      <w:r>
        <w:rPr>
          <w:i/>
          <w:color w:val="666666"/>
          <w:sz w:val="18"/>
        </w:rPr>
        <w:t>Chen X et al.  ·  Clin Interv Aging  ·  28.09.2026  ·  PMID 42829537</w:t>
      </w:r>
    </w:p>
    <w:p>
      <w:r>
        <w:t>Querschnittsstudie mit 713 älteren (≥60 J.) Typ-2-Diabetes-Patienten aus Zhejiang, China; CKD nach eGFR oder UACR definiert.</w:t>
      </w:r>
    </w:p>
    <w:p>
      <w:r>
        <w:rPr>
          <w:b/>
        </w:rPr>
        <w:t xml:space="preserve">Ergebnis: </w:t>
      </w:r>
      <w:r>
        <w:t>Pro 1-Unit eGDR-Anstieg: OR 0,78 (95%-KI 0,70–0,86) für CKD. Höchstes vs. niedrigstes Tertil: OR 0,31 (95%-KI 0,20–0,48). Linear inverse Beziehung (RCS p&gt;0,05). eGDR inversiv mit UACR (ρ=−0,277, p&lt;0,001), nicht mit eGFR. AUC 0,65 – Diskriminationsfähigkeit bescheiden; prospektive Studien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Mechanismus für deutsches DMP-System bedingt übertragbar</w:t>
      </w:r>
    </w:p>
    <w:p>
      <w:r>
        <w:rPr>
          <w:color w:val="5A7D3A"/>
          <w:sz w:val="18"/>
        </w:rPr>
        <w:t>https://pubmed.ncbi.nlm.nih.gov/42829537/</w:t>
      </w:r>
    </w:p>
    <w:p>
      <w:pPr>
        <w:pStyle w:val="Heading2"/>
      </w:pPr>
      <w:r>
        <w:t>COPD erhöht Sturz- und Osteoporoserisiko deutlich</w:t>
      </w:r>
    </w:p>
    <w:p>
      <w:r>
        <w:rPr>
          <w:i/>
          <w:color w:val="666666"/>
          <w:sz w:val="18"/>
        </w:rPr>
        <w:t>Liu P et al.  ·  Int J Chron Obstruct Pulmon Dis  ·  28.09.2026  ·  PMID 42827947</w:t>
      </w:r>
    </w:p>
    <w:p>
      <w:r>
        <w:t>Kohortenstudie mit 474.669 UK-Biobank-Teilnehmern untersuchte die Assoziation von COPD mit Stürzen und Osteoporose über 12 Jahre.</w:t>
      </w:r>
    </w:p>
    <w:p>
      <w:r>
        <w:rPr>
          <w:b/>
        </w:rPr>
        <w:t xml:space="preserve">Ergebnis: </w:t>
      </w:r>
      <w:r>
        <w:t>COPD war assoziiert mit höherem Sturzrisiko (HR 1,51; 95%-KI 1,45–1,58) und Osteoporoserisiko (HR 2,37; 95%-KI 2,22–2,53). Rauchen modifizierte die Sturzassoziation (aktuelle Raucher HR 1,77 vs. Niemals-Raucher HR 1,37). Die Befunde zeigen bedeutsame Mehrfacherkrankungen bei COPD.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 mit vergleichbar strukturiertem Gesundheitssystem</w:t>
      </w:r>
    </w:p>
    <w:p>
      <w:r>
        <w:rPr>
          <w:color w:val="5A7D3A"/>
          <w:sz w:val="18"/>
        </w:rPr>
        <w:t>https://pubmed.ncbi.nlm.nih.gov/42827947/</w:t>
      </w:r>
    </w:p>
    <w:p>
      <w:pPr>
        <w:pStyle w:val="Heading2"/>
      </w:pPr>
      <w:r>
        <w:t>SGLT2-Inhibitoren bei Diabetes mit chronischer Nierenkrankheit: Meta-Analyse</w:t>
      </w:r>
    </w:p>
    <w:p>
      <w:r>
        <w:rPr>
          <w:i/>
          <w:color w:val="666666"/>
          <w:sz w:val="18"/>
        </w:rPr>
        <w:t>Shi X et al.  ·  Medicine (Baltimore)  ·  02.10.2026  ·  PMID 42826278</w:t>
      </w:r>
    </w:p>
    <w:p>
      <w:r>
        <w:t>Systematische Übersicht und Meta-Analyse von 17 RCTs mit 29.192 Patienten mit Diabetes und CKD zur Wirksamkeit von SGLT2-Inhibitoren.</w:t>
      </w:r>
    </w:p>
    <w:p>
      <w:r>
        <w:rPr>
          <w:b/>
        </w:rPr>
        <w:t xml:space="preserve">Ergebnis: </w:t>
      </w:r>
      <w:r>
        <w:t>SGLT2-Inhibitoren reduzierten HbA1c (−0,40 %), Körpergewicht (−1,36 kg) und Blutdruck (−2,98 mmHg systolisch); eGFR und Albuminurie neutral kurzfristig (p&gt;0,05). Volumendepletion-Ereignisse erhöht (RR 1,36; 95%-KI 1,16–1,59). Kardiorenal-protektive Effekte langfristig dokumentiert, Monitoring essentiell.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deutsche Registerstudien zur SGLT2-Anwendung vorhanden</w:t>
      </w:r>
    </w:p>
    <w:p>
      <w:r>
        <w:rPr>
          <w:color w:val="5A7D3A"/>
          <w:sz w:val="18"/>
        </w:rPr>
        <w:t>https://pubmed.ncbi.nlm.nih.gov/42826278/</w:t>
      </w:r>
    </w:p>
    <w:p>
      <w:pPr>
        <w:pStyle w:val="Heading2"/>
      </w:pPr>
      <w:r>
        <w:t>SIRI-Index prognostiziert Mortalität bei COPD-Exazerbation</w:t>
      </w:r>
    </w:p>
    <w:p>
      <w:r>
        <w:rPr>
          <w:i/>
          <w:color w:val="666666"/>
          <w:sz w:val="18"/>
        </w:rPr>
        <w:t>Bai Y  ·  Medicine (Baltimore)  ·  02.10.2026  ·  PMID 42826271</w:t>
      </w:r>
    </w:p>
    <w:p>
      <w:r>
        <w:t>Retrospektive Kohortenanalyse aus MIMIC-III-Datenbank: 426 AECOPD-Patienten; 30-Tage-Mortalität 26,6 %.</w:t>
      </w:r>
    </w:p>
    <w:p>
      <w:r>
        <w:rPr>
          <w:b/>
        </w:rPr>
        <w:t xml:space="preserve">Ergebnis: </w:t>
      </w:r>
      <w:r>
        <w:t>SIRI (Systemische Inflammations-Response-Index) war unabhängiger Risikofaktor für 30-Tage-Mortalität (HR 1,743; 95%-KI 1,169–2,598; p=0,006). Optimaler Schwellwert 10,56 × 10⁹/L. AUC 0,612 besser als WBC/Neutrophile (0,584/0,557), ähnlich SOFA (0,619). SIRI könnte Triage und Prognose in der Akutversorgung lenken.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Intensivmedizinische Datenbanken in Deutschland ähnlich verfügbar</w:t>
      </w:r>
    </w:p>
    <w:p>
      <w:r>
        <w:rPr>
          <w:color w:val="5A7D3A"/>
          <w:sz w:val="18"/>
        </w:rPr>
        <w:t>https://pubmed.ncbi.nlm.nih.gov/42826271/</w:t>
      </w:r>
    </w:p>
    <w:p>
      <w:pPr>
        <w:pStyle w:val="Heading2"/>
      </w:pPr>
      <w:r>
        <w:t>Nebulisiertes Furosemid plus Bronchodilatatoren senkt Symptome und Entzündung bei COPD-Exazerbation</w:t>
      </w:r>
    </w:p>
    <w:p>
      <w:r>
        <w:rPr>
          <w:i/>
          <w:color w:val="666666"/>
          <w:sz w:val="18"/>
        </w:rPr>
        <w:t>Behi M et al.  ·  Iran J Allergy Asthma Immunol  ·  12.08.2026  ·  PMID 42825900</w:t>
      </w:r>
    </w:p>
    <w:p>
      <w:r>
        <w:t>Randomisierte kontrollierte Studie mit 92 hospitalisierten COPD-Exazerbationspatienten verglich Salbutamol-Ipratropium allein versus mit Furosemid (20 mg).</w:t>
      </w:r>
    </w:p>
    <w:p>
      <w:r>
        <w:rPr>
          <w:b/>
        </w:rPr>
        <w:t xml:space="preserve">Ergebnis: </w:t>
      </w:r>
      <w:r>
        <w:t>Interventionsgruppe zeigte signifikante Verbesserungen: mMRC- und CAT-Scores abgesunken, FEV₁/FVC-Ratio erhöht, IL-6 und IL-8 abgesunken (p&lt;0,05), höhere PaO₂ und niedrigere PaCO₂. Keine Nebenwirkungen berichtet. Adjuvante Therapie verbesserte Lungenfunktion und reduzierte Systementzündung.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 – Machbarkeit für strukturierte Inhalationstherapieprogramme prüfen</w:t>
      </w:r>
    </w:p>
    <w:p>
      <w:r>
        <w:rPr>
          <w:color w:val="5A7D3A"/>
          <w:sz w:val="18"/>
        </w:rPr>
        <w:t>https://pubmed.ncbi.nlm.nih.gov/42825900/</w:t>
      </w:r>
    </w:p>
    <w:p>
      <w:pPr>
        <w:pStyle w:val="Heading2"/>
      </w:pPr>
      <w:r>
        <w:t>Unreife Neutrophilen und erhöhte Myeloperoxidase bei CKD mit kardiovaskulären Komorbiditäten</w:t>
      </w:r>
    </w:p>
    <w:p>
      <w:r>
        <w:rPr>
          <w:i/>
          <w:color w:val="666666"/>
          <w:sz w:val="18"/>
        </w:rPr>
        <w:t>Vondenhoff S et al.  ·  Acta Physiol (Oxf)  ·  Sept. 2026  ·  PMID 42613304</w:t>
      </w:r>
    </w:p>
    <w:p>
      <w:r>
        <w:t>Vergleichende Flow-Cytometrie-Studie an zwei unabhängigen Kohorten männlicher CKD-Patienten (moderat bis fortgeschritten) versus gesunde Kontrollen.</w:t>
      </w:r>
    </w:p>
    <w:p>
      <w:r>
        <w:rPr>
          <w:b/>
        </w:rPr>
        <w:t xml:space="preserve">Ergebnis: </w:t>
      </w:r>
      <w:r>
        <w:t>CKD-Patienten zeigten reduzierte CD10-Expression auf Neutrophilen und erhöhte Plasma-Myeloperoxidase unabhängig von Entzündungsgrad oder NT-proBNP (p&lt;0,001). Unreife Neutrophilen-Phänotyp war kardiorenal-übergreifend konsistent, könnte zum erhöhten kardiovaskulären Risiko beitragen.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Krankenhaus-Daten zur Neutrophilen-Phenotypisierung verfügbar</w:t>
      </w:r>
    </w:p>
    <w:p>
      <w:r>
        <w:rPr>
          <w:color w:val="5A7D3A"/>
          <w:sz w:val="18"/>
        </w:rPr>
        <w:t>https://pubmed.ncbi.nlm.nih.gov/42613304/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