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31.08.2026  |  6 Studien  |  ncd.m-vf.de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Inhalationstechnik bei COPD: 96% der Patienten könnten DPIs nutzen</w:t>
      </w:r>
    </w:p>
    <w:p>
      <w:r>
        <w:rPr>
          <w:i/>
          <w:color w:val="666666"/>
          <w:sz w:val="18"/>
        </w:rPr>
        <w:t>Bravo Quiroga L et al.  ·  Int J Chron Obstruct Pulmon Dis  ·  25.08.2026  ·  PMID 42668822</w:t>
      </w:r>
    </w:p>
    <w:p>
      <w:r>
        <w:t>Querschnittstudie an 273 stabilen COPD-Patienten mit pMDI+Spacer in 70 spanischen Zentren zur Messung der Inspirationskraft und Eignung für Pulvertrockner.</w:t>
      </w:r>
    </w:p>
    <w:p>
      <w:r>
        <w:rPr>
          <w:b/>
        </w:rPr>
        <w:t xml:space="preserve">Ergebnis: </w:t>
      </w:r>
      <w:r>
        <w:t>96% erreichten PIF ≥30 L/min bei mittlerer-hoher Resistance, 61,9% ≥60 L/min. Unvollständige Exhalation hatte nur begrenzte Auswirkungen. Spacer-Verschreibung erfolgte selten auf Basis objektiver PIF-Messung.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vergleichbares Gesundheitssystem, direkt anwendbar für deutsche COPD-Versorgung.</w:t>
      </w:r>
    </w:p>
    <w:p>
      <w:r>
        <w:rPr>
          <w:color w:val="5A7D3A"/>
          <w:sz w:val="18"/>
        </w:rPr>
        <w:t>https://pubmed.ncbi.nlm.nih.gov/42668822/</w:t>
      </w:r>
    </w:p>
    <w:p>
      <w:pPr>
        <w:pStyle w:val="Heading2"/>
      </w:pPr>
      <w:r>
        <w:t>Soziales Kapital und Selbstwirksamkeit verbessern Lebensqualität älterer chronisch Kranker</w:t>
      </w:r>
    </w:p>
    <w:p>
      <w:r>
        <w:rPr>
          <w:i/>
          <w:color w:val="666666"/>
          <w:sz w:val="18"/>
        </w:rPr>
        <w:t>Wang Y et al.  ·  Front Public Health  ·  21.08.2026  ·  PMID 42666637</w:t>
      </w:r>
    </w:p>
    <w:p>
      <w:r>
        <w:t>Latente Profilanalyse an 425 ländlichen älteren Erwachsenen mit chronischen Erkrankungen (Ningxia, China) zu Effekt von Sozialkapital auf Lebensqualität via Selbstwirksamkeit.</w:t>
      </w:r>
    </w:p>
    <w:p>
      <w:r>
        <w:rPr>
          <w:b/>
        </w:rPr>
        <w:t xml:space="preserve">Ergebnis: </w:t>
      </w:r>
      <w:r>
        <w:t>Drei Profile: niedrig (29,9%), moderat (49,4%), hoch (20,7%). Lebensqualität und Selbstwirksamkeit unterschieden sich signifikant (p&lt;0,001). Indirekter Effekt via Selbstwirksamkeit nur im hohen Profil signifikant (21,2% des Gesamteffekts), nicht im moderaten.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Mehrfacherkrankung und psycho-soziale Mechanismen generalisierbar auf deutsche vulnerable Populationen.</w:t>
      </w:r>
    </w:p>
    <w:p>
      <w:r>
        <w:rPr>
          <w:color w:val="5A7D3A"/>
          <w:sz w:val="18"/>
        </w:rPr>
        <w:t>https://pubmed.ncbi.nlm.nih.gov/42666637/</w:t>
      </w:r>
    </w:p>
    <w:p>
      <w:pPr>
        <w:pStyle w:val="Heading2"/>
      </w:pPr>
      <w:r>
        <w:t>Kombinierte Inflammations- und Adipositäts-Indizes zeigen erhöhtes Multimorbidität-Risiko</w:t>
      </w:r>
    </w:p>
    <w:p>
      <w:r>
        <w:rPr>
          <w:i/>
          <w:color w:val="666666"/>
          <w:sz w:val="18"/>
        </w:rPr>
        <w:t>Chen J et al.  ·  Cardiovasc Diabetol  ·  26.08.2026  ·  PMID 42665793</w:t>
      </w:r>
    </w:p>
    <w:p>
      <w:r>
        <w:t>Prospektive Kohorte (n=6534, China Health and Retirement Longitudinal Study) zu Assoziation von CTI-Adipositäts-Indizes mit kardiovaskulär-hepatischen-metabolischen Multimorbidität über 4 Jahre.</w:t>
      </w:r>
    </w:p>
    <w:p>
      <w:r>
        <w:rPr>
          <w:b/>
        </w:rPr>
        <w:t xml:space="preserve">Ergebnis: </w:t>
      </w:r>
      <w:r>
        <w:t>CTI-BMI zeigte stärkste Assoziation (OR 3,46 in Quartil 4, p&lt;0,001), aber nur modest Diskriminationsfähigkeit (AUC 0,638). Effekt modifiziert durch Geschlecht und Raucherstatus, keine signifikante Interaktion zwischen CTI und BMI.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Multimorbidität-Fokus und Methodologie relevant für deutsches Versorgungssetting mit mehreren Erkrankungen.</w:t>
      </w:r>
    </w:p>
    <w:p>
      <w:r>
        <w:rPr>
          <w:color w:val="5A7D3A"/>
          <w:sz w:val="18"/>
        </w:rPr>
        <w:t>https://pubmed.ncbi.nlm.nih.gov/42665793/</w:t>
      </w:r>
    </w:p>
    <w:p>
      <w:pPr>
        <w:pStyle w:val="Heading2"/>
      </w:pPr>
      <w:r>
        <w:t>CKD-assoziierter Pruritus bei 60,3% der Dialysepatienten, wenig Behandlung</w:t>
      </w:r>
    </w:p>
    <w:p>
      <w:r>
        <w:rPr>
          <w:i/>
          <w:color w:val="666666"/>
          <w:sz w:val="18"/>
        </w:rPr>
        <w:t>Yao X et al.  ·  Ren Fail  ·  27.08.2026  ·  PMID 42661327</w:t>
      </w:r>
    </w:p>
    <w:p>
      <w:r>
        <w:t>Multizentrisches Cross-sectional-Screening an 9.589 chinesischen Dialysepatienten (Mai–Dezember 2022) zur Prävalenz und Risikofaktoren von CKD-Pruritus.</w:t>
      </w:r>
    </w:p>
    <w:p>
      <w:r>
        <w:rPr>
          <w:b/>
        </w:rPr>
        <w:t xml:space="preserve">Ergebnis: </w:t>
      </w:r>
      <w:r>
        <w:t>Pruritus-Prävalenz 60,3% (mild 44,4%, moderat 12,5%, schwer 3,3%), HD vs. PD ähnlich (59,9% vs. 61,8%). Nur 2,9% erhielten potenziell wirksame Therapie (Gabapentinoide 2,8%). Assoziierte Faktoren: Rauchen, diabetische Nephropathie, kardiovaskuläre Erkrankung, Dialysedauer, Eosinophile, Kalzium, Phosphor.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großes Problem auch in Deutschland; Versorgungsqualität und Symptommanagement messbar.</w:t>
      </w:r>
    </w:p>
    <w:p>
      <w:r>
        <w:rPr>
          <w:color w:val="5A7D3A"/>
          <w:sz w:val="18"/>
        </w:rPr>
        <w:t>https://pubmed.ncbi.nlm.nih.gov/42661327/</w:t>
      </w:r>
    </w:p>
    <w:p>
      <w:pPr>
        <w:pStyle w:val="Heading2"/>
      </w:pPr>
      <w:r>
        <w:t>Rauchen vor Alter 24 verdoppelt COPD-Risiko und Multimorbidität</w:t>
      </w:r>
    </w:p>
    <w:p>
      <w:r>
        <w:rPr>
          <w:i/>
          <w:color w:val="666666"/>
          <w:sz w:val="18"/>
        </w:rPr>
        <w:t>Liu Z et al.  ·  J Glob Health  ·  28.08.2026  ·  PMID 42659031</w:t>
      </w:r>
    </w:p>
    <w:p>
      <w:r>
        <w:t>Analyse von 15.077 US-Teilnehmern und zwei UK Biobank-Kohorten (n=258.380) zu Effekt des Rauchbeginns während Alveolus-Reifung (≤24 Jahre) auf Cardiopulmonal-Erkrankung.</w:t>
      </w:r>
    </w:p>
    <w:p>
      <w:r>
        <w:rPr>
          <w:b/>
        </w:rPr>
        <w:t xml:space="preserve">Ergebnis: </w:t>
      </w:r>
      <w:r>
        <w:t>Frühe Raucher mit hohem Konsum: COPD HR 3,45 (95% KI 3,29–3,62) vs. spät Raucher 2,33 (1,91–2,83, p&lt;0,001). Multimorbidität-freie Wahrscheinlichkeit 0,55 vs. 0,65. Rauchentwöhnung zeigte stärkere relative Risikoreduktion bei frühen Rauchern.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und UK, Präventions-fokussiert; Altersabhängigkeit relevant für deutsches Screening und Aufklärung.</w:t>
      </w:r>
    </w:p>
    <w:p>
      <w:r>
        <w:rPr>
          <w:color w:val="5A7D3A"/>
          <w:sz w:val="18"/>
        </w:rPr>
        <w:t>https://pubmed.ncbi.nlm.nih.gov/42659031/</w:t>
      </w:r>
    </w:p>
    <w:p>
      <w:pPr>
        <w:pStyle w:val="Heading2"/>
      </w:pPr>
      <w:r>
        <w:t>Neue Risikogene für Emphysem in Rauchern identifiziert</w:t>
      </w:r>
    </w:p>
    <w:p>
      <w:r>
        <w:rPr>
          <w:i/>
          <w:color w:val="666666"/>
          <w:sz w:val="18"/>
        </w:rPr>
        <w:t>Nyberg F et al.  ·  Respir Res  ·  08.08.2026  ·  PMID 42634071</w:t>
      </w:r>
    </w:p>
    <w:p>
      <w:r>
        <w:t>Genomweite Assoziationsstudie an 25.639 schwedischen Erwachsenen zur Identifikation genetischer Faktoren für Emphysem.</w:t>
      </w:r>
    </w:p>
    <w:p>
      <w:r>
        <w:rPr>
          <w:b/>
        </w:rPr>
        <w:t xml:space="preserve">Ergebnis: </w:t>
      </w:r>
      <w:r>
        <w:t>Bei Rauchern wurden drei unabhängige genetische Loci identifiziert (CHRNA5-A3-B4, DYSF, Chromosom 3), bei Nichtrauchern trotz großer Stichprobe keine Signale (niedriges Emphysemprävalenz 2,0% vs. 18,2% bei aktiven Rauchern).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populationsbasierte Studie, vergleichbar mit deutschem Versorgungskontext für Risikoidentifikation.</w:t>
      </w:r>
    </w:p>
    <w:p>
      <w:r>
        <w:rPr>
          <w:color w:val="5A7D3A"/>
          <w:sz w:val="18"/>
        </w:rPr>
        <w:t>https://pubmed.ncbi.nlm.nih.gov/42634071/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