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20.10.2026  |  6 Studien  |  ncd.m-vf.de</w:t>
      </w:r>
    </w:p>
    <w:p>
      <w:pPr>
        <w:pStyle w:val="Heading1"/>
      </w:pPr>
      <w:r>
        <w:t>Aufgenommen am 20.10.2026</w:t>
      </w:r>
    </w:p>
    <w:p>
      <w:pPr>
        <w:pStyle w:val="Heading2"/>
      </w:pPr>
      <w:r>
        <w:t>Atherogenic-Frailty-Index sagt kardio-metabole Mehrfacherkrankung voraus: kumulative Last und Trajektorien</w:t>
      </w:r>
    </w:p>
    <w:p>
      <w:r>
        <w:rPr>
          <w:i/>
          <w:color w:val="666666"/>
          <w:sz w:val="18"/>
        </w:rPr>
        <w:t>Wu H et al.  ·  J Glob Health  ·  19.10.2026  ·  PMID 42895260</w:t>
      </w:r>
    </w:p>
    <w:p>
      <w:r>
        <w:t>Prospektive nationale chinesische Kohortenstudie (CHARLS) an 4.157 Erwachsenen ≥45 Jahren ohne baseline-Mehrfacherkrankung zur Assoziation von kumulativer Exposition und Longitudinal-Trajektorien eines kombinierten atherogenic-frailty-Index (AIP-FI) mit neu auftretender kardio-metaboler Mehrfacherkrankung.</w:t>
      </w:r>
    </w:p>
    <w:p>
      <w:r>
        <w:rPr>
          <w:b/>
        </w:rPr>
        <w:t xml:space="preserve">Ergebnis: </w:t>
      </w:r>
      <w:r>
        <w:t>Über 8,5 Jahre Nachverfolgung traten 612 neue Mehrfacherkrankungs-Fälle auf. Höherer baseline und kumulativer AIP-FI waren signifikant mit erhöhtem Mehrfacherkrankungs-Risiko assoziiert; kumulativer Effekt war stärker (adjustierte HR pro SD: 1,46; 95%-KI 1,38–1,54). Höchstes Quartil vs. niedrigstes: HR 3,95 (95%-KI 2,95–5,29). Hoch-stabile AIP-FI-Gruppen zeigten höchstes Risiko. AIP-FI hatte überlegene Vorhersageleistung (AUC 71,17%) mit verbesserter Reklassifikation (NRI 0,157).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nationales Register, aber Mehrfacherkrankungs-Konzept und Biomarker-Ansatz europäisch relevant</w:t>
      </w:r>
    </w:p>
    <w:p>
      <w:r>
        <w:rPr>
          <w:color w:val="5A7D3A"/>
          <w:sz w:val="18"/>
        </w:rPr>
        <w:t>https://pubmed.ncbi.nlm.nih.gov/42895260/</w:t>
      </w:r>
    </w:p>
    <w:p>
      <w:pPr>
        <w:pStyle w:val="Heading2"/>
      </w:pPr>
      <w:r>
        <w:t>CKD als Kardio-Nieren-Stoffwechsel-Kontinuum: neue Phänotypen für Risikostratifikation</w:t>
      </w:r>
    </w:p>
    <w:p>
      <w:r>
        <w:rPr>
          <w:i/>
          <w:color w:val="666666"/>
          <w:sz w:val="18"/>
        </w:rPr>
        <w:t>Valtuille RA et al.  ·  Panminerva Med  ·  Sept. 2026  ·  PMID 42895046</w:t>
      </w:r>
    </w:p>
    <w:p>
      <w:r>
        <w:t>Narrative Übersichtsarbeit zu CKD als systemische Erkrankung mit mehreren Filtrationphänotypen, Entzündung und kardiovaskulärer Vulnerabilität; Integration von Nierenbiomarkern in Risikoprädiktion.</w:t>
      </w:r>
    </w:p>
    <w:p>
      <w:r>
        <w:rPr>
          <w:b/>
        </w:rPr>
        <w:t xml:space="preserve">Ergebnis: </w:t>
      </w:r>
      <w:r>
        <w:t>Neuartige Filtrationphänotypen (Kreatinin-Cystatin-C-basierte eGFR-Kategorien) verbessern klassisches Staging. Simulation an 5.000 virtuellen Patienten zeigt nicht-lineare, synergetische Effekte von eGFR, Albuminurie, Alter, Hypertonie, Diabetes und Lipidstörungen auf kardiovaskuläres Risiko. SGLT2-Inhibitoren, Finerenon und GLP-1-Agonisten bieten Multisystemvorteile.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Europäische Fachliteratur, kontinuum-basierter Ansatz übertragbar auf deutsches DMP-System</w:t>
      </w:r>
    </w:p>
    <w:p>
      <w:r>
        <w:rPr>
          <w:color w:val="5A7D3A"/>
          <w:sz w:val="18"/>
        </w:rPr>
        <w:t>https://pubmed.ncbi.nlm.nih.gov/42895046/</w:t>
      </w:r>
    </w:p>
    <w:p>
      <w:pPr>
        <w:pStyle w:val="Heading2"/>
      </w:pPr>
      <w:r>
        <w:t>Osteoporose bei COPD: Erkenntnislücke zwischen Wissen und klinischer Praxis</w:t>
      </w:r>
    </w:p>
    <w:p>
      <w:r>
        <w:rPr>
          <w:i/>
          <w:color w:val="666666"/>
          <w:sz w:val="18"/>
        </w:rPr>
        <w:t>Siraj RA et al.  ·  Int J Chron Obstruct Pulmon Dis  ·  14.10.2026  ·  PMID 42894800</w:t>
      </w:r>
    </w:p>
    <w:p>
      <w:r>
        <w:t>Nationale Cross-sectional-Befragung von 977 saudi-arabischen Fachleuten (Hausärzte, Pneumologen, Intensivmediziner) zu Wahrnehmung, Selbstsicherheit und Routinetätigkeit bei Osteoporoserisiko-Assessment bei COPD-Patienten.</w:t>
      </w:r>
    </w:p>
    <w:p>
      <w:r>
        <w:rPr>
          <w:b/>
        </w:rPr>
        <w:t xml:space="preserve">Ergebnis: </w:t>
      </w:r>
      <w:r>
        <w:t>61% berichteten routinemäßiges Osteoporose-Risiko-Screening, aber Umsetzung war inkonsistent; Hauptbarrieren waren Priorisierung respiratorischer Symptome (58,9%), fehlende Klinik-Protokolle (55,1%), begrenzte Konsultationszeit (51,1%) und limitierter Ressourcenzugang (51,1%). Pulmonologen (aOR 1,53), höhere Patientenzahl (10–30 monatlich; aOR 1,70), formale Ausbildung (aOR 1,45) und Selbsteinschätzung (aOR 1,71) waren unabhängig assoziiert mit routinemäßigem Assessment.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Saudi-Arabien, aber Barrieren-Struktur und Interventionsmöglichkeiten auf deutsches Mehrfacherkrankungs-Screening übertragbar</w:t>
      </w:r>
    </w:p>
    <w:p>
      <w:r>
        <w:rPr>
          <w:color w:val="5A7D3A"/>
          <w:sz w:val="18"/>
        </w:rPr>
        <w:t>https://pubmed.ncbi.nlm.nih.gov/42894800/</w:t>
      </w:r>
    </w:p>
    <w:p>
      <w:pPr>
        <w:pStyle w:val="Heading2"/>
      </w:pPr>
      <w:r>
        <w:t>Neutrophil-Lymphozyten-Ratio bei COPD: Assoziation mit beschleunigtem Lungenfunktionsverlust</w:t>
      </w:r>
    </w:p>
    <w:p>
      <w:r>
        <w:rPr>
          <w:i/>
          <w:color w:val="666666"/>
          <w:sz w:val="18"/>
        </w:rPr>
        <w:t>Xue H et al.  ·  Int J Chron Obstruct Pulmon Dis  ·  14.10.2026  ·  PMID 42894652</w:t>
      </w:r>
    </w:p>
    <w:p>
      <w:r>
        <w:t>Retrospektive Einzelzentrum-Kohortenstudie mit wiederholter Spirometrie zur Assoziation zwischen Ausgangswert des Neutrophil-Lymphozyten-Quotienten (NLR) und jährlicher FEV1-Veränderung bei klinisch stabiler COPD.</w:t>
      </w:r>
    </w:p>
    <w:p>
      <w:r>
        <w:rPr>
          <w:b/>
        </w:rPr>
        <w:t xml:space="preserve">Ergebnis: </w:t>
      </w:r>
      <w:r>
        <w:t>Bei 640 Patienten (2.525 Beobachtungen, Median 22 Monate) war höherer baseline-NLR (pro Verdopplung) nach Schweregrad-Anpassung mit zusätzlichem FEV1-Rückgang von 8,26 mL/Jahr verbunden (95%-KI 2,29–14,23; p=0,0068). Assoziation war modellabhängig und etablierte weder Kausalität noch individuellen Vorhersagewert.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 (Einzelzentrum), retrograd strukturiert; Entzündungsmarker-Ansatz auf deutsches COPD-Monitoring übertragbar</w:t>
      </w:r>
    </w:p>
    <w:p>
      <w:r>
        <w:rPr>
          <w:color w:val="5A7D3A"/>
          <w:sz w:val="18"/>
        </w:rPr>
        <w:t>https://pubmed.ncbi.nlm.nih.gov/42894652/</w:t>
      </w:r>
    </w:p>
    <w:p>
      <w:pPr>
        <w:pStyle w:val="Heading2"/>
      </w:pPr>
      <w:r>
        <w:t>Asthma-COPD-Überlappung: erhöhte Exazerbationsrate bei Mehrfacherkrankung</w:t>
      </w:r>
    </w:p>
    <w:p>
      <w:r>
        <w:rPr>
          <w:i/>
          <w:color w:val="666666"/>
          <w:sz w:val="18"/>
        </w:rPr>
        <w:t>Athlin Å et al.  ·  Scand J Prim Health Care  ·  18.10.2026  ·  PMID 42894311</w:t>
      </w:r>
    </w:p>
    <w:p>
      <w:r>
        <w:t>Schwedische Kohortenstudie mit Patienten aus Primär- und Sekundärversorgung zur Häufigkeit und Auswirkung von Asthma-COPD-Überlappung auf Exazerbationen, Symptombelastung und Mortalität.</w:t>
      </w:r>
    </w:p>
    <w:p>
      <w:r>
        <w:rPr>
          <w:b/>
        </w:rPr>
        <w:t xml:space="preserve">Ergebnis: </w:t>
      </w:r>
      <w:r>
        <w:t>22% (2005) bzw. 9% (2014) der COPD-Patienten hatten komorbides Asthma; diese zeigten erhöhtes Exazerbationsrisiko (OR 1,58–2,20, p≤0,02), ohne signifikante Unterschiede in der Symptombelastung. Mortalität war nur in der 2014-Kohorte niedriger (HR 0,67, p=0,02). Reduktion der Asthma-COPD-Überlappung deutet auf verbesserte Diagnostik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ambulante/stationäre Struktur vergleichbar mit Deutschland, 17 Jahre Verlauf</w:t>
      </w:r>
    </w:p>
    <w:p>
      <w:r>
        <w:rPr>
          <w:color w:val="5A7D3A"/>
          <w:sz w:val="18"/>
        </w:rPr>
        <w:t>https://pubmed.ncbi.nlm.nih.gov/42894311/</w:t>
      </w:r>
    </w:p>
    <w:p>
      <w:pPr>
        <w:pStyle w:val="Heading2"/>
      </w:pPr>
      <w:r>
        <w:t>CRP-Triglyzerid-Glukose-Index sagt kardio-metabole Mehrfacherkrankung postmenopausaler Frauen voraus</w:t>
      </w:r>
    </w:p>
    <w:p>
      <w:r>
        <w:rPr>
          <w:i/>
          <w:color w:val="666666"/>
          <w:sz w:val="18"/>
        </w:rPr>
        <w:t>Wang L et al.  ·  BMC Cardiovasc Disord  ·  22.07.2026  ·  PMID 42894124</w:t>
      </w:r>
    </w:p>
    <w:p>
      <w:r>
        <w:t>Prospektive nationale chinesische Kohortenstudie an 2.972 postmenopausalen Frauen (≥45 Jahre) ohne baseline-Mehrfacherkrankung (Median-Nachverfolgung 103,5 Monate) zur Assoziation eines kombinierten Entzündungs-Stoffwechsel-Index (CTI) mit neu auftretender kardio-metaboler Mehrfacherkrankung.</w:t>
      </w:r>
    </w:p>
    <w:p>
      <w:r>
        <w:rPr>
          <w:b/>
        </w:rPr>
        <w:t xml:space="preserve">Ergebnis: </w:t>
      </w:r>
      <w:r>
        <w:t>395 Teilnehmer (13,3%) entwickelten neue Mehrfacherkrankung. Jede 1-Punkt-CTI-Erhöhung: Risiko +95% (HR 1,95; 95%-KI 1,66–2,30). Höchstes vs. niedrigstes Quartil: HR 3,91 (95%-KI 2,62–5,82, p-Trend &lt;0,001). CTI-AUC 0,649 überlegen gegenüber TyG (0,616), CRP (0,612) und TG (0,582). Nomogramm (6 LASSO-Variablen) zeigte akzeptable Diskrimination (AUC Training 0,742, Validierung 0,703).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nationales Langzeit-Panel, Entzündungs-Metabolit-Profil für deutsches Präventivscreening adaptierbar</w:t>
      </w:r>
    </w:p>
    <w:p>
      <w:r>
        <w:rPr>
          <w:color w:val="5A7D3A"/>
          <w:sz w:val="18"/>
        </w:rPr>
        <w:t>https://pubmed.ncbi.nlm.nih.gov/42894124/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2026-10-20T06:00:00Z</dcterms:created>
  <dcterms:modified xsi:type="dcterms:W3CDTF">2026-10-20T06:00:00Z</dcterms:modified>
  <cp:category/>
</cp:coreProperties>
</file>