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NCD und chronische Krankheiten</w:t>
      </w:r>
    </w:p>
    <w:p>
      <w:r>
        <w:rPr>
          <w:i/>
          <w:color w:val="666666"/>
          <w:sz w:val="18"/>
        </w:rPr>
        <w:t>Stand: 16.10.2026  |  328 Studien  |  ncd.m-vf.de</w:t>
      </w:r>
    </w:p>
    <w:p>
      <w:pPr>
        <w:pStyle w:val="Heading1"/>
      </w:pPr>
      <w:r>
        <w:t>Aufgenommen am 16.10.2026</w:t>
      </w:r>
    </w:p>
    <w:p>
      <w:pPr>
        <w:pStyle w:val="Heading2"/>
      </w:pPr>
      <w:r>
        <w:t>α1-Antitrypsin-Mangel unterdiagnostiziert: Testung bei nur 5,8 % der COPD-Patienten</w:t>
      </w:r>
    </w:p>
    <w:p>
      <w:r>
        <w:rPr>
          <w:i/>
          <w:color w:val="666666"/>
          <w:sz w:val="18"/>
        </w:rPr>
        <w:t>Baldomero AK et al.  ·  JAMA Netw Open  ·  01.10.2026  ·  PMID 42879152</w:t>
      </w:r>
    </w:p>
    <w:p>
      <w:r>
        <w:t>Retrospektive multizentrische Kohortenstudie mit 2.384.913 Personen mit COPD/Asthma aus US-Veteranensystem 2020–2024 zur Testungsrate und Therapie des α1-Antitrypsin-Mangels und deren Ungleichverteilung.</w:t>
      </w:r>
    </w:p>
    <w:p>
      <w:r>
        <w:rPr>
          <w:b/>
        </w:rPr>
        <w:t xml:space="preserve">Ergebnis: </w:t>
      </w:r>
      <w:r>
        <w:t>Von 2.384.913 Patienten wurden 138.278 (5,8 %) getestet; von 8.564 Diagnosefällen erhielten nur 320 (3,7 %) Augmentationstherapie. Assoziationen: höhere Testung mit Zirrhose (aOR 6,40; 95%-KI: 6,29–6,51) und Bronchiektasen (aOR 3,73; 95%-KI: 3,59–3,87). Niedrigere Testung: höheres Alter, aktiver Tabakkonsum, längere Anfahrtszeiten (&gt;90 vs. ≤30 min: aOR 0,63). Disparitäten nach Ethnizität und sozioökonomischem Status.</w:t>
      </w:r>
    </w:p>
    <w:p>
      <w:r>
        <w:rPr>
          <w:b/>
          <w:sz w:val="19"/>
        </w:rPr>
        <w:t xml:space="preserve">Übertragbarkeit: </w:t>
      </w:r>
      <w:r>
        <w:rPr>
          <w:sz w:val="19"/>
        </w:rPr>
        <w:t>USA – Befund der Unterdiagnose und Ungleichverteilung ist grundsätzlich übertragbar; System unterscheidet sich erheblich.</w:t>
      </w:r>
    </w:p>
    <w:p>
      <w:r>
        <w:rPr>
          <w:color w:val="5A7D3A"/>
          <w:sz w:val="18"/>
        </w:rPr>
        <w:t>https://pubmed.ncbi.nlm.nih.gov/42879152/</w:t>
      </w:r>
    </w:p>
    <w:p>
      <w:pPr>
        <w:pStyle w:val="Heading2"/>
      </w:pPr>
      <w:r>
        <w:t>Glukoseverwertung sagt Mehrfacherkrankung besser voraus als andere Marker</w:t>
      </w:r>
    </w:p>
    <w:p>
      <w:r>
        <w:rPr>
          <w:i/>
          <w:color w:val="666666"/>
          <w:sz w:val="18"/>
        </w:rPr>
        <w:t>Wang Z et al.  ·  Front Endocrinol (Lausanne)  ·  30.09.2026  ·  PMID 42877036</w:t>
      </w:r>
    </w:p>
    <w:p>
      <w:r>
        <w:t>Longitudinale Kohortenstudie mit 6.407 chinesischen Teilnehmern (45–79 Jahre) aus CHARLS 2011–2020 zur Vorhersage von kardiometabolischer Mehrfacherkrankung (mind. 2 von: Diabetes, Herzerkrankung, Schlaganfall) mittels eGDR, TyG und AIP.</w:t>
      </w:r>
    </w:p>
    <w:p>
      <w:r>
        <w:rPr>
          <w:b/>
        </w:rPr>
        <w:t xml:space="preserve">Ergebnis: </w:t>
      </w:r>
      <w:r>
        <w:t>593 Fälle von Mehrfacherkrankung. eGDR: HR 1,92 (95%-KI: 1,77–2,09) pro SD ungünstiger Richtung; TyG: HR 1,69 (95%-KI: 1,57–1,82); AIP: HR 1,51 (95%-KI: 1,39–1,64). eGDR zeigte größten Einzelmarker-Gewinn (ΔC-Index 0,041), TyG komplementär; AIP marginal. Interne Validierung bestätigt.</w:t>
      </w:r>
    </w:p>
    <w:p>
      <w:r>
        <w:rPr>
          <w:b/>
          <w:sz w:val="19"/>
        </w:rPr>
        <w:t xml:space="preserve">Übertragbarkeit: </w:t>
      </w:r>
      <w:r>
        <w:rPr>
          <w:sz w:val="19"/>
        </w:rPr>
        <w:t>China, repräsentative Kohortenstudie; Risikoscores unabhängig vom Gesundheitssystem übertragbar.</w:t>
      </w:r>
    </w:p>
    <w:p>
      <w:r>
        <w:rPr>
          <w:color w:val="5A7D3A"/>
          <w:sz w:val="18"/>
        </w:rPr>
        <w:t>https://pubmed.ncbi.nlm.nih.gov/42877036/</w:t>
      </w:r>
    </w:p>
    <w:p>
      <w:pPr>
        <w:pStyle w:val="Heading2"/>
      </w:pPr>
      <w:r>
        <w:t>PaCO₂-Schwellwert sagt Scheitern der NIV bei COPD-Exazerbation voraus</w:t>
      </w:r>
    </w:p>
    <w:p>
      <w:r>
        <w:rPr>
          <w:i/>
          <w:color w:val="666666"/>
          <w:sz w:val="18"/>
        </w:rPr>
        <w:t>Song F et al.  ·  Int J Chron Obstruct Pulmon Dis  ·  09.10.2026  ·  PMID 42876922</w:t>
      </w:r>
    </w:p>
    <w:p>
      <w:r>
        <w:t>Zweizentrische retrospektive Kohortenstudie mit 676 Patienten mit akuter COPD-Exazerbation und Typ-II-Ateminsuffizienz, behandelt mit nicht-invasiver Beatmung (NIV), zur Vorhersage von NIV-Versagen.</w:t>
      </w:r>
    </w:p>
    <w:p>
      <w:r>
        <w:rPr>
          <w:b/>
        </w:rPr>
        <w:t xml:space="preserve">Ergebnis: </w:t>
      </w:r>
      <w:r>
        <w:t>NIV-Versagen in 10,8 % (73 Patienten). Nach vollständiger Anpassung: jede Steigerung von PaCO₂ um 1 mmHg mit 3 % höherer Versagenswahrscheinlichkeit (OR 1,03; 95%-KI: 1,01–1,06). Schwellwert bei 60,2 mmHg identifiziert Hochrisikopatienten; AUC 0,805 des multivariaten Modells.</w:t>
      </w:r>
    </w:p>
    <w:p>
      <w:r>
        <w:rPr>
          <w:b/>
          <w:sz w:val="19"/>
        </w:rPr>
        <w:t xml:space="preserve">Übertragbarkeit: </w:t>
      </w:r>
      <w:r>
        <w:rPr>
          <w:sz w:val="19"/>
        </w:rPr>
        <w:t>China, klinische Routine; verfügbarer Bedside-Parameter, unabhängig von Gesundheitssystem.</w:t>
      </w:r>
    </w:p>
    <w:p>
      <w:r>
        <w:rPr>
          <w:color w:val="5A7D3A"/>
          <w:sz w:val="18"/>
        </w:rPr>
        <w:t>https://pubmed.ncbi.nlm.nih.gov/42876922/</w:t>
      </w:r>
    </w:p>
    <w:p>
      <w:pPr>
        <w:pStyle w:val="Heading2"/>
      </w:pPr>
      <w:r>
        <w:t>Koordinierte Pflege verbessert Versorgung von älteren Menschen mit Mehrfacherkrankungen</w:t>
      </w:r>
    </w:p>
    <w:p>
      <w:r>
        <w:rPr>
          <w:i/>
          <w:color w:val="666666"/>
          <w:sz w:val="18"/>
        </w:rPr>
        <w:t>Lagerin A et al.  ·  BMC Prim Care  ·  09.10.2026  ·  PMID 42875741</w:t>
      </w:r>
    </w:p>
    <w:p>
      <w:r>
        <w:t>Qualitative Studie mit 15 Bezirkspflegerinnen an fünf schwedischen Hausarztpraxen zur Versorgung älterer Menschen mit komplexer Mehrfacherkrankung und psychischen Problemen.</w:t>
      </w:r>
    </w:p>
    <w:p>
      <w:r>
        <w:rPr>
          <w:b/>
        </w:rPr>
        <w:t xml:space="preserve">Ergebnis: </w:t>
      </w:r>
      <w:r>
        <w:t>Fachkräfte fühlen sich fachlich kompetent und bereit, Verantwortung für Patienten mit Mehrfacherkrankungen zu übernehmen – wenn Zeit, Unterstützung und Struktur vorhanden sind. Zentrale Erkenntnisse: Bedarf nach verbindlich definierten Rollen, Grenzen für Koordinierungsaufgaben und struktureller Entlastung bei Kooperationslücken.</w:t>
      </w:r>
    </w:p>
    <w:p>
      <w:r>
        <w:rPr>
          <w:b/>
          <w:sz w:val="19"/>
        </w:rPr>
        <w:t xml:space="preserve">Übertragbarkeit: </w:t>
      </w:r>
      <w:r>
        <w:rPr>
          <w:sz w:val="19"/>
        </w:rPr>
        <w:t>Schweden, Hausarztpraxen; ähnliche Primärversorgungsstruktur wie Deutschland-Ansätze ohne verbindliche Steuerung.</w:t>
      </w:r>
    </w:p>
    <w:p>
      <w:r>
        <w:rPr>
          <w:color w:val="5A7D3A"/>
          <w:sz w:val="18"/>
        </w:rPr>
        <w:t>https://pubmed.ncbi.nlm.nih.gov/42875741/</w:t>
      </w:r>
    </w:p>
    <w:p>
      <w:pPr>
        <w:pStyle w:val="Heading2"/>
      </w:pPr>
      <w:r>
        <w:t>Post-COVID-Symptome bei Migranten: ethnische Unterschiede in Amsterdam</w:t>
      </w:r>
    </w:p>
    <w:p>
      <w:r>
        <w:rPr>
          <w:i/>
          <w:color w:val="666666"/>
          <w:sz w:val="18"/>
        </w:rPr>
        <w:t>Spronk M et al.  ·  Epidemiol Infect  ·  14.10.2026  ·  PMID 42870569</w:t>
      </w:r>
    </w:p>
    <w:p>
      <w:r>
        <w:t>Retrospektive Kohortenstudie mit 932 COVID-19-Erkrankten in Amsterdam zur Prävalenz von post-COVID-Symptomen (≥3 Monate) stratifiziert nach sechs ethnischen Gruppen.</w:t>
      </w:r>
    </w:p>
    <w:p>
      <w:r>
        <w:rPr>
          <w:b/>
        </w:rPr>
        <w:t xml:space="preserve">Ergebnis: </w:t>
      </w:r>
      <w:r>
        <w:t>31 % (95%-KI: 27–37 %) entwickelten post-COVID-Symptome. Nach 3 Monaten: 17 % bei niederländischer Herkunft vs. 41 % (95%-KI: 34–48 %) bei südostasiatisch-surinamischer Herkunft, beide p &lt; 0,001. Risikofaktoren: südostasiatisch-surinamische, türkische oder marokkanische Herkunft, höheres Alter, weiblich, niedrigere Bildung, Adipositas.</w:t>
      </w:r>
    </w:p>
    <w:p>
      <w:r>
        <w:rPr>
          <w:b/>
          <w:sz w:val="19"/>
        </w:rPr>
        <w:t xml:space="preserve">Übertragbarkeit: </w:t>
      </w:r>
      <w:r>
        <w:rPr>
          <w:sz w:val="19"/>
        </w:rPr>
        <w:t>Niederlande, vergleichbares Sozialsicherungssystem und Versorgungskontext.</w:t>
      </w:r>
    </w:p>
    <w:p>
      <w:r>
        <w:rPr>
          <w:color w:val="5A7D3A"/>
          <w:sz w:val="18"/>
        </w:rPr>
        <w:t>https://pubmed.ncbi.nlm.nih.gov/42870569/</w:t>
      </w:r>
    </w:p>
    <w:p>
      <w:pPr>
        <w:pStyle w:val="Heading2"/>
      </w:pPr>
      <w:r>
        <w:t>AA-Amyloidose bei autoinflammatorischen Erkrankungen: verzögerte Diagnose und hohe Krankheitslast</w:t>
      </w:r>
    </w:p>
    <w:p>
      <w:r>
        <w:rPr>
          <w:i/>
          <w:color w:val="666666"/>
          <w:sz w:val="18"/>
        </w:rPr>
        <w:t>El Moussaoui M et al.  ·  J Intern Med  ·  07.09.2026  ·  PMID 42706496</w:t>
      </w:r>
    </w:p>
    <w:p>
      <w:r>
        <w:t>Retrospektive Studie am französischen Referenzzentrum mit 181 Patienten mit sekundärer AA-Amyloidose; 50 davon (28 %) mit familiärem Mittelmeerfieber, CAPS, MKD oder TRAPS.</w:t>
      </w:r>
    </w:p>
    <w:p>
      <w:r>
        <w:rPr>
          <w:b/>
        </w:rPr>
        <w:t xml:space="preserve">Ergebnis: </w:t>
      </w:r>
      <w:r>
        <w:t>AA-Amyloidose ging der Diagnose der Grunderkrankung in 40 % der Fälle voraus (besonders bei Non-FMF). 46 % benötigten Nierentransplantation, Mortalität 26 % während Nachverfolgung. Erkrankungslast bleibt hoch trotz bekannter Erkrankung – weist auf verzögerte Diagnose hin.</w:t>
      </w:r>
    </w:p>
    <w:p>
      <w:r>
        <w:rPr>
          <w:b/>
          <w:sz w:val="19"/>
        </w:rPr>
        <w:t xml:space="preserve">Übertragbarkeit: </w:t>
      </w:r>
      <w:r>
        <w:rPr>
          <w:sz w:val="19"/>
        </w:rPr>
        <w:t>Frankreich, europäisches Referenzzentrum; übertragbar auf strukturierte Früherkennung in Deutschland.</w:t>
      </w:r>
    </w:p>
    <w:p>
      <w:r>
        <w:rPr>
          <w:color w:val="5A7D3A"/>
          <w:sz w:val="18"/>
        </w:rPr>
        <w:t>https://pubmed.ncbi.nlm.nih.gov/42706496/</w:t>
      </w:r>
    </w:p>
    <w:p>
      <w:pPr>
        <w:pStyle w:val="Heading1"/>
      </w:pPr>
      <w:r>
        <w:t>Aufgenommen am 15.10.2026</w:t>
      </w:r>
    </w:p>
    <w:p>
      <w:pPr>
        <w:pStyle w:val="Heading2"/>
      </w:pPr>
      <w:r>
        <w:t>COPD-Leitlinie: Gestaffelte Therapie senkt Exazerbationen in der Praxis</w:t>
      </w:r>
    </w:p>
    <w:p>
      <w:r>
        <w:rPr>
          <w:i/>
          <w:color w:val="666666"/>
          <w:sz w:val="18"/>
        </w:rPr>
        <w:t>D'Urzo AD et al.  ·  Can Fam Physician  ·  Okt. 2026  ·  PMID 42875068</w:t>
      </w:r>
    </w:p>
    <w:p>
      <w:r>
        <w:t>Umsetzungsleitlinie für Hausärzte zur 2023-Empfehlung der Canadian Thoracic Society beschreibt, wie Bronchodilator-Monotherapie bei leichter, Dualtherapie bei moderater und Tripeltherapie bei schwerer stabiler COPD die Symptome reduziert und Exazerbationen verhindert.</w:t>
      </w:r>
    </w:p>
    <w:p>
      <w:r>
        <w:rPr>
          <w:b/>
        </w:rPr>
        <w:t xml:space="preserve">Ergebnis: </w:t>
      </w:r>
      <w:r>
        <w:t>Stratifizierte Pharmakotherapie nach Symptombelastung und Exazerbationsrisiko: Single long-acting bronchodilator für milde, dual long-acting bronchodilator für moderate und single-inhaler triple therapy für schwere COPD mit hochem Exazerbationsrisiko reduziert Mortalität. Richtlinie betont Therapietreue als Erfolgsfaktor für Überlebensvorteil.</w:t>
      </w:r>
    </w:p>
    <w:p>
      <w:r>
        <w:rPr>
          <w:b/>
          <w:sz w:val="19"/>
        </w:rPr>
        <w:t xml:space="preserve">Übertragbarkeit: </w:t>
      </w:r>
      <w:r>
        <w:rPr>
          <w:sz w:val="19"/>
        </w:rPr>
        <w:t>Kanada, vergleichbare Primärversorgungsstruktur; direkt auf deutsche Disease-Management-Programme übertragbar</w:t>
      </w:r>
    </w:p>
    <w:p>
      <w:r>
        <w:rPr>
          <w:color w:val="5A7D3A"/>
          <w:sz w:val="18"/>
        </w:rPr>
        <w:t>https://pubmed.ncbi.nlm.nih.gov/42875068/</w:t>
      </w:r>
    </w:p>
    <w:p>
      <w:pPr>
        <w:pStyle w:val="Heading2"/>
      </w:pPr>
      <w:r>
        <w:t>Integriertes Care-Modell senkt Notaufnahmen bei High-Risk-COPD um 78 %</w:t>
      </w:r>
    </w:p>
    <w:p>
      <w:r>
        <w:rPr>
          <w:i/>
          <w:color w:val="666666"/>
          <w:sz w:val="18"/>
        </w:rPr>
        <w:t>Organista D et al.  ·  Acta Med Port  ·  01.10.2026  ·  PMID 42874036</w:t>
      </w:r>
    </w:p>
    <w:p>
      <w:r>
        <w:t>Portugiesische Vorher-nachher-Studie an 53 Hochrisiko-COPD-Patienten (LACE-Index &gt;9) evaluierte ein frühes, multidisziplinäres Versorgungsmodell mit ärztlicher, pflegerischer und sozialer Betreuung sowie hybrider Überwachung (vor Ort und remote).</w:t>
      </w:r>
    </w:p>
    <w:p>
      <w:r>
        <w:rPr>
          <w:b/>
        </w:rPr>
        <w:t xml:space="preserve">Ergebnis: </w:t>
      </w:r>
      <w:r>
        <w:t>Nach einem Jahr sanken mittlere Notaufnahmen von 3,09 auf 0,67 Besuche (−78 %, p&lt;0,001) und Hospitalisierungen von 1,39 auf 0,33 (−76 %, p&lt;0,001). Remote-Monitoring ermöglichte frühe klinische Interventionen; nur zwei Patienten mussten bei schwerem respiratorischen Versagen aufgenommen werden. Soziale Intervention half den meisten, häusliche Unterstützung zu halten.</w:t>
      </w:r>
    </w:p>
    <w:p>
      <w:r>
        <w:rPr>
          <w:b/>
          <w:sz w:val="19"/>
        </w:rPr>
        <w:t xml:space="preserve">Übertragbarkeit: </w:t>
      </w:r>
      <w:r>
        <w:rPr>
          <w:sz w:val="19"/>
        </w:rPr>
        <w:t>Portugal, ähnliche Sozialversicherungsstruktur; Koordination und Überwachungsmodelle auf deutsche integrierte Versorgung übertragbar</w:t>
      </w:r>
    </w:p>
    <w:p>
      <w:r>
        <w:rPr>
          <w:color w:val="5A7D3A"/>
          <w:sz w:val="18"/>
        </w:rPr>
        <w:t>https://pubmed.ncbi.nlm.nih.gov/42874036/</w:t>
      </w:r>
    </w:p>
    <w:p>
      <w:pPr>
        <w:pStyle w:val="Heading2"/>
      </w:pPr>
      <w:r>
        <w:t>Schwangerschaftskomplikationen erhöhen Risiko für Herz-Nieren-Erkrankungen</w:t>
      </w:r>
    </w:p>
    <w:p>
      <w:r>
        <w:rPr>
          <w:i/>
          <w:color w:val="666666"/>
          <w:sz w:val="18"/>
        </w:rPr>
        <w:t>Wambua S et al.  ·  BMJ Med  ·  06.10.2026  ·  PMID 42872422</w:t>
      </w:r>
    </w:p>
    <w:p>
      <w:r>
        <w:t>Longitudinale Kohortenstudie an 1,4 Millionen englischen Frauen untersuchte, wie Schwangerschaftskomplikationen das Risiko für kardiovaskuläre Erkrankungen, Typ-2-Diabetes, Hypertonie und chronische Nierenkrankheit in den Jahren nach der Schwangerschaft beeinflussen.</w:t>
      </w:r>
    </w:p>
    <w:p>
      <w:r>
        <w:rPr>
          <w:b/>
        </w:rPr>
        <w:t xml:space="preserve">Ergebnis: </w:t>
      </w:r>
      <w:r>
        <w:t>Gestationsdiabetes erhöhte das Typ-2-Diabetes-Risiko siebenfach (HR 7,0); Präeklampsie verdreifachte das Hypertonierisiko (HR 3,05) und verdoppelte das Nierenkrankheitsrisiko (HR 2,0). Postpartale Depression erhöhte alle vier Endpunkte um 35–56 % (HR 1,35–1,56). Diese Befunde unterstützen präventive Interventionen in der postpartalen Phase bei Frauen mit Schwangerschaftskomplikationen.</w:t>
      </w:r>
    </w:p>
    <w:p>
      <w:r>
        <w:rPr>
          <w:b/>
          <w:sz w:val="19"/>
        </w:rPr>
        <w:t xml:space="preserve">Übertragbarkeit: </w:t>
      </w:r>
      <w:r>
        <w:rPr>
          <w:sz w:val="19"/>
        </w:rPr>
        <w:t>England, vergleichbares Gesundheitssystem; Daten aus Primärversorgungsdatenbank</w:t>
      </w:r>
    </w:p>
    <w:p>
      <w:r>
        <w:rPr>
          <w:color w:val="5A7D3A"/>
          <w:sz w:val="18"/>
        </w:rPr>
        <w:t>https://pubmed.ncbi.nlm.nih.gov/42872422/</w:t>
      </w:r>
    </w:p>
    <w:p>
      <w:pPr>
        <w:pStyle w:val="Heading2"/>
      </w:pPr>
      <w:r>
        <w:t>Chronische Urtikaria erleichtert Früherkennung, aber nicht Kontrolle von Herz-Kreislauf-Erkrankungen</w:t>
      </w:r>
    </w:p>
    <w:p>
      <w:r>
        <w:rPr>
          <w:i/>
          <w:color w:val="666666"/>
          <w:sz w:val="18"/>
        </w:rPr>
        <w:t>Yang ZH et al.  ·  Biomed Environ Sci  ·  20.09.2026  ·  PMID 42870596</w:t>
      </w:r>
    </w:p>
    <w:p>
      <w:r>
        <w:t>Chinesische nationale Querschnittsstudie an 118.036 Erwachsenen mit Herz-Kreislauf-Erkrankungen untersuchte Prävalenz, Risikofaktoren und Auswirkungen chronischer Urtikaria auf Bewusstsein, Behandlung und Kontrolle von Hypertonie, Diabetes und Dyslipidämie.</w:t>
      </w:r>
    </w:p>
    <w:p>
      <w:r>
        <w:rPr>
          <w:b/>
        </w:rPr>
        <w:t xml:space="preserve">Ergebnis: </w:t>
      </w:r>
      <w:r>
        <w:t>Urtikaria-Prävalenz: 2,90 %, höher bei Frauen (3,41 % vs. 2,56 %) und Landbevölkerung. Risikofaktoren: aktuelles Rauchen (OR 1,17), Schlafmangel &lt;5h (OR 1,79) und &gt;10h (OR 1,39). Patienten mit Urtikaria zeigten höhere CMD-Bewusstseinraten (Hypertonie 50,7 % vs. 40,3 %) und Behandlungsquoten (Hypertonie 41,4 % vs. 34,2 %), aber vergleichbare Kontrollraten. Urtikaria wirkt als Marker, verbessert aber nicht die Krankheitskontrolle.</w:t>
      </w:r>
    </w:p>
    <w:p>
      <w:r>
        <w:rPr>
          <w:b/>
          <w:sz w:val="19"/>
        </w:rPr>
        <w:t xml:space="preserve">Übertragbarkeit: </w:t>
      </w:r>
      <w:r>
        <w:rPr>
          <w:sz w:val="19"/>
        </w:rPr>
        <w:t>China; Mehrfacherkrankung-Befunde aber unabhängig von Gesundheitssystem relevant</w:t>
      </w:r>
    </w:p>
    <w:p>
      <w:r>
        <w:rPr>
          <w:color w:val="5A7D3A"/>
          <w:sz w:val="18"/>
        </w:rPr>
        <w:t>https://pubmed.ncbi.nlm.nih.gov/42870596/</w:t>
      </w:r>
    </w:p>
    <w:p>
      <w:pPr>
        <w:pStyle w:val="Heading2"/>
      </w:pPr>
      <w:r>
        <w:t>Maresin-1-Profil markiert pädiatrische Nierenschädigung stadienabhängig</w:t>
      </w:r>
    </w:p>
    <w:p>
      <w:r>
        <w:rPr>
          <w:i/>
          <w:color w:val="666666"/>
          <w:sz w:val="18"/>
        </w:rPr>
        <w:t>Guler MA et al.  ·  BMC Nephrol  ·  28.09.2026  ·  PMID 42870244</w:t>
      </w:r>
    </w:p>
    <w:p>
      <w:r>
        <w:t>Türkische Querschnittsstudie an gesunden Kindern und Patienten mit CKD-Stadien 1–5 gemessen Serum-Maresin-1 (MaR1), ein pro-resolutives Lipidmediator-Biomarker, um dessen Rolle bei entzündlich-degenerativen Nierenprozessen zu charakterisieren.</w:t>
      </w:r>
    </w:p>
    <w:p>
      <w:r>
        <w:rPr>
          <w:b/>
        </w:rPr>
        <w:t xml:space="preserve">Ergebnis: </w:t>
      </w:r>
      <w:r>
        <w:t>Serum-MaR1-Konzentrationen zeigten stadienabhängiges Muster: Kontrollen 110,2 pg/mL, Stadium 1 CKD 20,0 pg/mL (deutlicher Abfall), dann progressive Erhöhung Stadium 2 (39,6), 3 (60,7), 4 (203,9), Stadium 5 (284,6 pg/mL). Markante Suppression in frühem Stadium gefolgt von progressiver Elevation in fortgeschrittenen Stadien deutet auf Biomarker-Potenzial hin, erfordert aber Validierung in Längsschnittstudien.</w:t>
      </w:r>
    </w:p>
    <w:p>
      <w:r>
        <w:rPr>
          <w:b/>
          <w:sz w:val="19"/>
        </w:rPr>
        <w:t xml:space="preserve">Übertragbarkeit: </w:t>
      </w:r>
      <w:r>
        <w:rPr>
          <w:sz w:val="19"/>
        </w:rPr>
        <w:t>Türkei; diagnostischer Biomarker-Ansatz prinzipiell systemunabhängig</w:t>
      </w:r>
    </w:p>
    <w:p>
      <w:r>
        <w:rPr>
          <w:color w:val="5A7D3A"/>
          <w:sz w:val="18"/>
        </w:rPr>
        <w:t>https://pubmed.ncbi.nlm.nih.gov/42870244/</w:t>
      </w:r>
    </w:p>
    <w:p>
      <w:pPr>
        <w:pStyle w:val="Heading2"/>
      </w:pPr>
      <w:r>
        <w:t>Frühe Nierenkoordinator-Überweisung verhindert ungeplante Dialyseeinleitung</w:t>
      </w:r>
    </w:p>
    <w:p>
      <w:r>
        <w:rPr>
          <w:i/>
          <w:color w:val="666666"/>
          <w:sz w:val="18"/>
        </w:rPr>
        <w:t>Tiew HW et al.  ·  BMC Nephrol  ·  05.08.2026  ·  PMID 42870239</w:t>
      </w:r>
    </w:p>
    <w:p>
      <w:r>
        <w:t>Singapurer Kohortenstudie mit 282 Patienten im Stadium 5 CKD untersuchte, wie der Zeitpunkt der Überweisung zu einem Nierenkoordinator (bei verschiedenen eGFR-Schwellwerten) das Risiko für ungeplante Dialyseeinleitung beeinflusst.</w:t>
      </w:r>
    </w:p>
    <w:p>
      <w:r>
        <w:rPr>
          <w:b/>
        </w:rPr>
        <w:t xml:space="preserve">Ergebnis: </w:t>
      </w:r>
      <w:r>
        <w:t>Überweisung bei eGFR 9–14 mL/min/1,73m² war mit 55 % niedrigerem Risiko für ungeplante Dialyseeinleitung assoziiert (HR 0,45, 95%-KI 0,22–0,91) im Vergleich zu späteren Überweisungen. Ungeplante Einleitung war häufiger bei CKD Stage 5 als Stage 4 (78,8 % vs. 62,5 %). Frühzeitige Koordination ermöglichte ausreichend Zeit für Vorbereitung eines permanenten Zugangs.</w:t>
      </w:r>
    </w:p>
    <w:p>
      <w:r>
        <w:rPr>
          <w:b/>
          <w:sz w:val="19"/>
        </w:rPr>
        <w:t xml:space="preserve">Übertragbarkeit: </w:t>
      </w:r>
      <w:r>
        <w:rPr>
          <w:sz w:val="19"/>
        </w:rPr>
        <w:t>Singapur, aber Case-Management-Prinzip auf deutsches Versorgungssystem und Hausarzt-Steuerung übertragbar</w:t>
      </w:r>
    </w:p>
    <w:p>
      <w:r>
        <w:rPr>
          <w:color w:val="5A7D3A"/>
          <w:sz w:val="18"/>
        </w:rPr>
        <w:t>https://pubmed.ncbi.nlm.nih.gov/42870239/</w:t>
      </w:r>
    </w:p>
    <w:p>
      <w:pPr>
        <w:pStyle w:val="Heading1"/>
      </w:pPr>
      <w:r>
        <w:t>Aufgenommen am 14.10.2026</w:t>
      </w:r>
    </w:p>
    <w:p>
      <w:pPr>
        <w:pStyle w:val="Heading2"/>
      </w:pPr>
      <w:r>
        <w:t>Arbeitsinklusion verbessert Therapietreue bei chronischen Erkrankungen</w:t>
      </w:r>
    </w:p>
    <w:p>
      <w:r>
        <w:rPr>
          <w:i/>
          <w:color w:val="666666"/>
          <w:sz w:val="18"/>
        </w:rPr>
        <w:t>Aalbers E et al.  ·  PLoS One  ·  13.10.2026  ·  PMID 42868134</w:t>
      </w:r>
    </w:p>
    <w:p>
      <w:r>
        <w:t>Niederländische Querschnittsstudie mit 309 erwerbstätigen Personen mit chronischen Erkrankungen und Medikamenteneinnahme untersuchte, wie Arbeitsmerkmale die Therapietreue beeinflussen.</w:t>
      </w:r>
    </w:p>
    <w:p>
      <w:r>
        <w:rPr>
          <w:b/>
        </w:rPr>
        <w:t xml:space="preserve">Ergebnis: </w:t>
      </w:r>
      <w:r>
        <w:t>Therapietreue betrug 56%. Arbeitsinklusion war unabhängig mit besserer Adhärenz assoziiert (AOR 1,50; 95%-KI 1,00–2,25; p=0,049). Moderate körperliche Arbeitsbelastung zeigte paradoxe schützende Assoziation (AOR 0,49; 95%-KI 0,26–0,92; p=0,026). Praktische Arbeitsmerkmale wie Stundenanzahl oder Vertragstyp waren nicht signifikant mit Adhärenz assoziiert.</w:t>
      </w:r>
    </w:p>
    <w:p>
      <w:r>
        <w:rPr>
          <w:b/>
          <w:sz w:val="19"/>
        </w:rPr>
        <w:t xml:space="preserve">Übertragbarkeit: </w:t>
      </w:r>
      <w:r>
        <w:rPr>
          <w:sz w:val="19"/>
        </w:rPr>
        <w:t>Niederlande, Versicherungssystem vergleichbar mit Deutschland; Frage der Arbeitsintegration für chronisch Kranke universell relevant.</w:t>
      </w:r>
    </w:p>
    <w:p>
      <w:r>
        <w:rPr>
          <w:color w:val="5A7D3A"/>
          <w:sz w:val="18"/>
        </w:rPr>
        <w:t>https://pubmed.ncbi.nlm.nih.gov/42868134/</w:t>
      </w:r>
    </w:p>
    <w:p>
      <w:pPr>
        <w:pStyle w:val="Heading2"/>
      </w:pPr>
      <w:r>
        <w:t>Kardiovaskuläre Mehrfacherkrankung verschärft Krankenhausergebnisse bei COPD-Exazerbation</w:t>
      </w:r>
    </w:p>
    <w:p>
      <w:r>
        <w:rPr>
          <w:i/>
          <w:color w:val="666666"/>
          <w:sz w:val="18"/>
        </w:rPr>
        <w:t>Fu Y et al.  ·  Int J Chron Obstruct Pulmon Dis  ·  07.10.2026  ·  PMID 42865926</w:t>
      </w:r>
    </w:p>
    <w:p>
      <w:r>
        <w:t>Chinesische Rückwärtskohorte mit 3.684 Aufnahmen von 2.281 COPD-Patienten (2015–2024) untersuchte den Einfluss kardiovaskulärer Komorbiditäten auf Krankenhausverweildauer und Wiederaufnahmen.</w:t>
      </w:r>
    </w:p>
    <w:p>
      <w:r>
        <w:rPr>
          <w:b/>
        </w:rPr>
        <w:t xml:space="preserve">Ergebnis: </w:t>
      </w:r>
      <w:r>
        <w:t>71,7% hatten mindestens eine kardiovaskuläre Erkrankung. Nach vollständiger Adjustierung: 2 kardiovaskuläre Erkrankungen erhöhten verlängerte Verweildauer (≥14 Tage) OR 1,60 (95%-KI 1,18–2,16); ≥3 Erkrankungen OR 1,95 (95%-KI 1,30–2,93; p&lt;0,001 Trend). 1-Jahres-Wiederaufnahmerate stieg mit Komorbidität (HR 1,38 für 1; 1,42 für 2; 1,68 für ≥3 Erkrankungen; p=0,006). HTN+IHD+PAD höchstes Risiko (OR 2,53). Kardiovaskuläre Mehrfacherkrankung ist unabhängiger Risikofaktor für Hospitalisierungsergebnisse bei AECOPD.</w:t>
      </w:r>
    </w:p>
    <w:p>
      <w:r>
        <w:rPr>
          <w:b/>
          <w:sz w:val="19"/>
        </w:rPr>
        <w:t xml:space="preserve">Übertragbarkeit: </w:t>
      </w:r>
      <w:r>
        <w:rPr>
          <w:sz w:val="19"/>
        </w:rPr>
        <w:t>China, aber Mehrfacherkrankung und klinische Ergebnisse in ähnlicher Versorgungsstruktur messbar.</w:t>
      </w:r>
    </w:p>
    <w:p>
      <w:r>
        <w:rPr>
          <w:color w:val="5A7D3A"/>
          <w:sz w:val="18"/>
        </w:rPr>
        <w:t>https://pubmed.ncbi.nlm.nih.gov/42865926/</w:t>
      </w:r>
    </w:p>
    <w:p>
      <w:pPr>
        <w:pStyle w:val="Heading2"/>
      </w:pPr>
      <w:r>
        <w:t>Sozialverschreibung wirkt durch Teilnahme, nicht bloße Überweisung</w:t>
      </w:r>
    </w:p>
    <w:p>
      <w:r>
        <w:rPr>
          <w:i/>
          <w:color w:val="666666"/>
          <w:sz w:val="18"/>
        </w:rPr>
        <w:t>Huang M et al.  ·  Front Public Health  ·  28.09.2026  ·  PMID 42865730</w:t>
      </w:r>
    </w:p>
    <w:p>
      <w:r>
        <w:t>Bayesianische Re-Analyse von 10 randomisierten Studien (4.840 Teilnehmer) zur Sozialverschreibung (Social Prescribing) bei chronischen Erkrankungen untersuchte, ob Empfehlung oder Programmteilnahme den Nutzen erklärt.</w:t>
      </w:r>
    </w:p>
    <w:p>
      <w:r>
        <w:rPr>
          <w:b/>
        </w:rPr>
        <w:t xml:space="preserve">Ergebnis: </w:t>
      </w:r>
      <w:r>
        <w:t>Intention-to-treat-Effekt auf körperliche Aktivität: OR 1,31 (95%-CrI 1,07–1,67; posterior probability 0,991). Kein konsistenter Dosis-Response-Effekt (Slope -1,29; 95%-CrI -6,17 bis 3,48). Hohe Programmteilnahme zeigte zusätzlichen Benefit von 0,26 klinisch bedeutsamen Einheiten (95%-CrI -0,07 bis 0,63; posterior probability 0,940). Positive Effekte über körperliche Aktivität, Körpergewicht, Blutdruck, psychisches Wohlbefinden, Lebensqualität. Erfolgreiche Teilnahme – nicht bloße Überweisung – ist primärer Wirkmechanismus.</w:t>
      </w:r>
    </w:p>
    <w:p>
      <w:r>
        <w:rPr>
          <w:b/>
          <w:sz w:val="19"/>
        </w:rPr>
        <w:t xml:space="preserve">Übertragbarkeit: </w:t>
      </w:r>
      <w:r>
        <w:rPr>
          <w:sz w:val="19"/>
        </w:rPr>
        <w:t>Überwiegend europäische und kanadische Studien; Konzept Social Prescribing mit Partizipation über Systeme hinweg relevant.</w:t>
      </w:r>
    </w:p>
    <w:p>
      <w:r>
        <w:rPr>
          <w:color w:val="5A7D3A"/>
          <w:sz w:val="18"/>
        </w:rPr>
        <w:t>https://pubmed.ncbi.nlm.nih.gov/42865730/</w:t>
      </w:r>
    </w:p>
    <w:p>
      <w:pPr>
        <w:pStyle w:val="Heading2"/>
      </w:pPr>
      <w:r>
        <w:t>Strukturiertes Trainungsprogramm verbessert Lungenfunktion bei COPD</w:t>
      </w:r>
    </w:p>
    <w:p>
      <w:r>
        <w:rPr>
          <w:i/>
          <w:color w:val="666666"/>
          <w:sz w:val="18"/>
        </w:rPr>
        <w:t>Cederberg A et al.  ·  Respir Res  ·  12.10.2026  ·  PMID 42864666</w:t>
      </w:r>
    </w:p>
    <w:p>
      <w:r>
        <w:t>Schwedische prospektive Interventionsstudie mit 62 COPD-Patienten evaluierte 12 Wochen ambulantes Kraft- und Ausdauertraining (3×/Woche) auf Lungenfunktion, Belastbarkeit und Symptombelastung.</w:t>
      </w:r>
    </w:p>
    <w:p>
      <w:r>
        <w:rPr>
          <w:b/>
        </w:rPr>
        <w:t xml:space="preserve">Ergebnis: </w:t>
      </w:r>
      <w:r>
        <w:t>Impulse-Oszillometrie zeigte signifikante Verbesserungen: R5 Δ=-0,75 z-Score (p=0,001), R5-R20 Δ=-0,18 z-Score (p=0,007), Fres Δ=-0,33 Hz (p=0,022), AX Δ=-0,05 kPa·s⁻¹ (p=0,042). 6-Minuten-Gehtest verbesserte sich um 15 m (p=0,002), 1-Minuten-Sit-to-Stand um 3 Wiederholungen (p&lt;0,0001). CAT-Score sank um 1,0 Punkt (p=0,014), CCQ um 0,1 (p=0,011). Spirometrie zeigte nur kleine FVC-Zunahme. Verbesserung der peripheren Atemwegsphysiologie ohne signifikante Spirometrieänderung.</w:t>
      </w:r>
    </w:p>
    <w:p>
      <w:r>
        <w:rPr>
          <w:b/>
          <w:sz w:val="19"/>
        </w:rPr>
        <w:t xml:space="preserve">Übertragbarkeit: </w:t>
      </w:r>
      <w:r>
        <w:rPr>
          <w:sz w:val="19"/>
        </w:rPr>
        <w:t>Schweden, vergleichbare Primärversorgung; strukturiertes Trainingskonzept für Praxen und Reha übertragbar.</w:t>
      </w:r>
    </w:p>
    <w:p>
      <w:r>
        <w:rPr>
          <w:color w:val="5A7D3A"/>
          <w:sz w:val="18"/>
        </w:rPr>
        <w:t>https://pubmed.ncbi.nlm.nih.gov/42864666/</w:t>
      </w:r>
    </w:p>
    <w:p>
      <w:pPr>
        <w:pStyle w:val="Heading2"/>
      </w:pPr>
      <w:r>
        <w:t>ME/CFS bei jungen Menschen: Unmet Needs in Versorgung und Betreuung</w:t>
      </w:r>
    </w:p>
    <w:p>
      <w:r>
        <w:rPr>
          <w:i/>
          <w:color w:val="666666"/>
          <w:sz w:val="18"/>
        </w:rPr>
        <w:t>Kircher A et al.  ·  BMC Public Health  ·  29.09.2026  ·  PMID 42864639</w:t>
      </w:r>
    </w:p>
    <w:p>
      <w:r>
        <w:t>Qualitative deutsche Studie mit 14 Patienten (12–25 Jahre) und 18 Eltern (Fokusgruppen und Tagebuch) identifizierte unerfüllte Versorgungsbedarfe bei ME/CFS.</w:t>
      </w:r>
    </w:p>
    <w:p>
      <w:r>
        <w:rPr>
          <w:b/>
        </w:rPr>
        <w:t xml:space="preserve">Ergebnis: </w:t>
      </w:r>
      <w:r>
        <w:t>Patienten benannten vier zentrale unerfüllte Bedarfe: (1) nicht alleine gelassen werden mit der Krankheit, (2) Flexibilität und Verständnis von Gesundheitsanbietern, (3) weniger Erklärungsdruck gegenüber anderen, (4) Anerkennung des Familieneinsatzes als Lückenbüßer. Eltern identifizierten parallel vier Themen: nicht alleine sein, krankheitsgerechte Versorgung, Wissen und Verständnis für ME/CFS, Handlungskompetenz. Bedarfe von Patienten und Eltern überlappten deutlich und zeigen Bedarf für bedarfsadaptierte Versorgungsstrukturen.</w:t>
      </w:r>
    </w:p>
    <w:p>
      <w:r>
        <w:rPr>
          <w:b/>
          <w:sz w:val="19"/>
        </w:rPr>
        <w:t xml:space="preserve">Übertragbarkeit: </w:t>
      </w:r>
      <w:r>
        <w:rPr>
          <w:sz w:val="19"/>
        </w:rPr>
        <w:t>Deutsche Studie; direkter Versorgungsbezug für Ausgestaltung von ME/CFS-Programmen in Deutschland.</w:t>
      </w:r>
    </w:p>
    <w:p>
      <w:r>
        <w:rPr>
          <w:color w:val="5A7D3A"/>
          <w:sz w:val="18"/>
        </w:rPr>
        <w:t>https://pubmed.ncbi.nlm.nih.gov/42864639/</w:t>
      </w:r>
    </w:p>
    <w:p>
      <w:pPr>
        <w:pStyle w:val="Heading2"/>
      </w:pPr>
      <w:r>
        <w:t>Sequenzielle Tyrosinkinase-Inhibitor-Therapie bei resistenter chronischer myeloischer Leukämie</w:t>
      </w:r>
    </w:p>
    <w:p>
      <w:r>
        <w:rPr>
          <w:i/>
          <w:color w:val="666666"/>
          <w:sz w:val="18"/>
        </w:rPr>
        <w:t>Gugliotta G et al.  ·  Clin Lymphoma Myeloma Leuk  ·  24.07.2026  ·  PMID 42608256</w:t>
      </w:r>
    </w:p>
    <w:p>
      <w:r>
        <w:t>Italienische Real-World-Kohortenstudie mit 69 CML-Patienten in chronischer Phase untersuchte Ergebnisse nach Wechsel auf Zweitlinien-TKI bei Versagen von Nilotinib oder Dasatinib.</w:t>
      </w:r>
    </w:p>
    <w:p>
      <w:r>
        <w:rPr>
          <w:b/>
        </w:rPr>
        <w:t xml:space="preserve">Ergebnis: </w:t>
      </w:r>
      <w:r>
        <w:t>Medianer Zeitpunkt zum Wechsel: 15 Monate. Ponatinib am häufigsten eingesetzt (68%). Als beste Molekülresponse: 78% erreichten BCR::ABL1IS &lt;1%. 3-Jahres-Rate für MR3: 69,4% (95%-KI 53,2–84,2%). 30% benötigten nach median 9 Monaten Drittlinien-Therapie, meist wegen Resistenz (81%); von diesen erreichten 50% BCR::ABL1IS &lt;1%. 9% zur Stammzelltransplantation; 7% Blastentransformation (alle starben). 5-Jahres-progressionsfreies und Gesamtüberleben: 87% (95%-KI 67,1–95,2%) und 83% (95%-KI 61,7–93%).</w:t>
      </w:r>
    </w:p>
    <w:p>
      <w:r>
        <w:rPr>
          <w:b/>
          <w:sz w:val="19"/>
        </w:rPr>
        <w:t xml:space="preserve">Übertragbarkeit: </w:t>
      </w:r>
      <w:r>
        <w:rPr>
          <w:sz w:val="19"/>
        </w:rPr>
        <w:t>Italien, ähnliche Versorgungsstrukturen und Dokumentation wie Deutschland; real-world Wirk­lichkeit von Sequenztherapien.</w:t>
      </w:r>
    </w:p>
    <w:p>
      <w:r>
        <w:rPr>
          <w:color w:val="5A7D3A"/>
          <w:sz w:val="18"/>
        </w:rPr>
        <w:t>https://pubmed.ncbi.nlm.nih.gov/42608256/</w:t>
      </w:r>
    </w:p>
    <w:p>
      <w:pPr>
        <w:pStyle w:val="Heading1"/>
      </w:pPr>
      <w:r>
        <w:t>Aufgenommen am 13.10.2026</w:t>
      </w:r>
    </w:p>
    <w:p>
      <w:pPr>
        <w:pStyle w:val="Heading2"/>
      </w:pPr>
      <w:r>
        <w:t>Selbstvertretung bei Hämodialysepatienten: aktive Partizipation nur bei 15%</w:t>
      </w:r>
    </w:p>
    <w:p>
      <w:r>
        <w:rPr>
          <w:i/>
          <w:color w:val="666666"/>
          <w:sz w:val="18"/>
        </w:rPr>
        <w:t>Xu W et al.  ·  BMC Nephrol  ·  07.08.2026  ·  PMID 42859166</w:t>
      </w:r>
    </w:p>
    <w:p>
      <w:r>
        <w:t>Querschnittsstudie an 429 Hämodialysepatienten zur Identifikation von Profilen der Patientenselbstvertretung und deren Einflussfaktoren.</w:t>
      </w:r>
    </w:p>
    <w:p>
      <w:r>
        <w:rPr>
          <w:b/>
        </w:rPr>
        <w:t xml:space="preserve">Ergebnis: </w:t>
      </w:r>
      <w:r>
        <w:t>Nur 15,0% der Patienten zeigten aktive Selbstvertretung ("Active Striving Type"), 58,5% moderate Partizipation und 26,5% passive Akzeptanz. Wahrgenommene soziale Unterstützung, Selbstmanagementfähigkeit und emotionale Last waren signifikante Einflussfaktoren (p&lt;0,05). Die Netzwerkanalyse identifizierte unterschiedliche zentrale Symptomknoten pro Gruppe.</w:t>
      </w:r>
    </w:p>
    <w:p>
      <w:r>
        <w:rPr>
          <w:b/>
          <w:sz w:val="19"/>
        </w:rPr>
        <w:t xml:space="preserve">Übertragbarkeit: </w:t>
      </w:r>
      <w:r>
        <w:rPr>
          <w:sz w:val="19"/>
        </w:rPr>
        <w:t>China, Versorgungspraxis anwendbar; Selbstvertretung als Versorgungsqualitätsmerkmal</w:t>
      </w:r>
    </w:p>
    <w:p>
      <w:r>
        <w:rPr>
          <w:color w:val="5A7D3A"/>
          <w:sz w:val="18"/>
        </w:rPr>
        <w:t>https://pubmed.ncbi.nlm.nih.gov/42859166/</w:t>
      </w:r>
    </w:p>
    <w:p>
      <w:pPr>
        <w:pStyle w:val="Heading2"/>
      </w:pPr>
      <w:r>
        <w:t>U-förmige Beziehung zwischen Schlaf und Nierenfunktion: CKD-Prävalenz bei Kurz- und Langschläfern erhöht</w:t>
      </w:r>
    </w:p>
    <w:p>
      <w:r>
        <w:rPr>
          <w:i/>
          <w:color w:val="666666"/>
          <w:sz w:val="18"/>
        </w:rPr>
        <w:t>Oh J et al.  ·  Medicine (Baltimore)  ·  09.10.2026  ·  PMID 42854001</w:t>
      </w:r>
    </w:p>
    <w:p>
      <w:r>
        <w:t>Populationsstudie mit 87.246 koreanischen Erwachsenen (≥19 Jahre) zur Assoziation zwischen Schlafmuster und CKD-Prävalenz über 16 Jahre.</w:t>
      </w:r>
    </w:p>
    <w:p>
      <w:r>
        <w:rPr>
          <w:b/>
        </w:rPr>
        <w:t xml:space="preserve">Ergebnis: </w:t>
      </w:r>
      <w:r>
        <w:t>CKD-Prävalenz zeigte U-förmige Assoziation mit Schlafdauer: &lt;6 h täglicher Schlaf (adjustierte OR 2,34, 95%-KI 2,04-2,69), ≥9 h Schlaf (OR 2,07, 95%-KI 1,77-2,41) versus optimale 7-8 h. Die CKD-Gesamtprävalenz sank von 2007-2009 (5,13%) auf 2020-2022 (3,53%). Assoziation blieb nach Adjustment für kardio-metabolische Komorbiditäten stabil.</w:t>
      </w:r>
    </w:p>
    <w:p>
      <w:r>
        <w:rPr>
          <w:b/>
          <w:sz w:val="19"/>
        </w:rPr>
        <w:t xml:space="preserve">Übertragbarkeit: </w:t>
      </w:r>
      <w:r>
        <w:rPr>
          <w:sz w:val="19"/>
        </w:rPr>
        <w:t>Südkorea mit universalversorgtem System; Schlafqualität als modifizierbarer Präventionfaktor</w:t>
      </w:r>
    </w:p>
    <w:p>
      <w:r>
        <w:rPr>
          <w:color w:val="5A7D3A"/>
          <w:sz w:val="18"/>
        </w:rPr>
        <w:t>https://pubmed.ncbi.nlm.nih.gov/42854001/</w:t>
      </w:r>
    </w:p>
    <w:p>
      <w:pPr>
        <w:pStyle w:val="Heading2"/>
      </w:pPr>
      <w:r>
        <w:t>Kamerun: 43% aller Todesfälle durch nicht übertragbare Krankheiten, aber nur 6% der Prävention finanziert</w:t>
      </w:r>
    </w:p>
    <w:p>
      <w:r>
        <w:rPr>
          <w:i/>
          <w:color w:val="666666"/>
          <w:sz w:val="18"/>
        </w:rPr>
        <w:t>Saidu Y et al.  ·  J Glob Health  ·  09.10.2026  ·  PMID 42853019</w:t>
      </w:r>
    </w:p>
    <w:p>
      <w:r>
        <w:t>Priorisierungsstudie auf Basis von Global Burden of Disease 2019 und systematischer Literaturanalyse zur Krankheitslast und Versorgungsinvestitionen für nicht übertragbare Erkrankungen in Kamerun.</w:t>
      </w:r>
    </w:p>
    <w:p>
      <w:r>
        <w:rPr>
          <w:b/>
        </w:rPr>
        <w:t xml:space="preserve">Ergebnis: </w:t>
      </w:r>
      <w:r>
        <w:t>NCD/Verletzungen verursachten 2019 43% aller Todesfälle, 29% davon in der Altersgruppe &lt;40 Jahre. DALYs stiegen seit 1990 kontinuierlich an. 61% der NCDI-DALYs stammen aus Bereichen außerhalb der "Big Four" (Diabetes, Krebs, Atemwegserkrankungen, Kardiovaskulär). Trotz dieser Last wurden 2016-2020 nur 6% der Präventionsmittel für NCD verwendet. 49 Prioritätsbedingungen und 123 Interventionen identifiziert.</w:t>
      </w:r>
    </w:p>
    <w:p>
      <w:r>
        <w:rPr>
          <w:b/>
          <w:sz w:val="19"/>
        </w:rPr>
        <w:t xml:space="preserve">Übertragbarkeit: </w:t>
      </w:r>
      <w:r>
        <w:rPr>
          <w:sz w:val="19"/>
        </w:rPr>
        <w:t>Kamerun/LMIC; zentral für Versorgungsungleichheit und Priorisierung in ressourcenbegrenzten Systemen</w:t>
      </w:r>
    </w:p>
    <w:p>
      <w:r>
        <w:rPr>
          <w:color w:val="5A7D3A"/>
          <w:sz w:val="18"/>
        </w:rPr>
        <w:t>https://pubmed.ncbi.nlm.nih.gov/42853019/</w:t>
      </w:r>
    </w:p>
    <w:p>
      <w:pPr>
        <w:pStyle w:val="Heading2"/>
      </w:pPr>
      <w:r>
        <w:t>Long COVID: Olfaktorische Dysfunktion bei 77% trotz schwacher Selbstwahrnehmung</w:t>
      </w:r>
    </w:p>
    <w:p>
      <w:r>
        <w:rPr>
          <w:i/>
          <w:color w:val="666666"/>
          <w:sz w:val="18"/>
        </w:rPr>
        <w:t>Degen CV et al.  ·  Am J Otolaryngol  ·  25.08.2026  ·  PMID 42679644</w:t>
      </w:r>
    </w:p>
    <w:p>
      <w:r>
        <w:t>Querschnittsstudie mit 154 Teilnehmern (Long COVID n=122, genesen n=9, Kontrollen n=24) zur objektiven und subjektiven Erfassung von Riech- und Geschmacksstörungen.</w:t>
      </w:r>
    </w:p>
    <w:p>
      <w:r>
        <w:rPr>
          <w:b/>
        </w:rPr>
        <w:t xml:space="preserve">Ergebnis: </w:t>
      </w:r>
      <w:r>
        <w:t>Long-COVID-Patienten zeigten signifikant schlechtere Ergebnisse bei objektivem Riech- und Geschmackstest versus Kontrollen. Subjektive Einschätzung korrelierte nur schwach mit objektiven Messwerten (r=-0,525, p&lt;0,001). Zeitspanne seit Infektion korrelierte nicht mit Schweregrad. Olfaktorisches Training als wirksame Behandlung ist verfügbar.</w:t>
      </w:r>
    </w:p>
    <w:p>
      <w:r>
        <w:rPr>
          <w:b/>
          <w:sz w:val="19"/>
        </w:rPr>
        <w:t xml:space="preserve">Übertragbarkeit: </w:t>
      </w:r>
      <w:r>
        <w:rPr>
          <w:sz w:val="19"/>
        </w:rPr>
        <w:t>Deutschland, deutsche Studienzentren; Screening-Empfehlung für Long-COVID-Management</w:t>
      </w:r>
    </w:p>
    <w:p>
      <w:r>
        <w:rPr>
          <w:color w:val="5A7D3A"/>
          <w:sz w:val="18"/>
        </w:rPr>
        <w:t>https://pubmed.ncbi.nlm.nih.gov/42679644/</w:t>
      </w:r>
    </w:p>
    <w:p>
      <w:pPr>
        <w:pStyle w:val="Heading2"/>
      </w:pPr>
      <w:r>
        <w:t>EIT-gestützte Inhalationstechnik verbessert Hyperinflation bei COPD</w:t>
      </w:r>
    </w:p>
    <w:p>
      <w:r>
        <w:rPr>
          <w:i/>
          <w:color w:val="666666"/>
          <w:sz w:val="18"/>
        </w:rPr>
        <w:t>Stolz S et al.  ·  Sci Rep  ·  24.08.2026  ·  PMID 42637795</w:t>
      </w:r>
    </w:p>
    <w:p>
      <w:r>
        <w:t>Randomisierte, kontrollierte Pilotstudie (n=29 COPD-Patienten) zum Effekt von visueller EIT-Rückmeldung auf Lungenfunktion während Inhalationstherapie.</w:t>
      </w:r>
    </w:p>
    <w:p>
      <w:r>
        <w:rPr>
          <w:b/>
        </w:rPr>
        <w:t xml:space="preserve">Ergebnis: </w:t>
      </w:r>
      <w:r>
        <w:t>Interventionsgruppe mit EIT-Feedback zeigte signifikante FRC-Reduktion gegenüber Kontrolle (Intervention -0,4 L vs. Kontrolle -0,1 L, p&lt;0,05). Keine signifikanten Unterschiede bei FEV1 zwischen Gruppen. Widerstände tendierten zur Zunahme in der Interventionsgruppe. Subjektiver Benefit und EIT-Parameter zeigten keine Unterschiede.</w:t>
      </w:r>
    </w:p>
    <w:p>
      <w:r>
        <w:rPr>
          <w:b/>
          <w:sz w:val="19"/>
        </w:rPr>
        <w:t xml:space="preserve">Übertragbarkeit: </w:t>
      </w:r>
      <w:r>
        <w:rPr>
          <w:sz w:val="19"/>
        </w:rPr>
        <w:t>Deutschland, Universitätsklinik Saarland; methodische Machbarkeitsstudie, längerfristige Effekte offen</w:t>
      </w:r>
    </w:p>
    <w:p>
      <w:r>
        <w:rPr>
          <w:color w:val="5A7D3A"/>
          <w:sz w:val="18"/>
        </w:rPr>
        <w:t>https://pubmed.ncbi.nlm.nih.gov/42637795/</w:t>
      </w:r>
    </w:p>
    <w:p>
      <w:pPr>
        <w:pStyle w:val="Heading2"/>
      </w:pPr>
      <w:r>
        <w:t>CKD-Screening in der Hausarztpraxis: Politischer Aktionsplan für Europa</w:t>
      </w:r>
    </w:p>
    <w:p>
      <w:r>
        <w:rPr>
          <w:i/>
          <w:color w:val="666666"/>
          <w:sz w:val="18"/>
        </w:rPr>
        <w:t>De Nicola L et al.  ·  J Nephrol  ·  10.10.2026  ·  PMID 42627753</w:t>
      </w:r>
    </w:p>
    <w:p>
      <w:r>
        <w:t>Positionspapier der Italienischen Nephrologischen Gesellschaft zu einem strukturierten CKD-Screening und Managementprogramm für die primäre Versorgung.</w:t>
      </w:r>
    </w:p>
    <w:p>
      <w:r>
        <w:rPr>
          <w:b/>
        </w:rPr>
        <w:t xml:space="preserve">Ergebnis: </w:t>
      </w:r>
      <w:r>
        <w:t>WHO und UN erkannten CKD 2025 als globale Gesundheitspriorität an. Die Italienische Gesellschaft hat ein Screening-Programm für die Hausarztpraxis entwickelt (aktuell im italienischen Parlament in Diskussion) mit kombinierter Edukation zur CKD-Früherkennung. Remission von CKD ist zunehmend erreichbar; niedriges Bewusstsein bei Patienten und Nicht-Nephrologen bleibt Hauptbarriere.</w:t>
      </w:r>
    </w:p>
    <w:p>
      <w:r>
        <w:rPr>
          <w:b/>
          <w:sz w:val="19"/>
        </w:rPr>
        <w:t xml:space="preserve">Übertragbarkeit: </w:t>
      </w:r>
      <w:r>
        <w:rPr>
          <w:sz w:val="19"/>
        </w:rPr>
        <w:t>Italien/Europa, vergleichbare Gesundheitssysteme; skalierbar auf Deutschland</w:t>
      </w:r>
    </w:p>
    <w:p>
      <w:r>
        <w:rPr>
          <w:color w:val="5A7D3A"/>
          <w:sz w:val="18"/>
        </w:rPr>
        <w:t>https://pubmed.ncbi.nlm.nih.gov/42627753/</w:t>
      </w:r>
    </w:p>
    <w:p>
      <w:pPr>
        <w:pStyle w:val="Heading1"/>
      </w:pPr>
      <w:r>
        <w:t>Aufgenommen am 12.10.2026</w:t>
      </w:r>
    </w:p>
    <w:p>
      <w:pPr>
        <w:pStyle w:val="Heading2"/>
      </w:pPr>
      <w:r>
        <w:t>Sturzrisiko bei COPD: Gleichgewichtsstörungen stärker assoziiert als Muskelschwäche</w:t>
      </w:r>
    </w:p>
    <w:p>
      <w:r>
        <w:rPr>
          <w:i/>
          <w:color w:val="666666"/>
          <w:sz w:val="18"/>
        </w:rPr>
        <w:t>Zangi M et al.  ·  Int J Chron Obstruct Pulmon Dis  ·  06.10.2026  ·  PMID 42859794</w:t>
      </w:r>
    </w:p>
    <w:p>
      <w:r>
        <w:t>Systematische Übersicht von 25 Studien mit 1.295 Teilnehmenden zu Zusammenhängen zwischen neuromuskulären Faktoren, Balance, Gangcharakteristika und Sturzereignissen bei COPD.</w:t>
      </w:r>
    </w:p>
    <w:p>
      <w:r>
        <w:rPr>
          <w:b/>
        </w:rPr>
        <w:t xml:space="preserve">Ergebnis: </w:t>
      </w:r>
      <w:r>
        <w:t>17 von 25 Studien zeigten signifikante Assoziationen zwischen Studienparametern und Sturzrisiko. Gleichgewichtsstörungen wiesen die konsistenteste Beziehung auf (14 von 17 Studien mit positiven Assoziationen). Die Evidenz für Muskelkraft war gemischt: Während einige Studien Quadrizeps-Schwäche mit erhöhtem Sturzrisiko verbanden (Odds Ratio 2,9 in einer Studie), fanden andere keine signifikante Assoziation. Veränderte Gangcharakteristika, insbesondere erhöhte Schrittzeit-Variabilität, wurden ebenfalls mit Stürzen assoziiert.</w:t>
      </w:r>
    </w:p>
    <w:p>
      <w:r>
        <w:rPr>
          <w:b/>
          <w:sz w:val="19"/>
        </w:rPr>
        <w:t xml:space="preserve">Übertragbarkeit: </w:t>
      </w:r>
      <w:r>
        <w:rPr>
          <w:sz w:val="19"/>
        </w:rPr>
        <w:t>Deutsche Rehaeinrichtungen, weit verbreitet in COPD-Versorgung; prospektive Studien zur Kausalität noch ausstehend.</w:t>
      </w:r>
    </w:p>
    <w:p>
      <w:r>
        <w:rPr>
          <w:color w:val="5A7D3A"/>
          <w:sz w:val="18"/>
        </w:rPr>
        <w:t>https://pubmed.ncbi.nlm.nih.gov/42859794/</w:t>
      </w:r>
    </w:p>
    <w:p>
      <w:pPr>
        <w:pStyle w:val="Heading2"/>
      </w:pPr>
      <w:r>
        <w:t>Mehrfacherkrankung verschlechtert Lebensqualität in Dosis-Wirkungs-Beziehung</w:t>
      </w:r>
    </w:p>
    <w:p>
      <w:r>
        <w:rPr>
          <w:i/>
          <w:color w:val="666666"/>
          <w:sz w:val="18"/>
        </w:rPr>
        <w:t>Manríquez-Robles D et al.  ·  Qual Life Res  ·  10.10.2026  ·  PMID 42859314</w:t>
      </w:r>
    </w:p>
    <w:p>
      <w:r>
        <w:t>Bevölkerungsrepräsentative chilenische Stichprobe (n=16.469) zur Identifikation von Mehrfacherkrankungs-Profilen und deren Zusammenhang mit globaler Lebensqualität mittels Latent-Class-Analyse und Strukturgleichungsmodellierung.</w:t>
      </w:r>
    </w:p>
    <w:p>
      <w:r>
        <w:rPr>
          <w:b/>
        </w:rPr>
        <w:t xml:space="preserve">Ergebnis: </w:t>
      </w:r>
      <w:r>
        <w:t>Drei Klassen wurden identifiziert: niedrige Belastung (untere Gruppe), mittlere Belastung (58,5%) und hohe Belastung (15,0%). Globale Lebensqualität war bei Personen mit mittlerer Belastung um β=-0,132 (p&lt;0,001) und bei hoher Belastung um β=-0,341 (p&lt;0,001) niedriger als in der Referenzgruppe. Schulbildung (β=0,142) und Haushaltseinkommen (β=0,139) waren positiv mit Lebensqualität assoziiert. Mehrfacherkrankung und funktionale Einschränkung waren die stärksten Differenzierungsmerkmale der Profile.</w:t>
      </w:r>
    </w:p>
    <w:p>
      <w:r>
        <w:rPr>
          <w:b/>
          <w:sz w:val="19"/>
        </w:rPr>
        <w:t xml:space="preserve">Übertragbarkeit: </w:t>
      </w:r>
      <w:r>
        <w:rPr>
          <w:sz w:val="19"/>
        </w:rPr>
        <w:t>Lateinamerika; ähnliche Sozialversicherungsstruktur wie deutschsprachige Länder; vergleichbare Erfassung chronischer Erkrankungen.</w:t>
      </w:r>
    </w:p>
    <w:p>
      <w:r>
        <w:rPr>
          <w:color w:val="5A7D3A"/>
          <w:sz w:val="18"/>
        </w:rPr>
        <w:t>https://pubmed.ncbi.nlm.nih.gov/42859314/</w:t>
      </w:r>
    </w:p>
    <w:p>
      <w:pPr>
        <w:pStyle w:val="Heading2"/>
      </w:pPr>
      <w:r>
        <w:t>Körperzusammensetzung bei älteren Menschen: Fettmasse stärker mit Hypertonie assoziiert als BMI allein</w:t>
      </w:r>
    </w:p>
    <w:p>
      <w:r>
        <w:rPr>
          <w:i/>
          <w:color w:val="666666"/>
          <w:sz w:val="18"/>
        </w:rPr>
        <w:t>Wei M et al.  ·  Front Public Health  ·  24.09.2026  ·  PMID 42851637</w:t>
      </w:r>
    </w:p>
    <w:p>
      <w:r>
        <w:t>Chinesische Querschnittsstudie mit 324 älteren Erwachsenen (≥65 Jahre) zur Messung der Körperzusammensetzung mittels InBody-Analysegerät und Assoziation mit Hypertonie, Dyslipidämie und Diabetes.</w:t>
      </w:r>
    </w:p>
    <w:p>
      <w:r>
        <w:rPr>
          <w:b/>
        </w:rPr>
        <w:t xml:space="preserve">Ergebnis: </w:t>
      </w:r>
      <w:r>
        <w:t>Prävalenzen: Hypertonie 62,3%, Dyslipidämie 53,7%, Diabetes 19,8%. Signifikante Geschlechts- und Altersunterschiede: Frauen hatten höheren Körperfettanteil (PBF) und niedrigere Skelettmuskelmasse (SMM), Personen ≥75 Jahre niedrigere SMM und höheres PBF. Multivariate Regressionen zeigten: höheres PBF und höheres Viszeralfett (VFL) unabhängig mit Hypertonie assoziiert; niedrigere SMM und höheres PBF mit Dyslipidämie; höheres PBF, niedrigere SMM und höherer Rumpffettanteil mit Diabetes. Assoziationen zeigten Heterogenität nach Geschlecht und Alter: Überschüssiges Körperfett prominenter bei Frauen, niedrige SMM stärker bei älteren Altersgruppen.</w:t>
      </w:r>
    </w:p>
    <w:p>
      <w:r>
        <w:rPr>
          <w:b/>
          <w:sz w:val="19"/>
        </w:rPr>
        <w:t xml:space="preserve">Übertragbarkeit: </w:t>
      </w:r>
      <w:r>
        <w:rPr>
          <w:sz w:val="19"/>
        </w:rPr>
        <w:t>China; ähnliche demografische Struktur und Mehrfacherkrankungs-Muster wie alternde deutsche Bevölkerung.</w:t>
      </w:r>
    </w:p>
    <w:p>
      <w:r>
        <w:rPr>
          <w:color w:val="5A7D3A"/>
          <w:sz w:val="18"/>
        </w:rPr>
        <w:t>https://pubmed.ncbi.nlm.nih.gov/42851637/</w:t>
      </w:r>
    </w:p>
    <w:p>
      <w:pPr>
        <w:pStyle w:val="Heading2"/>
      </w:pPr>
      <w:r>
        <w:t>Nierenfunktionsstörung bei indigener Bevölkerung: Machine Learning identifiziert Hochrisiko-Profile für Screening</w:t>
      </w:r>
    </w:p>
    <w:p>
      <w:r>
        <w:rPr>
          <w:i/>
          <w:color w:val="666666"/>
          <w:sz w:val="18"/>
        </w:rPr>
        <w:t>Kshatri JS et al.  ·  Indian J Med Res  ·  Aug. 2026  ·  PMID 42851230</w:t>
      </w:r>
    </w:p>
    <w:p>
      <w:r>
        <w:t>Sekundäranalyse der Odisha Tribal Family Health Survey mit 19.703 erwachsenen Angehörigen von 53 indigenen Gemeinschaften zur Prävalenz eingeschränkter Nierenfunktion (eGFR &lt;90) und Entwicklung von Deep-Neural-Network- und XGBoost-Vorhersagemodellen.</w:t>
      </w:r>
    </w:p>
    <w:p>
      <w:r>
        <w:rPr>
          <w:b/>
        </w:rPr>
        <w:t xml:space="preserve">Ergebnis: </w:t>
      </w:r>
      <w:r>
        <w:t>Gesamtprävalenz eingeschränkter Nierenfunktion 24,8% (95%-KI 23,8-25,9): davon 16,6% mild, 6,4% moderat, 1,5% schwer, 0,3% Nierenversagen. Prävalenz stieg mit Alter (5,6% bei 18-30 Jahren vs. 79,4% bei &gt;70 Jahren). Deep-Neural-Network-Modell: Genauigkeit 0,78, Recall 0,69 (verbessert auf 0,78 bei Schwellenwert 0,4). SHAP-Analyse identifizierte Alter, Hypertonie, Diabetes, Tabak- und Alkoholkonsum sowie niedrige Ernährungsdiversität als Schlüsselprädikatoren. Decision-Curve-Analyse deutete auf Nutzen ML-basierter gezielter Screenings hin.</w:t>
      </w:r>
    </w:p>
    <w:p>
      <w:r>
        <w:rPr>
          <w:b/>
          <w:sz w:val="19"/>
        </w:rPr>
        <w:t xml:space="preserve">Übertragbarkeit: </w:t>
      </w:r>
      <w:r>
        <w:rPr>
          <w:sz w:val="19"/>
        </w:rPr>
        <w:t>Südasien mit extremem Ressourcenmangel; ML-Modelle könnten auch in ähnlich ressourcenlimitierten deutschen Settings (ländliche Regionen) einsetzbar sein.</w:t>
      </w:r>
    </w:p>
    <w:p>
      <w:r>
        <w:rPr>
          <w:color w:val="5A7D3A"/>
          <w:sz w:val="18"/>
        </w:rPr>
        <w:t>https://pubmed.ncbi.nlm.nih.gov/42851230/</w:t>
      </w:r>
    </w:p>
    <w:p>
      <w:pPr>
        <w:pStyle w:val="Heading2"/>
      </w:pPr>
      <w:r>
        <w:t>Post-Lyme-Syndrom nach Antibiotika: Kliniker identifizieren weniger Fälle als Patienten-Fragebögen</w:t>
      </w:r>
    </w:p>
    <w:p>
      <w:r>
        <w:rPr>
          <w:i/>
          <w:color w:val="666666"/>
          <w:sz w:val="18"/>
        </w:rPr>
        <w:t>Yu H et al.  ·  Pathogens  ·  01.08.2026  ·  PMID 42654748</w:t>
      </w:r>
    </w:p>
    <w:p>
      <w:r>
        <w:t>Prospektive europäische Multiländer-Studie (Frankreich, Deutschland, Polen, Österreich, Skandinavien, Slowenien) zur Prävalenz und Klassifikation von Post-Behandlungs-Lyme-Borreliose-Syndrom (PTLDS) anhand klinischer Bewertung versus Patient-Reported Outcomes (n=242 mit kompletter Antibiotikabehandlung).</w:t>
      </w:r>
    </w:p>
    <w:p>
      <w:r>
        <w:rPr>
          <w:b/>
        </w:rPr>
        <w:t xml:space="preserve">Ergebnis: </w:t>
      </w:r>
      <w:r>
        <w:t>299 Patienten (40,9%) berichteten ≥1 Symptom (Müdigkeit, Muskel-Skelett-Schmerz oder kognitives Defizit) 10 Monate nach Diagnose. 15 Patienten (6,2%) erfüllten PTLDS-Kriterien nach klinischer oder Fragebogen-Bewertung; 4 (1,7%) erfüllten beide Kriterien. Fragebogen-PTLDS und Patienten mit persistierenden Symptomen berichteten höhere Symptomschweregrad und schlechtere physische Funktion als klinisch diagnostiziertes PTLDS, was darauf hindeutet, dass unterschiedliche Bewertungsmethoden teilweise unterschiedliche Patientengruppen erfassen.</w:t>
      </w:r>
    </w:p>
    <w:p>
      <w:r>
        <w:rPr>
          <w:b/>
          <w:sz w:val="19"/>
        </w:rPr>
        <w:t xml:space="preserve">Übertragbarkeit: </w:t>
      </w:r>
      <w:r>
        <w:rPr>
          <w:sz w:val="19"/>
        </w:rPr>
        <w:t>Europäische Mehrzenterdaten; direkt auf Deutschland und deutschsprachigen Raum übertragbar.</w:t>
      </w:r>
    </w:p>
    <w:p>
      <w:r>
        <w:rPr>
          <w:color w:val="5A7D3A"/>
          <w:sz w:val="18"/>
        </w:rPr>
        <w:t>https://pubmed.ncbi.nlm.nih.gov/42654748/</w:t>
      </w:r>
    </w:p>
    <w:p>
      <w:pPr>
        <w:pStyle w:val="Heading2"/>
      </w:pPr>
      <w:r>
        <w:t>Erektile Dysfunktion bei COPD: 87,5% Prävalenz; Dyslipidämie und Airflow-Limitation sind unabhängige Prädiktoren</w:t>
      </w:r>
    </w:p>
    <w:p>
      <w:r>
        <w:rPr>
          <w:i/>
          <w:color w:val="666666"/>
          <w:sz w:val="18"/>
        </w:rPr>
        <w:t>Alcalá-Rivera N et al.  ·  Rev Assoc Med Bras (1992)  ·  07.08.2026  ·  PMID 42585471</w:t>
      </w:r>
    </w:p>
    <w:p>
      <w:r>
        <w:t>Spanische Querschnittsstudie mit 120 männlichen COPD-Patienten zur Erfassung sexueller Funktionsstörungen mittels International Index of Erectile Function (IIEF ≤16 als klinisch signifikant).</w:t>
      </w:r>
    </w:p>
    <w:p>
      <w:r>
        <w:rPr>
          <w:b/>
        </w:rPr>
        <w:t xml:space="preserve">Ergebnis: </w:t>
      </w:r>
      <w:r>
        <w:t>113 Patienten (94,2%) berichteten Veränderungen ihrer Sexualfunktion, 42 (36%) waren unzufrieden. Erektile Dysfunktion-Prävalenz 87,5% (mild 27,5%, mild-moderat 21,7%, moderat 17,5%, schwer 20,8%). Hauptursachen laut Patientenaussage: Grunderkrankung (53,3%), Medikamente (20,8%), psychische Probleme (20%). Multivariate Analyse: Dyslipidämie (OR 4,03; 95%-KI 1,43-11,36; p=0,008) und verminderte %pFEV1 (OR 0,937; 95%-KI 0,906-0,968; p&lt;0,001) waren unabhängige Prädiktoren für klinisch signifikante erektile Dysfunktion.</w:t>
      </w:r>
    </w:p>
    <w:p>
      <w:r>
        <w:rPr>
          <w:b/>
          <w:sz w:val="19"/>
        </w:rPr>
        <w:t xml:space="preserve">Übertragbarkeit: </w:t>
      </w:r>
      <w:r>
        <w:rPr>
          <w:sz w:val="19"/>
        </w:rPr>
        <w:t>Südeuropa, vergleichbare COPD-Versorgungsstrukturen; sexuelle Gesundheit als unterschätzte Komponente chronischer Erkrankungen in der Praxis.</w:t>
      </w:r>
    </w:p>
    <w:p>
      <w:r>
        <w:rPr>
          <w:color w:val="5A7D3A"/>
          <w:sz w:val="18"/>
        </w:rPr>
        <w:t>https://pubmed.ncbi.nlm.nih.gov/42585471/</w:t>
      </w:r>
    </w:p>
    <w:p>
      <w:pPr>
        <w:pStyle w:val="Heading1"/>
      </w:pPr>
      <w:r>
        <w:t>Aufgenommen am 11.10.2026</w:t>
      </w:r>
    </w:p>
    <w:p>
      <w:pPr>
        <w:pStyle w:val="Heading2"/>
      </w:pPr>
      <w:r>
        <w:t>Urin-Dipstick-Test verbessert CKD-Screening durch Albumin-Kreatinin-Ratio</w:t>
      </w:r>
    </w:p>
    <w:p>
      <w:r>
        <w:rPr>
          <w:i/>
          <w:color w:val="666666"/>
          <w:sz w:val="18"/>
        </w:rPr>
        <w:t>Samaan F et al.  ·  BMC Nephrol  ·  03.09.2026  ·  PMID 42855677</w:t>
      </w:r>
    </w:p>
    <w:p>
      <w:r>
        <w:t>Brasilianische Pilotvalidierungsstudie an 410 Erwachsenen mit ≥1 CKD-Risikofaktor; Vergleich von zwei kommerziellen Urin-Dipsticks (Gesamtprotein vs. Albumin-Kreatinin-Ratio) gegen Referenzstandard quantitative UACR.</w:t>
      </w:r>
    </w:p>
    <w:p>
      <w:r>
        <w:rPr>
          <w:b/>
        </w:rPr>
        <w:t xml:space="preserve">Ergebnis: </w:t>
      </w:r>
      <w:r>
        <w:t>Albumin-Kreatinin-Dipstick (S12) zeigte höhere Sensitivität als Gesamtprotein-Dipstick (S10) für UACR ≥30 mg/g: 95% (95%-CI 92–98%) vs. 64% (57–71%; p&lt;0,001), für UACR 30–300 mg/g 56% vs. 36% (p=0,009), für UACR &gt;300 mg/g 95% vs. 79% (p=0,001). Hochrechnung auf 777.096 jährliche Routinetests: Ersatz würde 12.045 falsch-negative Fälle (86%) mit UACR ≥30 mg/g verhindern.</w:t>
      </w:r>
    </w:p>
    <w:p>
      <w:r>
        <w:rPr>
          <w:b/>
          <w:sz w:val="19"/>
        </w:rPr>
        <w:t xml:space="preserve">Übertragbarkeit: </w:t>
      </w:r>
      <w:r>
        <w:rPr>
          <w:sz w:val="19"/>
        </w:rPr>
        <w:t>Brasilien, private Krankenversicherung; Screening-Ansatz auf primärversorgende Strukturen übertragbar</w:t>
      </w:r>
    </w:p>
    <w:p>
      <w:r>
        <w:rPr>
          <w:color w:val="5A7D3A"/>
          <w:sz w:val="18"/>
        </w:rPr>
        <w:t>https://pubmed.ncbi.nlm.nih.gov/42855677/</w:t>
      </w:r>
    </w:p>
    <w:p>
      <w:pPr>
        <w:pStyle w:val="Heading2"/>
      </w:pPr>
      <w:r>
        <w:t>Semaglutid plus Dapagliflozin senkt HbA1c und Proteinurie bei Diabetes und CKD</w:t>
      </w:r>
    </w:p>
    <w:p>
      <w:r>
        <w:rPr>
          <w:i/>
          <w:color w:val="666666"/>
          <w:sz w:val="18"/>
        </w:rPr>
        <w:t>Gong C et al.  ·  Medicine (Baltimore)  ·  09.10.2026  ·  PMID 42854065</w:t>
      </w:r>
    </w:p>
    <w:p>
      <w:r>
        <w:t>Retrospektive chinesische Beobachtungsstudie an 126 Patienten mit Typ-2-Diabetes und CKD; Vergleich von Monotherapien (Semaglutid oder Dapagliflozin) mit Kombinationstherapie über 8 Wochen; Messung von Glukoseindizes, Nierenfunktion und Entzündungsmarkern.</w:t>
      </w:r>
    </w:p>
    <w:p>
      <w:r>
        <w:rPr>
          <w:b/>
        </w:rPr>
        <w:t xml:space="preserve">Ergebnis: </w:t>
      </w:r>
      <w:r>
        <w:t>Kombinationstherapie zeigte signifikant stärkere Reduktionen: HbA1c -1,8% (Kombination) vs. -1,2% (Monotherapie), 24-h-Proteinurie -0,42 g/Tag (Kombination) vs. -0,28 g/Tag (Monotherapie), IL-6 und CRP stärker gesenkt. Klinische Ansprechrate höher in Kombinationsgruppe. Keine erhöhten Nebenwirkungen nach 8 Wochen. Befunde begrenzt durch retrospektives Design und kurze Beobachtungsdauer.</w:t>
      </w:r>
    </w:p>
    <w:p>
      <w:r>
        <w:rPr>
          <w:b/>
          <w:sz w:val="19"/>
        </w:rPr>
        <w:t xml:space="preserve">Übertragbarkeit: </w:t>
      </w:r>
      <w:r>
        <w:rPr>
          <w:sz w:val="19"/>
        </w:rPr>
        <w:t>China, ähnliche Mehrfacherkrankungen; kurze Beobachtung, längerfristige Effekte unklar</w:t>
      </w:r>
    </w:p>
    <w:p>
      <w:r>
        <w:rPr>
          <w:color w:val="5A7D3A"/>
          <w:sz w:val="18"/>
        </w:rPr>
        <w:t>https://pubmed.ncbi.nlm.nih.gov/42854065/</w:t>
      </w:r>
    </w:p>
    <w:p>
      <w:pPr>
        <w:pStyle w:val="Heading2"/>
      </w:pPr>
      <w:r>
        <w:t>Lungenvolumenreduktion bei Antikoagulation sicher durchführbar</w:t>
      </w:r>
    </w:p>
    <w:p>
      <w:r>
        <w:rPr>
          <w:i/>
          <w:color w:val="666666"/>
          <w:sz w:val="18"/>
        </w:rPr>
        <w:t>Aleem MS et al.  ·  COPD  ·  27.09.2026  ·  PMID 42852569</w:t>
      </w:r>
    </w:p>
    <w:p>
      <w:r>
        <w:t>Retrospektive US-Datenbankanalyse der National Inpatient Sample (2016–2023) an 16.340 gewichteten Bronchoskopie-Hospitalisierungen mit Lungenvolumenreduktion; 7,8% erhielten chronische Antikoagulation; Vergleich von Blutungs- und anderen Komplikationen.</w:t>
      </w:r>
    </w:p>
    <w:p>
      <w:r>
        <w:rPr>
          <w:b/>
        </w:rPr>
        <w:t xml:space="preserve">Ergebnis: </w:t>
      </w:r>
      <w:r>
        <w:t>Antikoagulierte Patienten: Hämothorax 2,7% vs. 1,1% (nicht-antikoaguliert), Lungenblutung 7,1% vs. 4,7%, jedoch nach multivariater Analyse kein signifikanter unabhängiger Unterschied. Keine signifikanten Unterschiede in Mortalität, Pneumothorax oder Krankenhausverweildauer. Die Studie zeigt, dass Lungenvolumenreduktion auch bei antikoagulierten COPD-Patienten mit vergleichbaren Kurzzeitergebnissen durchführbar ist.</w:t>
      </w:r>
    </w:p>
    <w:p>
      <w:r>
        <w:rPr>
          <w:b/>
          <w:sz w:val="19"/>
        </w:rPr>
        <w:t xml:space="preserve">Übertragbarkeit: </w:t>
      </w:r>
      <w:r>
        <w:rPr>
          <w:sz w:val="19"/>
        </w:rPr>
        <w:t>USA-Krankenhauskodierungsdaten; Procedere übertragbar, Finanzierungsstrukturen unterscheiden sich</w:t>
      </w:r>
    </w:p>
    <w:p>
      <w:r>
        <w:rPr>
          <w:color w:val="5A7D3A"/>
          <w:sz w:val="18"/>
        </w:rPr>
        <w:t>https://pubmed.ncbi.nlm.nih.gov/42852569/</w:t>
      </w:r>
    </w:p>
    <w:p>
      <w:pPr>
        <w:pStyle w:val="Heading2"/>
      </w:pPr>
      <w:r>
        <w:t>Symptombelastung und Exazerbationen prägen Lebensqualität bei Alpha-1-Antitrypsinmangel</w:t>
      </w:r>
    </w:p>
    <w:p>
      <w:r>
        <w:rPr>
          <w:i/>
          <w:color w:val="666666"/>
          <w:sz w:val="18"/>
        </w:rPr>
        <w:t>Aljama C et al.  ·  Pulmonology  ·  07.10.2026  ·  PMID 42841174</w:t>
      </w:r>
    </w:p>
    <w:p>
      <w:r>
        <w:t>Europäische Querschnittsstudie aus dem EARCO-Register an 1710 Pi*ZZ-Patienten; Messung der gesundheitsbezogenen Lebensqualität (EQ-5D); Identifikation von Faktoren, die Lebensqualität beeinflussen.</w:t>
      </w:r>
    </w:p>
    <w:p>
      <w:r>
        <w:rPr>
          <w:b/>
        </w:rPr>
        <w:t xml:space="preserve">Ergebnis: </w:t>
      </w:r>
      <w:r>
        <w:t>Mittleres EQ-5D-Index 0,82±0,22; Patienten mit COPD hatten signifikant schlechtere Werte (0,75±0,24 vs. 0,90±0,16; p&lt;0,001). In multivariater Analyse: höhere Symptombelastung (CAT, mMRC), Langzeitsauerstofftherapie, Arbeitslosigkeit, Exazerbationen, Bronchiektasen und niedrigeres Bildungsniveau waren unabhängig mit schlechterer Lebensqualität assoziiert. Symptombelastung und Exazerbationen waren stärkere Determinanten der Lebensqualität als Lungenfunktion allein.</w:t>
      </w:r>
    </w:p>
    <w:p>
      <w:r>
        <w:rPr>
          <w:b/>
          <w:sz w:val="19"/>
        </w:rPr>
        <w:t xml:space="preserve">Übertragbarkeit: </w:t>
      </w:r>
      <w:r>
        <w:rPr>
          <w:sz w:val="19"/>
        </w:rPr>
        <w:t>Europäische Multizenterstudie (Spanien, Schweden, UK, Dänemark, Schweiz, Portugal, Italien, Frankreich, Tschechien), vergleichbare Gesundheitssysteme</w:t>
      </w:r>
    </w:p>
    <w:p>
      <w:r>
        <w:rPr>
          <w:color w:val="5A7D3A"/>
          <w:sz w:val="18"/>
        </w:rPr>
        <w:t>https://pubmed.ncbi.nlm.nih.gov/42841174/</w:t>
      </w:r>
    </w:p>
    <w:p>
      <w:pPr>
        <w:pStyle w:val="Heading2"/>
      </w:pPr>
      <w:r>
        <w:t>KRT verbesserte Überleben bei über 80-jährigen mit fortgeschrittener Nierenerkrankung</w:t>
      </w:r>
    </w:p>
    <w:p>
      <w:r>
        <w:rPr>
          <w:i/>
          <w:color w:val="666666"/>
          <w:sz w:val="18"/>
        </w:rPr>
        <w:t>Gómez-Rojas I et al.  ·  J Nephrol  ·  10.10.2026  ·  PMID 42634179</w:t>
      </w:r>
    </w:p>
    <w:p>
      <w:r>
        <w:t>Spanische Multizenterstudie an 492 Patienten über 80 Jahren mit eGFR &lt;15 mL/min/1,73 m², die konservative Therapie oder Nierenersatztherapie erhielten; Vergleich von Sterblichkeit und Krankenhausaufenthalten.</w:t>
      </w:r>
    </w:p>
    <w:p>
      <w:r>
        <w:rPr>
          <w:b/>
        </w:rPr>
        <w:t xml:space="preserve">Ergebnis: </w:t>
      </w:r>
      <w:r>
        <w:t>262 Patienten (53,3%) wählten konservative Therapie, 230 (46,7%) begannen Nierenersatztherapie. Konservative Therapie war unabhängig mit höherer Mortalität assoziiert (HR 2,554; p&lt;0,001). Bei geplanter (nicht dringlicher) Nierenersatztherapie bessere Prognose als bei dringlicher Einleitung. Bei erwarteter Überlebensdauer &lt;12 Monate ähnliche Ergebnisse in beiden Gruppen. Die Studie zeigt, dass strukturierte Nierenersatztherapie auch bei sehr alten Patienten mit fortgeschrittener CKD Überlebensvorteil bringt, sofern nicht dringlich eingeleitet.</w:t>
      </w:r>
    </w:p>
    <w:p>
      <w:r>
        <w:rPr>
          <w:b/>
          <w:sz w:val="19"/>
        </w:rPr>
        <w:t xml:space="preserve">Übertragbarkeit: </w:t>
      </w:r>
      <w:r>
        <w:rPr>
          <w:sz w:val="19"/>
        </w:rPr>
        <w:t>Spanische Klinikdaten, vergleichbares Versicherungssystem zur deutschen Versorgung</w:t>
      </w:r>
    </w:p>
    <w:p>
      <w:r>
        <w:rPr>
          <w:color w:val="5A7D3A"/>
          <w:sz w:val="18"/>
        </w:rPr>
        <w:t>https://pubmed.ncbi.nlm.nih.gov/42634179/</w:t>
      </w:r>
    </w:p>
    <w:p>
      <w:pPr>
        <w:pStyle w:val="Heading2"/>
      </w:pPr>
      <w:r>
        <w:t>Self-Management bei Nierenerkrankung: Hürden im NHS-System</w:t>
      </w:r>
    </w:p>
    <w:p>
      <w:r>
        <w:rPr>
          <w:i/>
          <w:color w:val="666666"/>
          <w:sz w:val="18"/>
        </w:rPr>
        <w:t>Patel NA et al.  ·  J Nephrol  ·  10.10.2026  ·  PMID 42598916</w:t>
      </w:r>
    </w:p>
    <w:p>
      <w:r>
        <w:t>Qualitative Studie mit 42 UK-Fachkräften des NHS zu deren Sicht auf Self-Management-Unterstützung bei Nierenerkrankung; Erkundung von Barrieren und Ressourcenbedarf in der Routinepraxis.</w:t>
      </w:r>
    </w:p>
    <w:p>
      <w:r>
        <w:rPr>
          <w:b/>
        </w:rPr>
        <w:t xml:space="preserve">Ergebnis: </w:t>
      </w:r>
      <w:r>
        <w:t>Vier übergeordnete Themen identifiziert: (1) Unzureichende Unterstützung durch NHS-Struktur für Self-Management, (2) Notwendigkeit personalisierter Ansätze, (3) Mangel an zugänglichen Self-Management-Ressourcen, (4) Forderung nach Gesundheitsgerechtigkeit. Fachkräfte berichten, dass strukturierte, evidenzbasierte Interventionen für Self-Management fehlen und dass individuelle Bedürfnisse nicht adäquat berücksichtigt werden.</w:t>
      </w:r>
    </w:p>
    <w:p>
      <w:r>
        <w:rPr>
          <w:b/>
          <w:sz w:val="19"/>
        </w:rPr>
        <w:t xml:space="preserve">Übertragbarkeit: </w:t>
      </w:r>
      <w:r>
        <w:rPr>
          <w:sz w:val="19"/>
        </w:rPr>
        <w:t>Großbritannien, NHS-System; Koordinierungsprobleme sind übertragbar auf deutsche Praxen</w:t>
      </w:r>
    </w:p>
    <w:p>
      <w:r>
        <w:rPr>
          <w:color w:val="5A7D3A"/>
          <w:sz w:val="18"/>
        </w:rPr>
        <w:t>https://pubmed.ncbi.nlm.nih.gov/42598916/</w:t>
      </w:r>
    </w:p>
    <w:p>
      <w:pPr>
        <w:pStyle w:val="Heading1"/>
      </w:pPr>
      <w:r>
        <w:t>Aufgenommen am 10.10.2026</w:t>
      </w:r>
    </w:p>
    <w:p>
      <w:pPr>
        <w:pStyle w:val="Heading2"/>
      </w:pPr>
      <w:r>
        <w:t>Kognitive Verhaltenstherapie reduzierte Müdigkeit und verbesserte Funktionsfähigkeit bei CFS nachhaltig</w:t>
      </w:r>
    </w:p>
    <w:p>
      <w:r>
        <w:rPr>
          <w:i/>
          <w:color w:val="666666"/>
          <w:sz w:val="18"/>
        </w:rPr>
        <w:t>Jiang X et al.  ·  Medicine (Baltimore)  ·  09.10.2026  ·  PMID 42854071</w:t>
      </w:r>
    </w:p>
    <w:p>
      <w:r>
        <w:t>Systematische Übersicht und Metaanalyse von 15 randomisierten Studien mit 2.270 CFS-Patienten prüfte Langzeiteffektivität von kognitiver Verhaltenstherapie auf Müdigkeit und Lebensqualität.</w:t>
      </w:r>
    </w:p>
    <w:p>
      <w:r>
        <w:rPr>
          <w:b/>
        </w:rPr>
        <w:t xml:space="preserve">Ergebnis: </w:t>
      </w:r>
      <w:r>
        <w:t>CBT reduzierte Müdigkeit postinterventionell (Chalder: SMD −0,44; KI −0,57 bis −0,32), verbesserte körperliche Funktionsfähigkeit (SMD 0,32; KI 0,23–0,41) und Psyche (Symptom Checklist 90: SMD −0,44). Nutzen blieben in Kurz- (≤6 Monate) und Langzeitfolge (6–24 Monate) bestehen (Müdigkeit SMD −0,35; KI −0,50 bis −0,19). Keine signifikanten Nebenwirkungen.</w:t>
      </w:r>
    </w:p>
    <w:p>
      <w:r>
        <w:rPr>
          <w:b/>
          <w:sz w:val="19"/>
        </w:rPr>
        <w:t xml:space="preserve">Übertragbarkeit: </w:t>
      </w:r>
      <w:r>
        <w:rPr>
          <w:sz w:val="19"/>
        </w:rPr>
        <w:t>Metaanalyse internationaler Studien, Versorgungsevidenz, psychologische Verfahren</w:t>
      </w:r>
    </w:p>
    <w:p>
      <w:r>
        <w:rPr>
          <w:color w:val="5A7D3A"/>
          <w:sz w:val="18"/>
        </w:rPr>
        <w:t>https://pubmed.ncbi.nlm.nih.gov/42854071/</w:t>
      </w:r>
    </w:p>
    <w:p>
      <w:pPr>
        <w:pStyle w:val="Heading2"/>
      </w:pPr>
      <w:r>
        <w:t>Therapeutische Rahmenbedingungen für ME/CFS: Validierung und Vertrauensbildung durch erlebte Verbesserung</w:t>
      </w:r>
    </w:p>
    <w:p>
      <w:r>
        <w:rPr>
          <w:i/>
          <w:color w:val="666666"/>
          <w:sz w:val="18"/>
        </w:rPr>
        <w:t>Bakken AK et al.  ·  Int J Qual Stud Health Well-being  ·  31.12.2026  ·  PMID 42853299</w:t>
      </w:r>
    </w:p>
    <w:p>
      <w:r>
        <w:t>Reflexive Themenanalyse von Fokusgruppen und Interviews mit 16 Fachpersonen aus 5 Berufen, die mit psychologisch-verhaltenswissenschaftlichen Methoden ME/CFS-Patienten behandeln.</w:t>
      </w:r>
    </w:p>
    <w:p>
      <w:r>
        <w:rPr>
          <w:b/>
        </w:rPr>
        <w:t xml:space="preserve">Ergebnis: </w:t>
      </w:r>
      <w:r>
        <w:t>Vier Kernthemen: (1) Patienten in ‚Niemandsland' treffen (Unsicherheitstoleranz), (2) erklärende ‚Karte' anbieten (Integration biologisch-psychosozial), (3) danach navigieren (Regulationsstörung vs. maladaptives Lernen), (4) Vertrauen bewahren (kontrastive Krankheitserzählungen). Validierung und Agenzystärkung zentral; körperlich erlebte Verbesserung kritisch für Vertrauensaufbau.</w:t>
      </w:r>
    </w:p>
    <w:p>
      <w:r>
        <w:rPr>
          <w:b/>
          <w:sz w:val="19"/>
        </w:rPr>
        <w:t xml:space="preserve">Übertragbarkeit: </w:t>
      </w:r>
      <w:r>
        <w:rPr>
          <w:sz w:val="19"/>
        </w:rPr>
        <w:t>Qualitative Versorgungsforschung, Norwegen, Anwendbarkeit für Patient-Provider-Modelle</w:t>
      </w:r>
    </w:p>
    <w:p>
      <w:r>
        <w:rPr>
          <w:color w:val="5A7D3A"/>
          <w:sz w:val="18"/>
        </w:rPr>
        <w:t>https://pubmed.ncbi.nlm.nih.gov/42853299/</w:t>
      </w:r>
    </w:p>
    <w:p>
      <w:pPr>
        <w:pStyle w:val="Heading2"/>
      </w:pPr>
      <w:r>
        <w:t>Schwangerschaftskomplikationen erhöhen Risiko für Herz-, Nieren- und Stoffwechselerkrankungen deutlich</w:t>
      </w:r>
    </w:p>
    <w:p>
      <w:r>
        <w:rPr>
          <w:i/>
          <w:color w:val="666666"/>
          <w:sz w:val="18"/>
        </w:rPr>
        <w:t>Wambua S et al.  ·  BMJ Med  ·  06.10.2026  ·  PMID 42851766</w:t>
      </w:r>
    </w:p>
    <w:p>
      <w:r>
        <w:t>Kohortenstudie mit 1,4 Millionen Frauen in England untersuchte, ob Schwangerschaftskomplikationen das spätere Risiko für Herz-Kreislauf-, Stoffwechsel- und Nierenerkrankungen erhöhen.</w:t>
      </w:r>
    </w:p>
    <w:p>
      <w:r>
        <w:rPr>
          <w:b/>
        </w:rPr>
        <w:t xml:space="preserve">Ergebnis: </w:t>
      </w:r>
      <w:r>
        <w:t>Gestationshypertonie und Präeklampsie verdreifachten das Hypertonierisiko und verdoppelten das Nierenerkrankungsrisiko. Gestationsdiabetes erhöhte das Typ-2-Diabetes-Risiko um das Siebenfache. Postnatale Depression erhöhte alle vier Endpunkte um 35–56 % (z. B. Hypertonie HR 1,36; KI 1,33–1,40). Diese Erkenntnisse ermöglichen Früherkennung von Frauen mit hohem Risiko.</w:t>
      </w:r>
    </w:p>
    <w:p>
      <w:r>
        <w:rPr>
          <w:b/>
          <w:sz w:val="19"/>
        </w:rPr>
        <w:t xml:space="preserve">Übertragbarkeit: </w:t>
      </w:r>
      <w:r>
        <w:rPr>
          <w:sz w:val="19"/>
        </w:rPr>
        <w:t>UK-Daten, vergleichbare GKV-Dokumentation, prädiktive Stratifizierung möglich</w:t>
      </w:r>
    </w:p>
    <w:p>
      <w:r>
        <w:rPr>
          <w:color w:val="5A7D3A"/>
          <w:sz w:val="18"/>
        </w:rPr>
        <w:t>https://pubmed.ncbi.nlm.nih.gov/42851766/</w:t>
      </w:r>
    </w:p>
    <w:p>
      <w:pPr>
        <w:pStyle w:val="Heading2"/>
      </w:pPr>
      <w:r>
        <w:t>Schwedisches Nierenchronikerregister: Echtzeit-Überwachung der Nierenersatztherapie auf nationaler Ebene</w:t>
      </w:r>
    </w:p>
    <w:p>
      <w:r>
        <w:rPr>
          <w:i/>
          <w:color w:val="666666"/>
          <w:sz w:val="18"/>
        </w:rPr>
        <w:t>Rydell H et al.  ·  Lakartidningen  ·  08.10.2026  ·  PMID 42847836</w:t>
      </w:r>
    </w:p>
    <w:p>
      <w:r>
        <w:t>Beschreibung des schwedischen Nierenregisters, das über 90.000 Patienten vom Diagnosebereich bis zur Transplantation verfolgt und als Versorgungsmonitor fungiert.</w:t>
      </w:r>
    </w:p>
    <w:p>
      <w:r>
        <w:rPr>
          <w:b/>
        </w:rPr>
        <w:t xml:space="preserve">Ergebnis: </w:t>
      </w:r>
      <w:r>
        <w:t>Das Register erfasst alle 9 Nephrologieabteilungen Schwedens mit hoher Datenqualität. Es ermöglicht Echtzeitüberwachung fortlaufender therapeutischer Entwicklungen – etwa rasch evolvierende Anti-CKD-Therapien und spezifische Diagnose-Therapien – und identifiziert Versorgungslücken systematisch.</w:t>
      </w:r>
    </w:p>
    <w:p>
      <w:r>
        <w:rPr>
          <w:b/>
          <w:sz w:val="19"/>
        </w:rPr>
        <w:t xml:space="preserve">Übertragbarkeit: </w:t>
      </w:r>
      <w:r>
        <w:rPr>
          <w:sz w:val="19"/>
        </w:rPr>
        <w:t>Skandinavien, hochstrukturiertes nationales Register, Modell für Versorgungsmonitoring</w:t>
      </w:r>
    </w:p>
    <w:p>
      <w:r>
        <w:rPr>
          <w:color w:val="5A7D3A"/>
          <w:sz w:val="18"/>
        </w:rPr>
        <w:t>https://pubmed.ncbi.nlm.nih.gov/42847836/</w:t>
      </w:r>
    </w:p>
    <w:p>
      <w:pPr>
        <w:pStyle w:val="Heading2"/>
      </w:pPr>
      <w:r>
        <w:t>ME/CFS zeigt latente physiologische Dysregulation über Atemwegs-, kardiovaskuläre und Thermoregulationsstörungen</w:t>
      </w:r>
    </w:p>
    <w:p>
      <w:r>
        <w:rPr>
          <w:i/>
          <w:color w:val="666666"/>
          <w:sz w:val="18"/>
        </w:rPr>
        <w:t>Habermann-Horstmeier L et al.  ·  J Transl Med  ·  28.09.2026  ·  PMID 42806383</w:t>
      </w:r>
    </w:p>
    <w:p>
      <w:r>
        <w:t>Querschnittsanalyse von 736 ME/CFS-Patienten untersuchte, wie Muskelprobleme mit anderen Symptomdomänen verknüpft sind und ob ein gemeinsamer pathophysiologischer Faktor dahintersteckt.</w:t>
      </w:r>
    </w:p>
    <w:p>
      <w:r>
        <w:rPr>
          <w:b/>
        </w:rPr>
        <w:t xml:space="preserve">Ergebnis: </w:t>
      </w:r>
      <w:r>
        <w:t>Faktorenanalyse identifizierte einen latenten physiologischen Dysregulationsfaktor, dem Atemwegs-, Herz-Kreislauf-, Thermoregulations-, visuelle und grippeähnliche Symptome zuzurechnen sind (RMSEA 0,046, CFI 0,971). Muskelprobleme waren unabhängig mit Atembeschwerden (OR 2,49), Grippeähnlichkeit (OR 1,97) und Temperaturstörungen (OR 1,97) assoziiert. Befund unterstützt multiorganbeteiligung statt Einzelsymptomfokus.</w:t>
      </w:r>
    </w:p>
    <w:p>
      <w:r>
        <w:rPr>
          <w:b/>
          <w:sz w:val="19"/>
        </w:rPr>
        <w:t xml:space="preserve">Übertragbarkeit: </w:t>
      </w:r>
      <w:r>
        <w:rPr>
          <w:sz w:val="19"/>
        </w:rPr>
        <w:t>Deutschland, Patientenregister, zeigt Mehrfacherkrankung als Kernmerkmal</w:t>
      </w:r>
    </w:p>
    <w:p>
      <w:r>
        <w:rPr>
          <w:color w:val="5A7D3A"/>
          <w:sz w:val="18"/>
        </w:rPr>
        <w:t>https://pubmed.ncbi.nlm.nih.gov/42806383/</w:t>
      </w:r>
    </w:p>
    <w:p>
      <w:pPr>
        <w:pStyle w:val="Heading2"/>
      </w:pPr>
      <w:r>
        <w:t>SGLT2-Inhibitoren reduzierten kardiovaskuläre Ereignisse und Nierenersatztherapie um 20–33 %</w:t>
      </w:r>
    </w:p>
    <w:p>
      <w:r>
        <w:rPr>
          <w:i/>
          <w:color w:val="666666"/>
          <w:sz w:val="18"/>
        </w:rPr>
        <w:t>Österman J et al.  ·  Clin J Am Soc Nephrol  ·  01.10.2026  ·  PMID 42560763</w:t>
      </w:r>
    </w:p>
    <w:p>
      <w:r>
        <w:t>Schwedische Kohortenstudie mit 32.856 Nierenkranken in nephrologischer Betreuung untersuchte Wirkung von SGLT2-Inhibitoren auf kardiovaskuläre und renale Outcomes in der Praxis.</w:t>
      </w:r>
    </w:p>
    <w:p>
      <w:r>
        <w:rPr>
          <w:b/>
        </w:rPr>
        <w:t xml:space="preserve">Ergebnis: </w:t>
      </w:r>
      <w:r>
        <w:t>SGLT2-Inhibitor-Anwender hatten niedrigeres Risiko für Major Adverse Cardiovascular Events (OR 0,80; KI 0,71–0,91) und Nierenersatztherapie (OR 0,67; KI 0,52–0,85). Kein Unterschied bei Gesamtsterblichkeit. Effekte konsistent über Subgruppen. Randomisierte Studienergebnisse bestätigen sich in der Regelversorgung.</w:t>
      </w:r>
    </w:p>
    <w:p>
      <w:r>
        <w:rPr>
          <w:b/>
          <w:sz w:val="19"/>
        </w:rPr>
        <w:t xml:space="preserve">Übertragbarkeit: </w:t>
      </w:r>
      <w:r>
        <w:rPr>
          <w:sz w:val="19"/>
        </w:rPr>
        <w:t>Skandinavien, vergleichbares System, Routinedaten nephrologischer Zentren</w:t>
      </w:r>
    </w:p>
    <w:p>
      <w:r>
        <w:rPr>
          <w:color w:val="5A7D3A"/>
          <w:sz w:val="18"/>
        </w:rPr>
        <w:t>https://pubmed.ncbi.nlm.nih.gov/42560763/</w:t>
      </w:r>
    </w:p>
    <w:p>
      <w:pPr>
        <w:pStyle w:val="Heading1"/>
      </w:pPr>
      <w:r>
        <w:t>Aufgenommen am 09.10.2026</w:t>
      </w:r>
    </w:p>
    <w:p>
      <w:pPr>
        <w:pStyle w:val="Heading2"/>
      </w:pPr>
      <w:r>
        <w:t>Intersektionale Diskriminierung erhöht Stress und Alkoholkonsum bei Minderheiten</w:t>
      </w:r>
    </w:p>
    <w:p>
      <w:r>
        <w:rPr>
          <w:i/>
          <w:color w:val="666666"/>
          <w:sz w:val="18"/>
        </w:rPr>
        <w:t>Smith MS et al.  ·  Ann Behav Med  ·  07.01.2026  ·  PMID 42847391</w:t>
      </w:r>
    </w:p>
    <w:p>
      <w:r>
        <w:t>Zwei Querschnittsstudien mit insgesamt 1.181 sexuellen Minderheitenmännern of Color zum Zusammenhang zwischen intersektionaler Diskriminierung (Rassismus und Heterosexismus gleichzeitig) und kardiometabolischen Risikofaktoren.</w:t>
      </w:r>
    </w:p>
    <w:p>
      <w:r>
        <w:rPr>
          <w:b/>
        </w:rPr>
        <w:t xml:space="preserve">Ergebnis: </w:t>
      </w:r>
      <w:r>
        <w:t>Intersektionale Diskriminierung war unabhängig mit wahrgenommenem Stress und Alkoholkonsum assoziiert (beide p &lt;0,05), ebenso mit erhöhtem BMI. Dies zeigt, dass überlappende Diskriminierungserfahrungen Gesundheitsverhalten ungünstiger beeinflussen als einzelne Diskriminierungsformen.</w:t>
      </w:r>
    </w:p>
    <w:p>
      <w:r>
        <w:rPr>
          <w:b/>
          <w:sz w:val="19"/>
        </w:rPr>
        <w:t xml:space="preserve">Übertragbarkeit: </w:t>
      </w:r>
      <w:r>
        <w:rPr>
          <w:sz w:val="19"/>
        </w:rPr>
        <w:t>USA-Studie, Mechanismus aber auf alle Mehrfachdiskriminierungs-Settings übertragbar, Deutschland mit migrantischen Communities.</w:t>
      </w:r>
    </w:p>
    <w:p>
      <w:r>
        <w:rPr>
          <w:color w:val="5A7D3A"/>
          <w:sz w:val="18"/>
        </w:rPr>
        <w:t>https://pubmed.ncbi.nlm.nih.gov/42847391/</w:t>
      </w:r>
    </w:p>
    <w:p>
      <w:pPr>
        <w:pStyle w:val="Heading2"/>
      </w:pPr>
      <w:r>
        <w:t>Yoga verbesserte Nierenfunktion bei CKD-Stadien 3–4 um 6,94 mL/min/1,73m² innerhalb 12 Wochen</w:t>
      </w:r>
    </w:p>
    <w:p>
      <w:r>
        <w:rPr>
          <w:i/>
          <w:color w:val="666666"/>
          <w:sz w:val="18"/>
        </w:rPr>
        <w:t>Nair RG et al.  ·  Ann Behav Med  ·  07.01.2026  ·  PMID 42847350</w:t>
      </w:r>
    </w:p>
    <w:p>
      <w:r>
        <w:t>Randomisierte kontrollierte Studie mit 81 CKD-Patienten in Stadien 3 und 4 (diabetische oder hypertensive Ätiologie), die 12 Wochen lang Yoga-Praktiken (5 Stunden pro Woche) zusätzlich zur Standardbehandlung erhielten.</w:t>
      </w:r>
    </w:p>
    <w:p>
      <w:r>
        <w:rPr>
          <w:b/>
        </w:rPr>
        <w:t xml:space="preserve">Ergebnis: </w:t>
      </w:r>
      <w:r>
        <w:t>Yoga-Gruppe zeigte signifikante Verbesserungen: Serum-Kreatinin -0,42 (p=0,013), geschätzte glomeruläre Filtrationsrate +6,94 mL/min/1,73m² (p=0,030), Urin-Albumin-Kreatinin-Ratio -464,2 mg/g (p=0,029) und TGF-β1 -218,2 pg/mL (p=0,021). Mediationsanalyse zeigt reduziertes TGF-β1 als Wirkpfad.</w:t>
      </w:r>
    </w:p>
    <w:p>
      <w:r>
        <w:rPr>
          <w:b/>
          <w:sz w:val="19"/>
        </w:rPr>
        <w:t xml:space="preserve">Übertragbarkeit: </w:t>
      </w:r>
      <w:r>
        <w:rPr>
          <w:sz w:val="19"/>
        </w:rPr>
        <w:t>Indien, aber Intervention universell einsetzbar, Kosteneffektivität, geringe Implementierungsbarrieren.</w:t>
      </w:r>
    </w:p>
    <w:p>
      <w:r>
        <w:rPr>
          <w:color w:val="5A7D3A"/>
          <w:sz w:val="18"/>
        </w:rPr>
        <w:t>https://pubmed.ncbi.nlm.nih.gov/42847350/</w:t>
      </w:r>
    </w:p>
    <w:p>
      <w:pPr>
        <w:pStyle w:val="Heading2"/>
      </w:pPr>
      <w:r>
        <w:t>Community-basierte Co-Design-Studie zu nachhaltiger Gesundheit bei Jugendlichen in Kanada und Jamaika</w:t>
      </w:r>
    </w:p>
    <w:p>
      <w:r>
        <w:rPr>
          <w:i/>
          <w:color w:val="666666"/>
          <w:sz w:val="18"/>
        </w:rPr>
        <w:t>Stennett R et al.  ·  BMJ Open  ·  07.10.2026  ·  PMID 42843868</w:t>
      </w:r>
    </w:p>
    <w:p>
      <w:r>
        <w:t>Protokoll einer Multimethod-Community-Based-Participatory-Research-Studie zur Entwicklung einer Intervention für Jugendliche (15–25 Jahre) zu nachhaltigem Lebensstil und Prävention nichtübertragbarer Erkrankungen durch Umwelt- und Gesundheitsperspektiven in zwei Phasen (kontextuelle Kartierung, Co-Design).</w:t>
      </w:r>
    </w:p>
    <w:p>
      <w:r>
        <w:rPr>
          <w:b/>
        </w:rPr>
        <w:t xml:space="preserve">Ergebnis: </w:t>
      </w:r>
      <w:r>
        <w:t>Dies ist ein Studienprotokoll, das die Machbarkeit, Umsetzungstreue und kontextuelle Passung einer SHAL-Intervention (Sustainability Healthy Active Living) in equity-deserving Populationen untersuchen wird. Erkenntnisse werden zur Finalisierung der Intervention und zu Best-Practice-Wissenstransfer in Konferenzen und Workshops führen. Fokus auf Jugendliche als Change Agents in präventiven, umweltbezogenen Systemen.</w:t>
      </w:r>
    </w:p>
    <w:p>
      <w:r>
        <w:rPr>
          <w:b/>
          <w:sz w:val="19"/>
        </w:rPr>
        <w:t xml:space="preserve">Übertragbarkeit: </w:t>
      </w:r>
      <w:r>
        <w:rPr>
          <w:sz w:val="19"/>
        </w:rPr>
        <w:t>Kanada mit vergleichbarem Versicherungssystem, präventives Gesundheitssystem mit Fokus auf Lebensstil und Mehrfacherkrankungen.</w:t>
      </w:r>
    </w:p>
    <w:p>
      <w:r>
        <w:rPr>
          <w:color w:val="5A7D3A"/>
          <w:sz w:val="18"/>
        </w:rPr>
        <w:t>https://pubmed.ncbi.nlm.nih.gov/42843868/</w:t>
      </w:r>
    </w:p>
    <w:p>
      <w:pPr>
        <w:pStyle w:val="Heading2"/>
      </w:pPr>
      <w:r>
        <w:t>COPD-Symptommonitoring in Pulmonalrehabilitation sagte schwere Exazerbationen nicht zuverlässig voraus</w:t>
      </w:r>
    </w:p>
    <w:p>
      <w:r>
        <w:rPr>
          <w:i/>
          <w:color w:val="666666"/>
          <w:sz w:val="18"/>
        </w:rPr>
        <w:t>Machefert M et al.  ·  Pulmonology  ·  07.10.2026  ·  PMID 42841793</w:t>
      </w:r>
    </w:p>
    <w:p>
      <w:r>
        <w:t>Prospektive Multicenterstudie mit 128 stabilen COPD-Patienten in Erhaltungs-Pulmonalrehabilitationen in Frankreich über ein Jahr mit 4.200 dokumentierten Sitzungen zur Vorhersage schwerer Exazerbationen durch klinische und Belastungsparameter.</w:t>
      </w:r>
    </w:p>
    <w:p>
      <w:r>
        <w:rPr>
          <w:b/>
        </w:rPr>
        <w:t xml:space="preserve">Ergebnis: </w:t>
      </w:r>
      <w:r>
        <w:t>Von 128 Patienten erlebten 19 (14,8%) schwere Exazerbationen. Routinemäßig dokumentierte klinische Marker (COPD Assessment Test, modifizierte Borg-Skala, Belastungsleistung) zeigten begrenzte Vorhersagekraft (AUC 0,45–0,58, alle p&gt;0,1); schwache zeitliche Assoziationen zwischen Symptomen und Leistung. Dies unterstreicht Komplexität der Exazerbationen und Bedarf für digitales Multiparameter-Monitoring.</w:t>
      </w:r>
    </w:p>
    <w:p>
      <w:r>
        <w:rPr>
          <w:b/>
          <w:sz w:val="19"/>
        </w:rPr>
        <w:t xml:space="preserve">Übertragbarkeit: </w:t>
      </w:r>
      <w:r>
        <w:rPr>
          <w:sz w:val="19"/>
        </w:rPr>
        <w:t>Frankreich, vergleichbare ambulante Strukturen, Finanzierung und Reha-Programme ähnlich Deutschland.</w:t>
      </w:r>
    </w:p>
    <w:p>
      <w:r>
        <w:rPr>
          <w:color w:val="5A7D3A"/>
          <w:sz w:val="18"/>
        </w:rPr>
        <w:t>https://pubmed.ncbi.nlm.nih.gov/42841793/</w:t>
      </w:r>
    </w:p>
    <w:p>
      <w:pPr>
        <w:pStyle w:val="Heading2"/>
      </w:pPr>
      <w:r>
        <w:t>Adipositas erhöhte chirurgische Komplikationen nach Nierentransplantation, nicht aber Langzeitüberleben</w:t>
      </w:r>
    </w:p>
    <w:p>
      <w:r>
        <w:rPr>
          <w:i/>
          <w:color w:val="666666"/>
          <w:sz w:val="18"/>
        </w:rPr>
        <w:t>Melera E et al.  ·  Clin Transplant  ·  Okt. 2026  ·  PMID 42839226</w:t>
      </w:r>
    </w:p>
    <w:p>
      <w:r>
        <w:t>Schweizer Einzelzentrum-Retrospektivstudie mit 953 aufeinanderfolgenden Nierenpatienten (150 adipös, BMI ≥30; 803 nicht adipös) von 1999 bis 2023 zur Auswirkung von Empfängeradipositas auf kurz- und langfristige Transplantationsergebnisse.</w:t>
      </w:r>
    </w:p>
    <w:p>
      <w:r>
        <w:rPr>
          <w:b/>
        </w:rPr>
        <w:t xml:space="preserve">Ergebnis: </w:t>
      </w:r>
      <w:r>
        <w:t>Adipöse Empfänger hatten höhere Raten von Operationsstellen-Infektionen (11 % vs. 3 %, p&lt;0,001), Gesamtinfektionen (29 % vs. 5 %, p&lt;0,001), Lymphozylen (18 % vs. 10 %, p=0,007), inkisionalen Hernien (10 % vs. 5 %, p=0,032) und verspäteter Transplantatalfunction (21 % vs. 14 %, p=0,024). Längerer Aufenthalt: 19 vs. 17 Tage (p=0,038). Patienten- und Transplantat-Überleben nach 7,3 Jahren gleich (Hazard Ratio 1,09 bzw. 0,92, p&gt;0,05). Adipositas sollte kein Kontraindikationskriterium sein.</w:t>
      </w:r>
    </w:p>
    <w:p>
      <w:r>
        <w:rPr>
          <w:b/>
          <w:sz w:val="19"/>
        </w:rPr>
        <w:t xml:space="preserve">Übertragbarkeit: </w:t>
      </w:r>
      <w:r>
        <w:rPr>
          <w:sz w:val="19"/>
        </w:rPr>
        <w:t>Schweiz, vergleichbares Sozialsystem und Transplantationsstruktur wie Deutschland und DACH-Region.</w:t>
      </w:r>
    </w:p>
    <w:p>
      <w:r>
        <w:rPr>
          <w:color w:val="5A7D3A"/>
          <w:sz w:val="18"/>
        </w:rPr>
        <w:t>https://pubmed.ncbi.nlm.nih.gov/42839226/</w:t>
      </w:r>
    </w:p>
    <w:p>
      <w:pPr>
        <w:pStyle w:val="Heading2"/>
      </w:pPr>
      <w:r>
        <w:t>Typ-2-Diabetes: Nierenerkrankungsrate sank von 55,3 auf 43,7 pro 1000 Personenjahre</w:t>
      </w:r>
    </w:p>
    <w:p>
      <w:r>
        <w:rPr>
          <w:i/>
          <w:color w:val="666666"/>
          <w:sz w:val="18"/>
        </w:rPr>
        <w:t>Lee CJ et al.  ·  Diabetes Obes Metab  ·  09.08.2026  ·  PMID 42571988</w:t>
      </w:r>
    </w:p>
    <w:p>
      <w:r>
        <w:t>Dänische Registeranalyse zur Prävalenz, Inzidenz und Mortalität der chronischen Nierenerkrankung bei 1,3 Millionen Personen mit Typ-1 und Typ-2-Diabetes zwischen 2016 und 2024.</w:t>
      </w:r>
    </w:p>
    <w:p>
      <w:r>
        <w:rPr>
          <w:b/>
        </w:rPr>
        <w:t xml:space="preserve">Ergebnis: </w:t>
      </w:r>
      <w:r>
        <w:t>Die Prävalenz der Nierenerkrankung stieg bei Typ-2-Diabetes von 24,8 % auf 37,3 %, die Inzidenz sank aber von 55,3 auf 43,7 pro 1000 Personenjahre (Hochaltrigkeit ≥70 Jahre: von 93,6 auf 74,3), die Mortalität blieb bei Patienten mit Nierenerkrankung erhöht. Das zeigt Prävention wirkt, Früherkennung aber lückenhaft.</w:t>
      </w:r>
    </w:p>
    <w:p>
      <w:r>
        <w:rPr>
          <w:b/>
          <w:sz w:val="19"/>
        </w:rPr>
        <w:t xml:space="preserve">Übertragbarkeit: </w:t>
      </w:r>
      <w:r>
        <w:rPr>
          <w:sz w:val="19"/>
        </w:rPr>
        <w:t>Dänisches Register mit deutschen Strukturen vergleichbar, DMP-Daten könnten ähnliche Trends zeigen.</w:t>
      </w:r>
    </w:p>
    <w:p>
      <w:r>
        <w:rPr>
          <w:color w:val="5A7D3A"/>
          <w:sz w:val="18"/>
        </w:rPr>
        <w:t>https://pubmed.ncbi.nlm.nih.gov/42571988/</w:t>
      </w:r>
    </w:p>
    <w:p>
      <w:pPr>
        <w:pStyle w:val="Heading1"/>
      </w:pPr>
      <w:r>
        <w:t>Aufgenommen am 08.10.2026</w:t>
      </w:r>
    </w:p>
    <w:p>
      <w:pPr>
        <w:pStyle w:val="Heading2"/>
      </w:pPr>
      <w:r>
        <w:t>Präoperative Versorgungspfade für Patienten mit Mehrfacherkrankungen: kaum spezialisierte Programme vorhanden</w:t>
      </w:r>
    </w:p>
    <w:p>
      <w:r>
        <w:rPr>
          <w:i/>
          <w:color w:val="666666"/>
          <w:sz w:val="18"/>
        </w:rPr>
        <w:t>Mikula-Noble NM et al.  ·  BMJ Open  ·  07.10.2026  ·  PMID 42843878</w:t>
      </w:r>
    </w:p>
    <w:p>
      <w:r>
        <w:t>Systematische Übersicht über präoperative Interventionen für Patienten mit Mehrfacherkrankungen vor großen Operationen – Suche nach spezifischen Programmen für diese Hochrisikogruppe.</w:t>
      </w:r>
    </w:p>
    <w:p>
      <w:r>
        <w:rPr>
          <w:b/>
        </w:rPr>
        <w:t xml:space="preserve">Ergebnis: </w:t>
      </w:r>
      <w:r>
        <w:t>Von 138 Studien mit Mehrfacherkrankungskohorten wurden 34 eingeschlossen: nur 6 (18 %) diskutierten Interventionen für gemischte Kohorten, nur 3 (9 %) berichteten über allgemeine chirurgische Interventionen bei Mehrfacherkrankten. Es existieren praktisch keine auf Mehrfacherkrankung zugeschnittenen präoperativen Programme.</w:t>
      </w:r>
    </w:p>
    <w:p>
      <w:r>
        <w:rPr>
          <w:b/>
          <w:sz w:val="19"/>
        </w:rPr>
        <w:t xml:space="preserve">Übertragbarkeit: </w:t>
      </w:r>
      <w:r>
        <w:rPr>
          <w:sz w:val="19"/>
        </w:rPr>
        <w:t>Großbritannien – vergleichbare perioperative Strukturen und Dokumentation, Problem der fehlenden Spezialisierung übertragbar.</w:t>
      </w:r>
    </w:p>
    <w:p>
      <w:r>
        <w:rPr>
          <w:color w:val="5A7D3A"/>
          <w:sz w:val="18"/>
        </w:rPr>
        <w:t>https://pubmed.ncbi.nlm.nih.gov/42843878/</w:t>
      </w:r>
    </w:p>
    <w:p>
      <w:pPr>
        <w:pStyle w:val="Heading2"/>
      </w:pPr>
      <w:r>
        <w:t>Insulinresistenz sagte Hepatokarzinom bei viruskontrollierter Hepatitis B voraus</w:t>
      </w:r>
    </w:p>
    <w:p>
      <w:r>
        <w:rPr>
          <w:i/>
          <w:color w:val="666666"/>
          <w:sz w:val="18"/>
        </w:rPr>
        <w:t>Sinn DH et al.  ·  J Korean Med Sci  ·  05.10.2026  ·  PMID 42843350</w:t>
      </w:r>
    </w:p>
    <w:p>
      <w:r>
        <w:t>Prospektive Multizenterstudie an 334 HBV-Zirrhose-Patienten unter antiviraler Therapie zur Prognosevalenz der Insulinresistenz (HOMA2-IR) für HCC-Entwicklung.</w:t>
      </w:r>
    </w:p>
    <w:p>
      <w:r>
        <w:rPr>
          <w:b/>
        </w:rPr>
        <w:t xml:space="preserve">Ergebnis: </w:t>
      </w:r>
      <w:r>
        <w:t>Bei Median-Nachbeobachtung von 7,45 Jahren entwickelten 62 Patienten (18,6 %) HCC. Jede HOMA2-IR-Einheitssteigerung korrelierte mit erhöhtem HCC-Risiko (HR 1,53; 95 % KI 1,16–2,04). Patienten mit HOMA2-IR ≥ 2,3 hatten 5-Jahres-HCC-Inzidenz von 30,6 % versus 12,3 % bei HOMA2-IR &lt; 2,3 (adjustierte HR 2,62; 95 % KI 1,40–4,91).</w:t>
      </w:r>
    </w:p>
    <w:p>
      <w:r>
        <w:rPr>
          <w:b/>
          <w:sz w:val="19"/>
        </w:rPr>
        <w:t xml:space="preserve">Übertragbarkeit: </w:t>
      </w:r>
      <w:r>
        <w:rPr>
          <w:sz w:val="19"/>
        </w:rPr>
        <w:t>Südkorea – Multizenterstudie; Biomarker unabhängig vom Gesundheitssystem; aber HCC-Screening-Algorithmen regional unterschiedlich.</w:t>
      </w:r>
    </w:p>
    <w:p>
      <w:r>
        <w:rPr>
          <w:color w:val="5A7D3A"/>
          <w:sz w:val="18"/>
        </w:rPr>
        <w:t>https://pubmed.ncbi.nlm.nih.gov/42843350/</w:t>
      </w:r>
    </w:p>
    <w:p>
      <w:pPr>
        <w:pStyle w:val="Heading2"/>
      </w:pPr>
      <w:r>
        <w:t>Integrierte Atemwegsversorgung in Irland: Hausärzte berichten Chancen und Lücken</w:t>
      </w:r>
    </w:p>
    <w:p>
      <w:r>
        <w:rPr>
          <w:i/>
          <w:color w:val="666666"/>
          <w:sz w:val="18"/>
        </w:rPr>
        <w:t>O'Brien H et al.  ·  Prim Health Care Res Dev  ·  07.10.2026  ·  PMID 42839305</w:t>
      </w:r>
    </w:p>
    <w:p>
      <w:r>
        <w:t>Qualitative Befragung von 112 Hausärzten zur Umsetzung eines neuen Disease-Management-Programms für COPD und Asthma mit lokalen Fachteams in Irland.</w:t>
      </w:r>
    </w:p>
    <w:p>
      <w:r>
        <w:rPr>
          <w:b/>
        </w:rPr>
        <w:t xml:space="preserve">Ergebnis: </w:t>
      </w:r>
      <w:r>
        <w:t>87 % bewerteten integrierte Care-Hubs als gut bis ausgezeichnet und 84 % als überlegen gegenüber Krankenhausambulanzen, doch 52 % berichteten unzureichende Diagnostik, 45 % verzögerte Rückmeldungen und 50 % mangelnde Spezialunterstützung. Selbstberichtete Sicherheit in Leitlinienwissen moderat (7/10 für beide Erkrankungen), sehr niedrig bei Lungenfunktionstests (3/10).</w:t>
      </w:r>
    </w:p>
    <w:p>
      <w:r>
        <w:rPr>
          <w:b/>
          <w:sz w:val="19"/>
        </w:rPr>
        <w:t xml:space="preserve">Übertragbarkeit: </w:t>
      </w:r>
      <w:r>
        <w:rPr>
          <w:sz w:val="19"/>
        </w:rPr>
        <w:t>Irland – comparable Primarversorgung, ähnliche NHS-Finanzierung, jedoch spezifische Koordinationsstruktur.</w:t>
      </w:r>
    </w:p>
    <w:p>
      <w:r>
        <w:rPr>
          <w:color w:val="5A7D3A"/>
          <w:sz w:val="18"/>
        </w:rPr>
        <w:t>https://pubmed.ncbi.nlm.nih.gov/42839305/</w:t>
      </w:r>
    </w:p>
    <w:p>
      <w:pPr>
        <w:pStyle w:val="Heading2"/>
      </w:pPr>
      <w:r>
        <w:t>Dupilumab reduzierte Exazerbationen bei COPD mit Typ-2-Entzündung um 70 Prozent</w:t>
      </w:r>
    </w:p>
    <w:p>
      <w:r>
        <w:rPr>
          <w:i/>
          <w:color w:val="666666"/>
          <w:sz w:val="18"/>
        </w:rPr>
        <w:t>Abdo M et al.  ·  Respir Res  ·  06.10.2026  ·  PMID 42839285</w:t>
      </w:r>
    </w:p>
    <w:p>
      <w:r>
        <w:t>Multizentrische Analyse deutscher Kliniken zur Wirksamkeit von Dupilumab bei COPD-Patienten mit Typ-2-Entzündung unter Routinebedingungen.</w:t>
      </w:r>
    </w:p>
    <w:p>
      <w:r>
        <w:rPr>
          <w:b/>
        </w:rPr>
        <w:t xml:space="preserve">Ergebnis: </w:t>
      </w:r>
      <w:r>
        <w:t>Bei 99 Patienten sank die annualisierte Rate moderater bis schwerer Exazerbationen von 3,52 auf 1,04 pro Jahr (70 % Reduktion), der CAT-Score verbesserte sich um 4,5 Punkte, konsistent über Subgruppen hinweg. 8 Patienten zeigten keine Reduktion unter Behandlung.</w:t>
      </w:r>
    </w:p>
    <w:p>
      <w:r>
        <w:rPr>
          <w:b/>
          <w:sz w:val="19"/>
        </w:rPr>
        <w:t xml:space="preserve">Übertragbarkeit: </w:t>
      </w:r>
      <w:r>
        <w:rPr>
          <w:sz w:val="19"/>
        </w:rPr>
        <w:t>Deutsche Klinikdaten, vergleichbare Dokumentationspflichten und Versorgungsstruktur.</w:t>
      </w:r>
    </w:p>
    <w:p>
      <w:r>
        <w:rPr>
          <w:color w:val="5A7D3A"/>
          <w:sz w:val="18"/>
        </w:rPr>
        <w:t>https://pubmed.ncbi.nlm.nih.gov/42839285/</w:t>
      </w:r>
    </w:p>
    <w:p>
      <w:pPr>
        <w:pStyle w:val="Heading2"/>
      </w:pPr>
      <w:r>
        <w:t>Anhaltende Symptombelastung bei Lupus erythematodes: ein klinischer Phänotyp ähnlich ME/CFS identifiziert</w:t>
      </w:r>
    </w:p>
    <w:p>
      <w:r>
        <w:rPr>
          <w:i/>
          <w:color w:val="666666"/>
          <w:sz w:val="18"/>
        </w:rPr>
        <w:t>Habermann-Horstmeier L  ·  J Transl Med  ·  25.09.2026  ·  PMID 42806386</w:t>
      </w:r>
    </w:p>
    <w:p>
      <w:r>
        <w:t>Hypothesengenerierendes Rahmenwerk zur Charakterisierung einer Untergruppe von Patienten mit langjährigem systemischem Lupus erythematodes, die trotz niedriger Krankheitsaktivität persistierende Müdigkeit, Funktionsbeeinträchtigung und kognititive Symptome aufweisen.</w:t>
      </w:r>
    </w:p>
    <w:p>
      <w:r>
        <w:rPr>
          <w:b/>
        </w:rPr>
        <w:t xml:space="preserve">Ergebnis: </w:t>
      </w:r>
      <w:r>
        <w:t>Vorgeschlagene SLE-ME/CFS-Forschungsphänotyp kombiniert persistierende funktionslimitierende Symptome trotz Remission oder niedriger Aktivität mit Müdigkeit seit mindestens 6 Monaten, postexertioneller Symptomverschlechterung, unerquicklichem Schlaf und kognitiven Symptomen. Evidenz unterstützt Beteiligung residualer Immunaktivierung, oxidativen Stresses, Mitochondrienstörungen und Endotheldysfunktion.</w:t>
      </w:r>
    </w:p>
    <w:p>
      <w:r>
        <w:rPr>
          <w:b/>
          <w:sz w:val="19"/>
        </w:rPr>
        <w:t xml:space="preserve">Übertragbarkeit: </w:t>
      </w:r>
      <w:r>
        <w:rPr>
          <w:sz w:val="19"/>
        </w:rPr>
        <w:t>Deutschland – Literaturanalyse, Konzeptentwicklung; Validierung in Kohortenstudien notwendig, aber Phänotypisierung für Versorgung relevant.</w:t>
      </w:r>
    </w:p>
    <w:p>
      <w:r>
        <w:rPr>
          <w:color w:val="5A7D3A"/>
          <w:sz w:val="18"/>
        </w:rPr>
        <w:t>https://pubmed.ncbi.nlm.nih.gov/42806386/</w:t>
      </w:r>
    </w:p>
    <w:p>
      <w:pPr>
        <w:pStyle w:val="Heading2"/>
      </w:pPr>
      <w:r>
        <w:t>Kollagen-Abbau-Biomarker im Urin erfasst Fibrose über Organgrenzen hinweg</w:t>
      </w:r>
    </w:p>
    <w:p>
      <w:r>
        <w:rPr>
          <w:i/>
          <w:color w:val="666666"/>
          <w:sz w:val="18"/>
        </w:rPr>
        <w:t>Mina IK et al.  ·  Mol Med  ·  23.09.2026  ·  PMID 42778889</w:t>
      </w:r>
    </w:p>
    <w:p>
      <w:r>
        <w:t>Multikohorten-Proteomik-Studie zur Identifikation eines gemeinsamen Signatures von Kollagen-Typ-I-Abbau-Peptiden im Urin, das Leberfibrose, chronische Nierenerkrankung und Herzinsuffizienz charakterisiert.</w:t>
      </w:r>
    </w:p>
    <w:p>
      <w:r>
        <w:rPr>
          <w:b/>
        </w:rPr>
        <w:t xml:space="preserve">Ergebnis: </w:t>
      </w:r>
      <w:r>
        <w:t>50 Kollagen-Typ-I-Abbau-Produkte definierten eine gemeinsame Fibrose-Signatur; Support-Vector-Machine-Modell erreichte AUC 0,935 (95 % KI 0,917–0,953) in externer Validierung über gepoolte Erkrankungsgruppen, erhalten für Leber (AUC 0,917), Niere (0,951) und Herz (0,950). Modellwerte korrelierten mit Fibrosestadium in Leber und interstitieller Fibrose in Niere.</w:t>
      </w:r>
    </w:p>
    <w:p>
      <w:r>
        <w:rPr>
          <w:b/>
          <w:sz w:val="19"/>
        </w:rPr>
        <w:t xml:space="preserve">Übertragbarkeit: </w:t>
      </w:r>
      <w:r>
        <w:rPr>
          <w:sz w:val="19"/>
        </w:rPr>
        <w:t>Multinationale europäische und britische Kohorten, Urindiagnostik universell verfügbar; Fibrose-Screening unabhängig vom Organ übertragbar.</w:t>
      </w:r>
    </w:p>
    <w:p>
      <w:r>
        <w:rPr>
          <w:color w:val="5A7D3A"/>
          <w:sz w:val="18"/>
        </w:rPr>
        <w:t>https://pubmed.ncbi.nlm.nih.gov/42778889/</w:t>
      </w:r>
    </w:p>
    <w:p>
      <w:pPr>
        <w:pStyle w:val="Heading1"/>
      </w:pPr>
      <w:r>
        <w:t>Aufgenommen am 07.10.2026</w:t>
      </w:r>
    </w:p>
    <w:p>
      <w:pPr>
        <w:pStyle w:val="Heading2"/>
      </w:pPr>
      <w:r>
        <w:t>Chronische Nierenkrankheit in der Tertiärversorgung: Screening deckt Unterbehandlung auf</w:t>
      </w:r>
    </w:p>
    <w:p>
      <w:r>
        <w:rPr>
          <w:i/>
          <w:color w:val="666666"/>
          <w:sz w:val="18"/>
        </w:rPr>
        <w:t>Zahradka I et al.  ·  BMJ Open  ·  06.10.2026  ·  PMID 42838586</w:t>
      </w:r>
    </w:p>
    <w:p>
      <w:r>
        <w:t>Querschnittstudie an 2.903 Patienten in Tertiärkliniken Mitteleuropas zur Prävalenz chronischer Nierenkrankheit (CKD) und Nutzung renoprotek­tiver Therapien.</w:t>
      </w:r>
    </w:p>
    <w:p>
      <w:r>
        <w:rPr>
          <w:b/>
        </w:rPr>
        <w:t xml:space="preserve">Ergebnis: </w:t>
      </w:r>
      <w:r>
        <w:t>CKD-Prävalenz 32,5 %; eine neue Diagnose pro 5,2 Gescreente. Renoprotek­tive Therapie stark untergenutzt: SGLT2-Inhibitoren 42 %, GLP-1-Rezeptoragonisten 41,7 %, nichtsteroidale Mineralokortikoidrezeptorantagonisten 6,7 % der Berechtigten. Modellierte Gewinnchancen dialysefreier Zeit durch Therapieeinleitung: 11,13 Monate pro Patient im Durchschnitt.</w:t>
      </w:r>
    </w:p>
    <w:p>
      <w:r>
        <w:rPr>
          <w:b/>
          <w:sz w:val="19"/>
        </w:rPr>
        <w:t xml:space="preserve">Übertragbarkeit: </w:t>
      </w:r>
      <w:r>
        <w:rPr>
          <w:sz w:val="19"/>
        </w:rPr>
        <w:t>Tertiärzentrumsdaten; Übertragbarkeit auf spezialisierte Versorgung in Deutschland eingeschränkt</w:t>
      </w:r>
    </w:p>
    <w:p>
      <w:r>
        <w:rPr>
          <w:color w:val="5A7D3A"/>
          <w:sz w:val="18"/>
        </w:rPr>
        <w:t>https://pubmed.ncbi.nlm.nih.gov/42838586/</w:t>
      </w:r>
    </w:p>
    <w:p>
      <w:pPr>
        <w:pStyle w:val="Heading2"/>
      </w:pPr>
      <w:r>
        <w:t>Begrenzte antivirale Therapie der chronischen Hepatitis B: Mehr HBsAg-Verlust, aber häufige Rückfälle</w:t>
      </w:r>
    </w:p>
    <w:p>
      <w:r>
        <w:rPr>
          <w:i/>
          <w:color w:val="666666"/>
          <w:sz w:val="18"/>
        </w:rPr>
        <w:t>Gomez DP et al.  ·  J Viral Hepat  ·  Nov. 2026  ·  PMID 42834661</w:t>
      </w:r>
    </w:p>
    <w:p>
      <w:r>
        <w:t>Meta-Analyse von 4 randomisierten Studien (n=357) zu endlicher versus unbegrenzter Nukleosid(t)id-Therapie bei HBeAg-negativer chronischer Hepatitis B ohne Zirrhose.</w:t>
      </w:r>
    </w:p>
    <w:p>
      <w:r>
        <w:rPr>
          <w:b/>
        </w:rPr>
        <w:t xml:space="preserve">Ergebnis: </w:t>
      </w:r>
      <w:r>
        <w:t>Therapiebeendigung erhöhte HBsAg-Verlust (RR 5,02; KI 0,47–53,47, niedrige Evidenzsicherheit), aber markant virales Rezidiv (RR 23,09) und Therapierückfall (RR 21,94). Keine hepatische Dekompensation oder schwere unerwünschte Ereignisse. Strategie für selektierte, gut überwachte Patienten in Expertenzentren.</w:t>
      </w:r>
    </w:p>
    <w:p>
      <w:r>
        <w:rPr>
          <w:b/>
          <w:sz w:val="19"/>
        </w:rPr>
        <w:t xml:space="preserve">Übertragbarkeit: </w:t>
      </w:r>
      <w:r>
        <w:rPr>
          <w:sz w:val="19"/>
        </w:rPr>
        <w:t>Internationale RCT-Daten; Übertragbarkeit auf deutsches Versicherungssystem hoch</w:t>
      </w:r>
    </w:p>
    <w:p>
      <w:r>
        <w:rPr>
          <w:color w:val="5A7D3A"/>
          <w:sz w:val="18"/>
        </w:rPr>
        <w:t>https://pubmed.ncbi.nlm.nih.gov/42834661/</w:t>
      </w:r>
    </w:p>
    <w:p>
      <w:pPr>
        <w:pStyle w:val="Heading2"/>
      </w:pPr>
      <w:r>
        <w:t>Direktwirkende Antivirale bei Hepatitis C und Leberkrebs: Hohe Heilungsraten, erhaltene Leberfunktion</w:t>
      </w:r>
    </w:p>
    <w:p>
      <w:r>
        <w:rPr>
          <w:i/>
          <w:color w:val="666666"/>
          <w:sz w:val="18"/>
        </w:rPr>
        <w:t>Sato S et al.  ·  J Viral Hepat  ·  Nov. 2026  ·  PMID 42834589</w:t>
      </w:r>
    </w:p>
    <w:p>
      <w:r>
        <w:t>Retrospektive Kohortenstudie (n=690) zu Wirksamkeit und Leberfunktion nach direktwirkender antiviraler Therapie bei Hepatitis-C-Patienten mit und ohne Leberkrebs (HCC)-Vorgeschichte.</w:t>
      </w:r>
    </w:p>
    <w:p>
      <w:r>
        <w:rPr>
          <w:b/>
        </w:rPr>
        <w:t xml:space="preserve">Ergebnis: </w:t>
      </w:r>
      <w:r>
        <w:t>Gesamte SVR12-Rate 96,1 % über alle Gruppen, unabhängig von HCC-Vorgeschichte. ALBI-Score (Leberfunktion) verbesserte sich bei kurativer HCC-Behandlung (−2,35 zu −2,58, p&lt;0,001), blieb unter nicht-kurativer Behandlung stabil. Bei HCC-Rezidiv ALBI-Score verbessert (−2,31 zu −2,57, p&lt;0,001); &gt;90 % blieben Child-Pugh A.</w:t>
      </w:r>
    </w:p>
    <w:p>
      <w:r>
        <w:rPr>
          <w:b/>
          <w:sz w:val="19"/>
        </w:rPr>
        <w:t xml:space="preserve">Übertragbarkeit: </w:t>
      </w:r>
      <w:r>
        <w:rPr>
          <w:sz w:val="19"/>
        </w:rPr>
        <w:t>Japanisches Zentrum; Leberfunktionsergebnisse international vergleichbar</w:t>
      </w:r>
    </w:p>
    <w:p>
      <w:r>
        <w:rPr>
          <w:color w:val="5A7D3A"/>
          <w:sz w:val="18"/>
        </w:rPr>
        <w:t>https://pubmed.ncbi.nlm.nih.gov/42834589/</w:t>
      </w:r>
    </w:p>
    <w:p>
      <w:pPr>
        <w:pStyle w:val="Heading2"/>
      </w:pPr>
      <w:r>
        <w:t>Lebensqualität bei chronischer Nierenkrankheit: Bildungsstand und Einkommen entscheidend</w:t>
      </w:r>
    </w:p>
    <w:p>
      <w:r>
        <w:rPr>
          <w:i/>
          <w:color w:val="666666"/>
          <w:sz w:val="18"/>
        </w:rPr>
        <w:t>Akter F et al.  ·  BMJ Open  ·  05.10.2026  ·  PMID 42833721</w:t>
      </w:r>
    </w:p>
    <w:p>
      <w:r>
        <w:t>Querschnittstudie (n=315) in Bangladesch zur Identifikation von Profilen der gesundheitsbezogenen Lebensqualität bei CKD mittels latenter Profilanalyse und deren Prädiktoren.</w:t>
      </w:r>
    </w:p>
    <w:p>
      <w:r>
        <w:rPr>
          <w:b/>
        </w:rPr>
        <w:t xml:space="preserve">Ergebnis: </w:t>
      </w:r>
      <w:r>
        <w:t>Drei Qualitäts-Profile: niedrig (20,95 %), mittel (34,29 %), hoch (44,76 %). Höheres Einkommen und Bildung senken Risiko niedriger Lebensqualität; verheiratet und weniger Komorbiditäten erhöhen Wahrscheinlichkeit hoher Lebensqualität. Signifikante Prädiktoren: Einkommen, Bildung, Familienstand, Komorbiditätenanzahl (alle p&lt;0,05).</w:t>
      </w:r>
    </w:p>
    <w:p>
      <w:r>
        <w:rPr>
          <w:b/>
          <w:sz w:val="19"/>
        </w:rPr>
        <w:t xml:space="preserve">Übertragbarkeit: </w:t>
      </w:r>
      <w:r>
        <w:rPr>
          <w:sz w:val="19"/>
        </w:rPr>
        <w:t>Low-Resource-Setting; Patient-reported Outcomes-Methodik international anwendbar</w:t>
      </w:r>
    </w:p>
    <w:p>
      <w:r>
        <w:rPr>
          <w:color w:val="5A7D3A"/>
          <w:sz w:val="18"/>
        </w:rPr>
        <w:t>https://pubmed.ncbi.nlm.nih.gov/42833721/</w:t>
      </w:r>
    </w:p>
    <w:p>
      <w:pPr>
        <w:pStyle w:val="Heading2"/>
      </w:pPr>
      <w:r>
        <w:t>Verlängerte Fastenpausen beschleunigen Multimorbidität bei älteren Erwachsenen</w:t>
      </w:r>
    </w:p>
    <w:p>
      <w:r>
        <w:rPr>
          <w:i/>
          <w:color w:val="666666"/>
          <w:sz w:val="18"/>
        </w:rPr>
        <w:t>Kalmbach L et al.  ·  J Intern Med  ·  20.08.2026  ·  PMID 42621849</w:t>
      </w:r>
    </w:p>
    <w:p>
      <w:r>
        <w:t>Längskohorte (n=2.981, ≥60 Jahre) mit 15-jähriger Nachverfolgung zum Zusammenhang zwischen habitueller Fastendauer (längste Essenspause in 24h) und Akkumulation chronischer Erkrankungen.</w:t>
      </w:r>
    </w:p>
    <w:p>
      <w:r>
        <w:rPr>
          <w:b/>
        </w:rPr>
        <w:t xml:space="preserve">Ergebnis: </w:t>
      </w:r>
      <w:r>
        <w:t>Gegenüber kürzesten Fastenpausen (6–11,5 h) zeigten längste Pausen (14–24 h) steilere jährliche Zunahme Gesamtkrankheiten (β=0,119; KI 0,070–0,167), kardiovaskuläre (0,022; KI 0,006–0,038) und neuropsychiatrische Erkrankungen (0,019; KI 0,005–0,033). Effekt nur bei ≥78 Jahren signifikant (β=0,099; KI 0,031–0,168), nicht bei &lt;78 Jahren.</w:t>
      </w:r>
    </w:p>
    <w:p>
      <w:r>
        <w:rPr>
          <w:b/>
          <w:sz w:val="19"/>
        </w:rPr>
        <w:t xml:space="preserve">Übertragbarkeit: </w:t>
      </w:r>
      <w:r>
        <w:rPr>
          <w:sz w:val="19"/>
        </w:rPr>
        <w:t>Schwedische Bevölkerungskohorte; Altersgruppen übertragbar auf deutsche Versorgung</w:t>
      </w:r>
    </w:p>
    <w:p>
      <w:r>
        <w:rPr>
          <w:color w:val="5A7D3A"/>
          <w:sz w:val="18"/>
        </w:rPr>
        <w:t>https://pubmed.ncbi.nlm.nih.gov/42621849/</w:t>
      </w:r>
    </w:p>
    <w:p>
      <w:pPr>
        <w:pStyle w:val="Heading1"/>
      </w:pPr>
      <w:r>
        <w:t>Aufgenommen am 06.10.2026</w:t>
      </w:r>
    </w:p>
    <w:p>
      <w:pPr>
        <w:pStyle w:val="Heading2"/>
      </w:pPr>
      <w:r>
        <w:t>Hausarztpraxen für Flüchtlinge mit Hepatitis B besser geeignet als Spezialkliniken</w:t>
      </w:r>
    </w:p>
    <w:p>
      <w:r>
        <w:rPr>
          <w:i/>
          <w:color w:val="666666"/>
          <w:sz w:val="18"/>
        </w:rPr>
        <w:t>Fakhouri A et al.  ·  Aust J Prim Health  ·  20.10.2026  ·  PMID 42833621</w:t>
      </w:r>
    </w:p>
    <w:p>
      <w:r>
        <w:t>Qualitative australische Studie (15 semi-strukturierte Interviews): Erkundung, wie Hausarztpraxen für Flüchtlinge chronische Hepatitis-B-Versorgung gestalten und wo Verbesserungen nötig sind.</w:t>
      </w:r>
    </w:p>
    <w:p>
      <w:r>
        <w:rPr>
          <w:b/>
        </w:rPr>
        <w:t xml:space="preserve">Ergebnis: </w:t>
      </w:r>
      <w:r>
        <w:t>Hausarztpraxen bieten Vorteile: Comunity-Integration, Rapport, Dolmetscher-Services. Barrieren sind Gesundheitskompetenz und Kosten. Empfehlung: Finanzierung und Schulung von Hausarztpraxen zur HBV-Versorgung würden bessere Ergebnisse für vulnerable Bevölkerung bringen.</w:t>
      </w:r>
    </w:p>
    <w:p>
      <w:r>
        <w:rPr>
          <w:b/>
          <w:sz w:val="19"/>
        </w:rPr>
        <w:t xml:space="preserve">Übertragbarkeit: </w:t>
      </w:r>
      <w:r>
        <w:rPr>
          <w:sz w:val="19"/>
        </w:rPr>
        <w:t>Australien - hohes Einkommen, andere Struktur, aber Ungleichheitsfrage universell</w:t>
      </w:r>
    </w:p>
    <w:p>
      <w:r>
        <w:rPr>
          <w:color w:val="5A7D3A"/>
          <w:sz w:val="18"/>
        </w:rPr>
        <w:t>https://pubmed.ncbi.nlm.nih.gov/42833621/</w:t>
      </w:r>
    </w:p>
    <w:p>
      <w:pPr>
        <w:pStyle w:val="Heading2"/>
      </w:pPr>
      <w:r>
        <w:t>Ein Viertel der COPD-Patienten hat Exazerbationen trotz Doppel- oder Tripeltherapie</w:t>
      </w:r>
    </w:p>
    <w:p>
      <w:r>
        <w:rPr>
          <w:i/>
          <w:color w:val="666666"/>
          <w:sz w:val="18"/>
        </w:rPr>
        <w:t>Radovanovic D et al.  ·  Int J Chron Obstruct Pulmon Dis  ·  30.09.2026  ·  PMID 42831088</w:t>
      </w:r>
    </w:p>
    <w:p>
      <w:r>
        <w:t>Italienische GULP-Kohorte (1.111 COPD-Patienten): Exploratorische Analyse zur Häufigkeit anhaltender Symptome unter optimaler Erhaltungstherapie und Identifikation von Kandidaten für Biologika.</w:t>
      </w:r>
    </w:p>
    <w:p>
      <w:r>
        <w:rPr>
          <w:b/>
        </w:rPr>
        <w:t xml:space="preserve">Ergebnis: </w:t>
      </w:r>
      <w:r>
        <w:t>Von 1.111 Patienten hatten 286 (25,7%) ≥2 moderate oder ≥1 schwere Exazerbation/Jahr trotz Doppel- oder Tripeltherapie. Davon zeigten 51–75% hohe Symptombelastung (Dyspnoe, Husten, Sputum), nur 7,2% eosinophile COPD. Dupilumab in Italien für eosinophile exazerbierende COPD zugelassen.</w:t>
      </w:r>
    </w:p>
    <w:p>
      <w:r>
        <w:rPr>
          <w:b/>
          <w:sz w:val="19"/>
        </w:rPr>
        <w:t xml:space="preserve">Übertragbarkeit: </w:t>
      </w:r>
      <w:r>
        <w:rPr>
          <w:sz w:val="19"/>
        </w:rPr>
        <w:t>Italien, europäisches Sozialversicherungssystem, vergleichbare DMP-Struktur</w:t>
      </w:r>
    </w:p>
    <w:p>
      <w:r>
        <w:rPr>
          <w:color w:val="5A7D3A"/>
          <w:sz w:val="18"/>
        </w:rPr>
        <w:t>https://pubmed.ncbi.nlm.nih.gov/42831088/</w:t>
      </w:r>
    </w:p>
    <w:p>
      <w:pPr>
        <w:pStyle w:val="Heading2"/>
      </w:pPr>
      <w:r>
        <w:t>Schwere Fettleber assoziiert mit Fibrose bei chronischer Hepatitis B in Afrika</w:t>
      </w:r>
    </w:p>
    <w:p>
      <w:r>
        <w:rPr>
          <w:i/>
          <w:color w:val="666666"/>
          <w:sz w:val="18"/>
        </w:rPr>
        <w:t>Chabala FW et al.  ·  J Viral Hepat  ·  Nov. 2026  ·  PMID 42830592</w:t>
      </w:r>
    </w:p>
    <w:p>
      <w:r>
        <w:t>Multiländer-Studie (HEPSANET) mit 1.601 CHB-Patienten in sechs afrikanischen Ländern: Transiente Elastographie zeigte, dass schwere Steatose unabhängig mit erhöhtem Fibrose-Risiko verbunden war.</w:t>
      </w:r>
    </w:p>
    <w:p>
      <w:r>
        <w:rPr>
          <w:b/>
        </w:rPr>
        <w:t xml:space="preserve">Ergebnis: </w:t>
      </w:r>
      <w:r>
        <w:t>Schwere Steatose (CAP ≥280 dB/m) war mit 8,4% erhöhter Fibrose-Wahrscheinlichkeit assoziiert (95%-KI 1,9-14,9%). Milde und moderate Steatose zeigten diese Assoziation nicht. Prävalenz von Fettleber: 26,3%, davon 13,7% schwer.</w:t>
      </w:r>
    </w:p>
    <w:p>
      <w:r>
        <w:rPr>
          <w:b/>
          <w:sz w:val="19"/>
        </w:rPr>
        <w:t xml:space="preserve">Übertragbarkeit: </w:t>
      </w:r>
      <w:r>
        <w:rPr>
          <w:sz w:val="19"/>
        </w:rPr>
        <w:t>Afrika, andere Soziostruktur - Screening-Implikation übertragbar</w:t>
      </w:r>
    </w:p>
    <w:p>
      <w:r>
        <w:rPr>
          <w:color w:val="5A7D3A"/>
          <w:sz w:val="18"/>
        </w:rPr>
        <w:t>https://pubmed.ncbi.nlm.nih.gov/42830592/</w:t>
      </w:r>
    </w:p>
    <w:p>
      <w:pPr>
        <w:pStyle w:val="Heading2"/>
      </w:pPr>
      <w:r>
        <w:t>Bewegung reduzierte Mortalität und Leberversagen bei chronischer Hepatitis B um 11 Prozent</w:t>
      </w:r>
    </w:p>
    <w:p>
      <w:r>
        <w:rPr>
          <w:i/>
          <w:color w:val="666666"/>
          <w:sz w:val="18"/>
        </w:rPr>
        <w:t>Song BG et al.  ·  J Viral Hepat  ·  Nov. 2026  ·  PMID 42830566</w:t>
      </w:r>
    </w:p>
    <w:p>
      <w:r>
        <w:t>Südkoreanische Kohortenstudie mit 318.131 CHB-Patienten: Wer körperliche Aktivität aufnahm, hatte niedrigere Risiken für Tod und Komplikationen als körperlich Inaktive.</w:t>
      </w:r>
    </w:p>
    <w:p>
      <w:r>
        <w:rPr>
          <w:b/>
        </w:rPr>
        <w:t xml:space="preserve">Ergebnis: </w:t>
      </w:r>
      <w:r>
        <w:t>Hazard Ratio für Mortalität 0,89 (95%-KI 0,84-0,94) bei Aufnahme von Ausdaueraktivität; für Leberversagen subdistribution HR 0,94 (95%-KI 0,92-0,97) über 7,9 Jahre Nachfolge. Der Effekt war stärker in älteren, weiblichen und nicht-rauchenden Patienten.</w:t>
      </w:r>
    </w:p>
    <w:p>
      <w:r>
        <w:rPr>
          <w:b/>
          <w:sz w:val="19"/>
        </w:rPr>
        <w:t xml:space="preserve">Übertragbarkeit: </w:t>
      </w:r>
      <w:r>
        <w:rPr>
          <w:sz w:val="19"/>
        </w:rPr>
        <w:t>Südkorea - vergleichbares Gesundheitssystem, Versicherungsdaten hochwertig</w:t>
      </w:r>
    </w:p>
    <w:p>
      <w:r>
        <w:rPr>
          <w:color w:val="5A7D3A"/>
          <w:sz w:val="18"/>
        </w:rPr>
        <w:t>https://pubmed.ncbi.nlm.nih.gov/42830566/</w:t>
      </w:r>
    </w:p>
    <w:p>
      <w:pPr>
        <w:pStyle w:val="Heading2"/>
      </w:pPr>
      <w:r>
        <w:t>Chronische Erkrankungen bei Kindern: Register unterschätzen Prävalenz um mindestens 10 Prozent</w:t>
      </w:r>
    </w:p>
    <w:p>
      <w:r>
        <w:rPr>
          <w:i/>
          <w:color w:val="666666"/>
          <w:sz w:val="18"/>
        </w:rPr>
        <w:t>Andersen A et al.  ·  Eur J Pediatr  ·  03.10.2026  ·  PMID 42828548</w:t>
      </w:r>
    </w:p>
    <w:p>
      <w:r>
        <w:t>Dänische Studie: Verglich nationale Register mit Selbstberichten auf Prävalenz chronischer Erkrankungen bei Kindern und Jugendlichen; Registerbasierte Methode erfasst nur einen Teil.</w:t>
      </w:r>
    </w:p>
    <w:p>
      <w:r>
        <w:rPr>
          <w:b/>
        </w:rPr>
        <w:t xml:space="preserve">Ergebnis: </w:t>
      </w:r>
      <w:r>
        <w:t>Register zeigten Prävalenz 9,3–22,0% je nach Alter und Geschlecht; Selbstberichte 28,4–34,2%. 14,6–15,3% der Jugendlichen mit selbstberichteter chronischer Erkrankung waren im Alltag beeinträchtigt – im Register nicht sichtbar.</w:t>
      </w:r>
    </w:p>
    <w:p>
      <w:r>
        <w:rPr>
          <w:b/>
          <w:sz w:val="19"/>
        </w:rPr>
        <w:t xml:space="preserve">Übertragbarkeit: </w:t>
      </w:r>
      <w:r>
        <w:rPr>
          <w:sz w:val="19"/>
        </w:rPr>
        <w:t>Dänemark - skandinavisches System, enge Datenbankqualität wie in Deutschland, Methodenfrage universal</w:t>
      </w:r>
    </w:p>
    <w:p>
      <w:r>
        <w:rPr>
          <w:color w:val="5A7D3A"/>
          <w:sz w:val="18"/>
        </w:rPr>
        <w:t>https://pubmed.ncbi.nlm.nih.gov/42828548/</w:t>
      </w:r>
    </w:p>
    <w:p>
      <w:pPr>
        <w:pStyle w:val="Heading2"/>
      </w:pPr>
      <w:r>
        <w:t>Biologika spielen zentrale Rolle in schwerem Asthma, COPD-Klassifikation vereinfacht</w:t>
      </w:r>
    </w:p>
    <w:p>
      <w:r>
        <w:rPr>
          <w:i/>
          <w:color w:val="666666"/>
          <w:sz w:val="18"/>
        </w:rPr>
        <w:t>Salah Manoh JL et al.  ·  Rev Med Suisse  ·  23.09.2026  ·  PMID 42779315</w:t>
      </w:r>
    </w:p>
    <w:p>
      <w:r>
        <w:t>Schweizer Reviewartikel (nicht empirisch): Aktuelle GOLD- und globale Guidelines zur COPD und Asthma – Vereinfachung der COPD-Stratifizierung, erweiterte Rolle von Biologika, geänderte Exazerbationsdefinition.</w:t>
      </w:r>
    </w:p>
    <w:p>
      <w:r>
        <w:rPr>
          <w:b/>
        </w:rPr>
        <w:t xml:space="preserve">Ergebnis: </w:t>
      </w:r>
      <w:r>
        <w:t>COPD wird nun in nur 3 Gruppen eingeteilt (A, B, E); eine einzelne moderate Exazerbation reicht für Hochrisiko-Kategorie E. Asthma: Biologika zentral in schwerer Form, Salbutamol-Monotherapie nicht mehr empfohlen.</w:t>
      </w:r>
    </w:p>
    <w:p>
      <w:r>
        <w:rPr>
          <w:b/>
          <w:sz w:val="19"/>
        </w:rPr>
        <w:t xml:space="preserve">Übertragbarkeit: </w:t>
      </w:r>
      <w:r>
        <w:rPr>
          <w:sz w:val="19"/>
        </w:rPr>
        <w:t>Schweiz, vergleichbares Versicherungssystem, Leitlinien gelten auch in Deutschland</w:t>
      </w:r>
    </w:p>
    <w:p>
      <w:r>
        <w:rPr>
          <w:color w:val="5A7D3A"/>
          <w:sz w:val="18"/>
        </w:rPr>
        <w:t>https://pubmed.ncbi.nlm.nih.gov/42779315/</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NCD und chronische Krankheiten</dc:title>
  <dc:subject/>
  <dc:creator>Monitor Versorgungsforschung</dc:creator>
  <cp:keywords/>
  <dc:description>generated by python-docx</dc:description>
  <cp:lastModifiedBy/>
  <cp:revision>1</cp:revision>
  <dcterms:created xsi:type="dcterms:W3CDTF">2026-10-16T06:00:00Z</dcterms:created>
  <dcterms:modified xsi:type="dcterms:W3CDTF">2026-10-16T06:00:00Z</dcterms:modified>
  <cp:category/>
</cp:coreProperties>
</file>